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AA48A7" w:rsidRDefault="00D6291E" w:rsidP="00D6291E">
      <w:pPr>
        <w:pStyle w:val="NoSpacing"/>
        <w:rPr>
          <w:rFonts w:ascii="Times New Roman" w:hAnsi="Times New Roman" w:cs="Times New Roman"/>
          <w:b/>
          <w:sz w:val="24"/>
          <w:szCs w:val="24"/>
        </w:rPr>
      </w:pPr>
      <w:r w:rsidRPr="00AA48A7">
        <w:rPr>
          <w:rFonts w:ascii="Times New Roman" w:hAnsi="Times New Roman" w:cs="Times New Roman"/>
          <w:b/>
          <w:sz w:val="24"/>
          <w:szCs w:val="24"/>
        </w:rPr>
        <w:t>RATANG MUYAMBO</w:t>
      </w:r>
      <w:bookmarkStart w:id="0" w:name="_GoBack"/>
      <w:bookmarkEnd w:id="0"/>
    </w:p>
    <w:p w:rsidR="00D6291E" w:rsidRPr="00AA48A7" w:rsidRDefault="00D6291E" w:rsidP="00D6291E">
      <w:pPr>
        <w:pStyle w:val="NoSpacing"/>
        <w:rPr>
          <w:rFonts w:ascii="Times New Roman" w:hAnsi="Times New Roman" w:cs="Times New Roman"/>
          <w:b/>
          <w:sz w:val="24"/>
          <w:szCs w:val="24"/>
        </w:rPr>
      </w:pPr>
    </w:p>
    <w:p w:rsidR="00D6291E" w:rsidRPr="00AA48A7" w:rsidRDefault="00D6291E" w:rsidP="00D6291E">
      <w:pPr>
        <w:pStyle w:val="NoSpacing"/>
        <w:rPr>
          <w:rFonts w:ascii="Times New Roman" w:hAnsi="Times New Roman" w:cs="Times New Roman"/>
          <w:b/>
          <w:sz w:val="24"/>
          <w:szCs w:val="24"/>
        </w:rPr>
      </w:pPr>
      <w:r w:rsidRPr="00AA48A7">
        <w:rPr>
          <w:rFonts w:ascii="Times New Roman" w:hAnsi="Times New Roman" w:cs="Times New Roman"/>
          <w:b/>
          <w:sz w:val="24"/>
          <w:szCs w:val="24"/>
        </w:rPr>
        <w:t>Versus</w:t>
      </w:r>
    </w:p>
    <w:p w:rsidR="00D6291E" w:rsidRPr="00AA48A7" w:rsidRDefault="00D6291E" w:rsidP="00D6291E">
      <w:pPr>
        <w:pStyle w:val="NoSpacing"/>
        <w:rPr>
          <w:rFonts w:ascii="Times New Roman" w:hAnsi="Times New Roman" w:cs="Times New Roman"/>
          <w:b/>
          <w:sz w:val="24"/>
          <w:szCs w:val="24"/>
        </w:rPr>
      </w:pPr>
    </w:p>
    <w:p w:rsidR="00D6291E" w:rsidRPr="00AA48A7" w:rsidRDefault="00D6291E" w:rsidP="00D6291E">
      <w:pPr>
        <w:pStyle w:val="NoSpacing"/>
        <w:rPr>
          <w:rFonts w:ascii="Times New Roman" w:hAnsi="Times New Roman" w:cs="Times New Roman"/>
          <w:b/>
          <w:sz w:val="24"/>
          <w:szCs w:val="24"/>
        </w:rPr>
      </w:pPr>
      <w:r w:rsidRPr="00AA48A7">
        <w:rPr>
          <w:rFonts w:ascii="Times New Roman" w:hAnsi="Times New Roman" w:cs="Times New Roman"/>
          <w:b/>
          <w:sz w:val="24"/>
          <w:szCs w:val="24"/>
        </w:rPr>
        <w:t>BEITBRIDGE RURAL DISTRICT COUNCIL</w:t>
      </w:r>
    </w:p>
    <w:p w:rsidR="00D6291E" w:rsidRPr="00AA48A7" w:rsidRDefault="00D6291E" w:rsidP="00D6291E">
      <w:pPr>
        <w:pStyle w:val="NoSpacing"/>
        <w:rPr>
          <w:rFonts w:ascii="Times New Roman" w:hAnsi="Times New Roman" w:cs="Times New Roman"/>
          <w:sz w:val="24"/>
          <w:szCs w:val="24"/>
        </w:rPr>
      </w:pPr>
    </w:p>
    <w:p w:rsidR="00D6291E" w:rsidRPr="00AA48A7" w:rsidRDefault="00D6291E" w:rsidP="00D6291E">
      <w:pPr>
        <w:pStyle w:val="NoSpacing"/>
        <w:rPr>
          <w:rFonts w:ascii="Times New Roman" w:hAnsi="Times New Roman" w:cs="Times New Roman"/>
          <w:sz w:val="24"/>
          <w:szCs w:val="24"/>
        </w:rPr>
      </w:pPr>
      <w:r w:rsidRPr="00AA48A7">
        <w:rPr>
          <w:rFonts w:ascii="Times New Roman" w:hAnsi="Times New Roman" w:cs="Times New Roman"/>
          <w:sz w:val="24"/>
          <w:szCs w:val="24"/>
        </w:rPr>
        <w:t>IN THE HIGH COURT OF ZIMBABWE</w:t>
      </w:r>
    </w:p>
    <w:p w:rsidR="00D6291E" w:rsidRPr="00AA48A7" w:rsidRDefault="00D6291E" w:rsidP="00D6291E">
      <w:pPr>
        <w:pStyle w:val="NoSpacing"/>
        <w:rPr>
          <w:rFonts w:ascii="Times New Roman" w:hAnsi="Times New Roman" w:cs="Times New Roman"/>
          <w:sz w:val="24"/>
          <w:szCs w:val="24"/>
        </w:rPr>
      </w:pPr>
      <w:r w:rsidRPr="00AA48A7">
        <w:rPr>
          <w:rFonts w:ascii="Times New Roman" w:hAnsi="Times New Roman" w:cs="Times New Roman"/>
          <w:sz w:val="24"/>
          <w:szCs w:val="24"/>
        </w:rPr>
        <w:t>TAKUVA J</w:t>
      </w:r>
    </w:p>
    <w:p w:rsidR="00D6291E" w:rsidRPr="00AA48A7" w:rsidRDefault="00D6291E" w:rsidP="00D6291E">
      <w:pPr>
        <w:pStyle w:val="NoSpacing"/>
        <w:rPr>
          <w:rFonts w:ascii="Times New Roman" w:hAnsi="Times New Roman" w:cs="Times New Roman"/>
          <w:sz w:val="24"/>
          <w:szCs w:val="24"/>
        </w:rPr>
      </w:pPr>
      <w:r w:rsidRPr="00AA48A7">
        <w:rPr>
          <w:rFonts w:ascii="Times New Roman" w:hAnsi="Times New Roman" w:cs="Times New Roman"/>
          <w:sz w:val="24"/>
          <w:szCs w:val="24"/>
        </w:rPr>
        <w:t xml:space="preserve">BULAWAYO19 FEBRUARY 2020 &amp; </w:t>
      </w:r>
      <w:r w:rsidR="00E24E84">
        <w:rPr>
          <w:rFonts w:ascii="Times New Roman" w:hAnsi="Times New Roman" w:cs="Times New Roman"/>
          <w:sz w:val="24"/>
          <w:szCs w:val="24"/>
        </w:rPr>
        <w:t>3 J</w:t>
      </w:r>
      <w:r w:rsidRPr="00AA48A7">
        <w:rPr>
          <w:rFonts w:ascii="Times New Roman" w:hAnsi="Times New Roman" w:cs="Times New Roman"/>
          <w:sz w:val="24"/>
          <w:szCs w:val="24"/>
        </w:rPr>
        <w:t>UNE 2021</w:t>
      </w:r>
    </w:p>
    <w:p w:rsidR="00D6291E" w:rsidRPr="00AA48A7" w:rsidRDefault="00D6291E" w:rsidP="00D6291E">
      <w:pPr>
        <w:pStyle w:val="NoSpacing"/>
        <w:rPr>
          <w:rFonts w:ascii="Times New Roman" w:hAnsi="Times New Roman" w:cs="Times New Roman"/>
          <w:sz w:val="24"/>
          <w:szCs w:val="24"/>
        </w:rPr>
      </w:pPr>
    </w:p>
    <w:p w:rsidR="00D6291E" w:rsidRPr="00AA48A7" w:rsidRDefault="00D6291E" w:rsidP="00D6291E">
      <w:pPr>
        <w:pStyle w:val="NoSpacing"/>
        <w:rPr>
          <w:rFonts w:ascii="Times New Roman" w:hAnsi="Times New Roman" w:cs="Times New Roman"/>
          <w:b/>
          <w:sz w:val="24"/>
          <w:szCs w:val="24"/>
        </w:rPr>
      </w:pPr>
      <w:r w:rsidRPr="00AA48A7">
        <w:rPr>
          <w:rFonts w:ascii="Times New Roman" w:hAnsi="Times New Roman" w:cs="Times New Roman"/>
          <w:b/>
          <w:sz w:val="24"/>
          <w:szCs w:val="24"/>
        </w:rPr>
        <w:t>Opposed application</w:t>
      </w:r>
    </w:p>
    <w:p w:rsidR="00D6291E" w:rsidRPr="00AA48A7" w:rsidRDefault="00D6291E" w:rsidP="00D6291E">
      <w:pPr>
        <w:pStyle w:val="NoSpacing"/>
        <w:rPr>
          <w:rFonts w:ascii="Times New Roman" w:hAnsi="Times New Roman" w:cs="Times New Roman"/>
          <w:b/>
          <w:sz w:val="24"/>
          <w:szCs w:val="24"/>
        </w:rPr>
      </w:pPr>
    </w:p>
    <w:p w:rsidR="00D6291E" w:rsidRPr="00AA48A7" w:rsidRDefault="00D6291E" w:rsidP="00D6291E">
      <w:pPr>
        <w:pStyle w:val="NoSpacing"/>
        <w:rPr>
          <w:rFonts w:ascii="Times New Roman" w:hAnsi="Times New Roman" w:cs="Times New Roman"/>
          <w:sz w:val="24"/>
          <w:szCs w:val="24"/>
        </w:rPr>
      </w:pPr>
      <w:r w:rsidRPr="00AA48A7">
        <w:rPr>
          <w:rFonts w:ascii="Times New Roman" w:hAnsi="Times New Roman" w:cs="Times New Roman"/>
          <w:i/>
          <w:sz w:val="24"/>
          <w:szCs w:val="24"/>
        </w:rPr>
        <w:t xml:space="preserve">K. </w:t>
      </w:r>
      <w:proofErr w:type="spellStart"/>
      <w:r w:rsidRPr="00AA48A7">
        <w:rPr>
          <w:rFonts w:ascii="Times New Roman" w:hAnsi="Times New Roman" w:cs="Times New Roman"/>
          <w:i/>
          <w:sz w:val="24"/>
          <w:szCs w:val="24"/>
        </w:rPr>
        <w:t>Ngwenya</w:t>
      </w:r>
      <w:proofErr w:type="spellEnd"/>
      <w:r w:rsidRPr="00AA48A7">
        <w:rPr>
          <w:rFonts w:ascii="Times New Roman" w:hAnsi="Times New Roman" w:cs="Times New Roman"/>
          <w:sz w:val="24"/>
          <w:szCs w:val="24"/>
        </w:rPr>
        <w:t xml:space="preserve"> for the applicant</w:t>
      </w:r>
    </w:p>
    <w:p w:rsidR="00D6291E" w:rsidRPr="00AA48A7" w:rsidRDefault="00D6291E" w:rsidP="00D6291E">
      <w:pPr>
        <w:pStyle w:val="NoSpacing"/>
        <w:rPr>
          <w:rFonts w:ascii="Times New Roman" w:hAnsi="Times New Roman" w:cs="Times New Roman"/>
          <w:sz w:val="24"/>
          <w:szCs w:val="24"/>
        </w:rPr>
      </w:pPr>
      <w:r w:rsidRPr="00AA48A7">
        <w:rPr>
          <w:rFonts w:ascii="Times New Roman" w:hAnsi="Times New Roman" w:cs="Times New Roman"/>
          <w:i/>
          <w:sz w:val="24"/>
          <w:szCs w:val="24"/>
        </w:rPr>
        <w:t xml:space="preserve">J. J. </w:t>
      </w:r>
      <w:proofErr w:type="spellStart"/>
      <w:r w:rsidRPr="00AA48A7">
        <w:rPr>
          <w:rFonts w:ascii="Times New Roman" w:hAnsi="Times New Roman" w:cs="Times New Roman"/>
          <w:i/>
          <w:sz w:val="24"/>
          <w:szCs w:val="24"/>
        </w:rPr>
        <w:t>Moyo</w:t>
      </w:r>
      <w:proofErr w:type="spellEnd"/>
      <w:r w:rsidRPr="00AA48A7">
        <w:rPr>
          <w:rFonts w:ascii="Times New Roman" w:hAnsi="Times New Roman" w:cs="Times New Roman"/>
          <w:i/>
          <w:sz w:val="24"/>
          <w:szCs w:val="24"/>
        </w:rPr>
        <w:t xml:space="preserve"> </w:t>
      </w:r>
      <w:r w:rsidRPr="00AA48A7">
        <w:rPr>
          <w:rFonts w:ascii="Times New Roman" w:hAnsi="Times New Roman" w:cs="Times New Roman"/>
          <w:sz w:val="24"/>
          <w:szCs w:val="24"/>
        </w:rPr>
        <w:t>for the respondent</w:t>
      </w:r>
    </w:p>
    <w:p w:rsidR="00D6291E" w:rsidRDefault="00D6291E" w:rsidP="00D6291E">
      <w:pPr>
        <w:pStyle w:val="NoSpacing"/>
        <w:rPr>
          <w:rFonts w:ascii="Times New Roman" w:hAnsi="Times New Roman" w:cs="Times New Roman"/>
          <w:sz w:val="28"/>
          <w:szCs w:val="28"/>
        </w:rPr>
      </w:pPr>
    </w:p>
    <w:p w:rsidR="00D6291E" w:rsidRPr="00AA48A7" w:rsidRDefault="00D6291E" w:rsidP="00AA48A7">
      <w:pPr>
        <w:jc w:val="both"/>
        <w:rPr>
          <w:rFonts w:ascii="Times New Roman" w:hAnsi="Times New Roman" w:cs="Times New Roman"/>
          <w:sz w:val="24"/>
          <w:szCs w:val="24"/>
        </w:rPr>
      </w:pPr>
      <w:r w:rsidRPr="00AA48A7">
        <w:rPr>
          <w:rFonts w:ascii="Times New Roman" w:hAnsi="Times New Roman" w:cs="Times New Roman"/>
          <w:sz w:val="24"/>
          <w:szCs w:val="24"/>
        </w:rPr>
        <w:tab/>
      </w:r>
      <w:r w:rsidRPr="00AA48A7">
        <w:rPr>
          <w:rFonts w:ascii="Times New Roman" w:hAnsi="Times New Roman" w:cs="Times New Roman"/>
          <w:b/>
          <w:sz w:val="24"/>
          <w:szCs w:val="24"/>
        </w:rPr>
        <w:t>TAKUVA J:</w:t>
      </w:r>
      <w:r w:rsidRPr="00AA48A7">
        <w:rPr>
          <w:rFonts w:ascii="Times New Roman" w:hAnsi="Times New Roman" w:cs="Times New Roman"/>
          <w:sz w:val="24"/>
          <w:szCs w:val="24"/>
        </w:rPr>
        <w:tab/>
        <w:t xml:space="preserve">This is an application for a </w:t>
      </w:r>
      <w:proofErr w:type="spellStart"/>
      <w:r w:rsidRPr="00AA48A7">
        <w:rPr>
          <w:rFonts w:ascii="Times New Roman" w:hAnsi="Times New Roman" w:cs="Times New Roman"/>
          <w:sz w:val="24"/>
          <w:szCs w:val="24"/>
        </w:rPr>
        <w:t>declarat</w:t>
      </w:r>
      <w:r w:rsidR="004E222A">
        <w:rPr>
          <w:rFonts w:ascii="Times New Roman" w:hAnsi="Times New Roman" w:cs="Times New Roman"/>
          <w:sz w:val="24"/>
          <w:szCs w:val="24"/>
        </w:rPr>
        <w:t>e</w:t>
      </w:r>
      <w:r w:rsidRPr="00AA48A7">
        <w:rPr>
          <w:rFonts w:ascii="Times New Roman" w:hAnsi="Times New Roman" w:cs="Times New Roman"/>
          <w:sz w:val="24"/>
          <w:szCs w:val="24"/>
        </w:rPr>
        <w:t>ur</w:t>
      </w:r>
      <w:proofErr w:type="spellEnd"/>
      <w:r w:rsidRPr="00AA48A7">
        <w:rPr>
          <w:rFonts w:ascii="Times New Roman" w:hAnsi="Times New Roman" w:cs="Times New Roman"/>
          <w:sz w:val="24"/>
          <w:szCs w:val="24"/>
        </w:rPr>
        <w:t xml:space="preserve"> against the respondent.  Applicant seeks an order declaring that the respondent’s deduction of her health allowance</w:t>
      </w:r>
      <w:r w:rsidR="003B2F72" w:rsidRPr="00AA48A7">
        <w:rPr>
          <w:rFonts w:ascii="Times New Roman" w:hAnsi="Times New Roman" w:cs="Times New Roman"/>
          <w:sz w:val="24"/>
          <w:szCs w:val="24"/>
        </w:rPr>
        <w:t xml:space="preserve"> </w:t>
      </w:r>
      <w:r w:rsidRPr="00AA48A7">
        <w:rPr>
          <w:rFonts w:ascii="Times New Roman" w:hAnsi="Times New Roman" w:cs="Times New Roman"/>
          <w:sz w:val="24"/>
          <w:szCs w:val="24"/>
        </w:rPr>
        <w:t>extended to her by the Ministry of Health and Child Care is illegal and unlawful.  Further applicant seeks an ancillary order for the payment of all monies that have been deducted by the respondent to date.</w:t>
      </w:r>
    </w:p>
    <w:p w:rsidR="00D6291E" w:rsidRPr="00AA48A7" w:rsidRDefault="00D6291E" w:rsidP="00AA48A7">
      <w:pPr>
        <w:jc w:val="both"/>
        <w:rPr>
          <w:rFonts w:ascii="Times New Roman" w:hAnsi="Times New Roman" w:cs="Times New Roman"/>
          <w:b/>
          <w:sz w:val="24"/>
          <w:szCs w:val="24"/>
        </w:rPr>
      </w:pPr>
      <w:r w:rsidRPr="00AA48A7">
        <w:rPr>
          <w:rFonts w:ascii="Times New Roman" w:hAnsi="Times New Roman" w:cs="Times New Roman"/>
          <w:b/>
          <w:sz w:val="24"/>
          <w:szCs w:val="24"/>
        </w:rPr>
        <w:t>Background facts</w:t>
      </w:r>
    </w:p>
    <w:p w:rsidR="002C64B2" w:rsidRPr="00AA48A7" w:rsidRDefault="002C64B2" w:rsidP="00AA48A7">
      <w:pPr>
        <w:jc w:val="both"/>
        <w:rPr>
          <w:rFonts w:ascii="Times New Roman" w:hAnsi="Times New Roman" w:cs="Times New Roman"/>
          <w:sz w:val="24"/>
          <w:szCs w:val="24"/>
        </w:rPr>
      </w:pPr>
      <w:r w:rsidRPr="00AA48A7">
        <w:rPr>
          <w:rFonts w:ascii="Times New Roman" w:hAnsi="Times New Roman" w:cs="Times New Roman"/>
          <w:sz w:val="24"/>
          <w:szCs w:val="24"/>
        </w:rPr>
        <w:tab/>
        <w:t>Applicant is employed by the respondent as an Executive Officer Health.  By virtue of that position the Ministry of Health and Child Care put in place an arrangement for some allowable deduction allowance for health personnel in councils including the applicant.  The applicant’s allowance total</w:t>
      </w:r>
      <w:r w:rsidR="004E222A">
        <w:rPr>
          <w:rFonts w:ascii="Times New Roman" w:hAnsi="Times New Roman" w:cs="Times New Roman"/>
          <w:sz w:val="24"/>
          <w:szCs w:val="24"/>
        </w:rPr>
        <w:t xml:space="preserve"> </w:t>
      </w:r>
      <w:r w:rsidRPr="00AA48A7">
        <w:rPr>
          <w:rFonts w:ascii="Times New Roman" w:hAnsi="Times New Roman" w:cs="Times New Roman"/>
          <w:sz w:val="24"/>
          <w:szCs w:val="24"/>
        </w:rPr>
        <w:t>$218</w:t>
      </w:r>
      <w:proofErr w:type="gramStart"/>
      <w:r w:rsidRPr="00AA48A7">
        <w:rPr>
          <w:rFonts w:ascii="Times New Roman" w:hAnsi="Times New Roman" w:cs="Times New Roman"/>
          <w:sz w:val="24"/>
          <w:szCs w:val="24"/>
        </w:rPr>
        <w:t>,00</w:t>
      </w:r>
      <w:proofErr w:type="gramEnd"/>
      <w:r w:rsidRPr="00AA48A7">
        <w:rPr>
          <w:rFonts w:ascii="Times New Roman" w:hAnsi="Times New Roman" w:cs="Times New Roman"/>
          <w:sz w:val="24"/>
          <w:szCs w:val="24"/>
        </w:rPr>
        <w:t xml:space="preserve"> per month. Applicant received her health allowance without any challenges until2010 when the allowance was deducted from her salary by the respondent.  Following discussions, the issue was rectified.  However in </w:t>
      </w:r>
      <w:r w:rsidR="006C2E92" w:rsidRPr="00AA48A7">
        <w:rPr>
          <w:rFonts w:ascii="Times New Roman" w:hAnsi="Times New Roman" w:cs="Times New Roman"/>
          <w:sz w:val="24"/>
          <w:szCs w:val="24"/>
        </w:rPr>
        <w:t>M</w:t>
      </w:r>
      <w:r w:rsidRPr="00AA48A7">
        <w:rPr>
          <w:rFonts w:ascii="Times New Roman" w:hAnsi="Times New Roman" w:cs="Times New Roman"/>
          <w:sz w:val="24"/>
          <w:szCs w:val="24"/>
        </w:rPr>
        <w:t>arch 2015, respondent started again deducting the applicant’s health allowance from applicant’s salary.</w:t>
      </w:r>
    </w:p>
    <w:p w:rsidR="005A371B" w:rsidRPr="00AA48A7" w:rsidRDefault="002C64B2" w:rsidP="00AA48A7">
      <w:pPr>
        <w:jc w:val="both"/>
        <w:rPr>
          <w:rFonts w:ascii="Times New Roman" w:hAnsi="Times New Roman" w:cs="Times New Roman"/>
          <w:sz w:val="24"/>
          <w:szCs w:val="24"/>
        </w:rPr>
      </w:pPr>
      <w:r w:rsidRPr="00AA48A7">
        <w:rPr>
          <w:rFonts w:ascii="Times New Roman" w:hAnsi="Times New Roman" w:cs="Times New Roman"/>
          <w:sz w:val="24"/>
          <w:szCs w:val="24"/>
        </w:rPr>
        <w:tab/>
        <w:t xml:space="preserve">Aggrieved, applicant approached the Ministry of Labour arguing that the effect of the deduction of her health allowance was a </w:t>
      </w:r>
      <w:r w:rsidR="00817530" w:rsidRPr="00AA48A7">
        <w:rPr>
          <w:rFonts w:ascii="Times New Roman" w:hAnsi="Times New Roman" w:cs="Times New Roman"/>
          <w:sz w:val="24"/>
          <w:szCs w:val="24"/>
        </w:rPr>
        <w:t>reduction in her salary contrary to the provisions of the</w:t>
      </w:r>
      <w:r w:rsidR="00413AA4" w:rsidRPr="00AA48A7">
        <w:rPr>
          <w:rFonts w:ascii="Times New Roman" w:hAnsi="Times New Roman" w:cs="Times New Roman"/>
          <w:sz w:val="24"/>
          <w:szCs w:val="24"/>
        </w:rPr>
        <w:t xml:space="preserve"> </w:t>
      </w:r>
      <w:r w:rsidR="00817530" w:rsidRPr="00AA48A7">
        <w:rPr>
          <w:rFonts w:ascii="Times New Roman" w:hAnsi="Times New Roman" w:cs="Times New Roman"/>
          <w:sz w:val="24"/>
          <w:szCs w:val="24"/>
        </w:rPr>
        <w:t xml:space="preserve">Labour Act Chapter </w:t>
      </w:r>
      <w:r w:rsidR="004E222A">
        <w:rPr>
          <w:rFonts w:ascii="Times New Roman" w:hAnsi="Times New Roman" w:cs="Times New Roman"/>
          <w:sz w:val="24"/>
          <w:szCs w:val="24"/>
        </w:rPr>
        <w:t>28:01.</w:t>
      </w:r>
      <w:r w:rsidR="006C2E92" w:rsidRPr="00AA48A7">
        <w:rPr>
          <w:rFonts w:ascii="Times New Roman" w:hAnsi="Times New Roman" w:cs="Times New Roman"/>
          <w:sz w:val="24"/>
          <w:szCs w:val="24"/>
        </w:rPr>
        <w:t xml:space="preserve">  The applicant also claimed payment of all the monies deducted by the respondent up to that date.  A Designated Agent eventually dealt with the matter and dismissed the applicant’s claim.</w:t>
      </w:r>
    </w:p>
    <w:p w:rsidR="006C2E92" w:rsidRPr="00AA48A7" w:rsidRDefault="006C2E92" w:rsidP="00AA48A7">
      <w:pPr>
        <w:jc w:val="both"/>
        <w:rPr>
          <w:rFonts w:ascii="Times New Roman" w:hAnsi="Times New Roman" w:cs="Times New Roman"/>
          <w:sz w:val="24"/>
          <w:szCs w:val="24"/>
        </w:rPr>
      </w:pPr>
      <w:r w:rsidRPr="00AA48A7">
        <w:rPr>
          <w:rFonts w:ascii="Times New Roman" w:hAnsi="Times New Roman" w:cs="Times New Roman"/>
          <w:sz w:val="24"/>
          <w:szCs w:val="24"/>
        </w:rPr>
        <w:tab/>
        <w:t>In this application</w:t>
      </w:r>
      <w:r w:rsidR="004E222A">
        <w:rPr>
          <w:rFonts w:ascii="Times New Roman" w:hAnsi="Times New Roman" w:cs="Times New Roman"/>
          <w:sz w:val="24"/>
          <w:szCs w:val="24"/>
        </w:rPr>
        <w:t>,</w:t>
      </w:r>
      <w:r w:rsidRPr="00AA48A7">
        <w:rPr>
          <w:rFonts w:ascii="Times New Roman" w:hAnsi="Times New Roman" w:cs="Times New Roman"/>
          <w:sz w:val="24"/>
          <w:szCs w:val="24"/>
        </w:rPr>
        <w:t xml:space="preserve"> applicant argued that the relief she </w:t>
      </w:r>
      <w:r w:rsidR="003B2F72" w:rsidRPr="00AA48A7">
        <w:rPr>
          <w:rFonts w:ascii="Times New Roman" w:hAnsi="Times New Roman" w:cs="Times New Roman"/>
          <w:sz w:val="24"/>
          <w:szCs w:val="24"/>
        </w:rPr>
        <w:t xml:space="preserve">seeks is different from the relief </w:t>
      </w:r>
      <w:r w:rsidR="004E222A">
        <w:rPr>
          <w:rFonts w:ascii="Times New Roman" w:hAnsi="Times New Roman" w:cs="Times New Roman"/>
          <w:sz w:val="24"/>
          <w:szCs w:val="24"/>
        </w:rPr>
        <w:t xml:space="preserve">granted by the Designated Agent </w:t>
      </w:r>
      <w:r w:rsidR="003B2F72" w:rsidRPr="00AA48A7">
        <w:rPr>
          <w:rFonts w:ascii="Times New Roman" w:hAnsi="Times New Roman" w:cs="Times New Roman"/>
          <w:sz w:val="24"/>
          <w:szCs w:val="24"/>
        </w:rPr>
        <w:t>in that the dispute</w:t>
      </w:r>
      <w:r w:rsidR="00823272" w:rsidRPr="00AA48A7">
        <w:rPr>
          <w:rFonts w:ascii="Times New Roman" w:hAnsi="Times New Roman" w:cs="Times New Roman"/>
          <w:sz w:val="24"/>
          <w:szCs w:val="24"/>
        </w:rPr>
        <w:t xml:space="preserve"> </w:t>
      </w:r>
      <w:r w:rsidR="003B2F72" w:rsidRPr="00AA48A7">
        <w:rPr>
          <w:rFonts w:ascii="Times New Roman" w:hAnsi="Times New Roman" w:cs="Times New Roman"/>
          <w:sz w:val="24"/>
          <w:szCs w:val="24"/>
        </w:rPr>
        <w:t>before the Designated Agent was wh</w:t>
      </w:r>
      <w:r w:rsidR="00823272" w:rsidRPr="00AA48A7">
        <w:rPr>
          <w:rFonts w:ascii="Times New Roman" w:hAnsi="Times New Roman" w:cs="Times New Roman"/>
          <w:sz w:val="24"/>
          <w:szCs w:val="24"/>
        </w:rPr>
        <w:t>e</w:t>
      </w:r>
      <w:r w:rsidR="003B2F72" w:rsidRPr="00AA48A7">
        <w:rPr>
          <w:rFonts w:ascii="Times New Roman" w:hAnsi="Times New Roman" w:cs="Times New Roman"/>
          <w:sz w:val="24"/>
          <w:szCs w:val="24"/>
        </w:rPr>
        <w:t>ther the applicant’s salary</w:t>
      </w:r>
      <w:r w:rsidR="00823272" w:rsidRPr="00AA48A7">
        <w:rPr>
          <w:rFonts w:ascii="Times New Roman" w:hAnsi="Times New Roman" w:cs="Times New Roman"/>
          <w:sz w:val="24"/>
          <w:szCs w:val="24"/>
        </w:rPr>
        <w:t xml:space="preserve"> </w:t>
      </w:r>
      <w:r w:rsidR="003B2F72" w:rsidRPr="00AA48A7">
        <w:rPr>
          <w:rFonts w:ascii="Times New Roman" w:hAnsi="Times New Roman" w:cs="Times New Roman"/>
          <w:sz w:val="24"/>
          <w:szCs w:val="24"/>
        </w:rPr>
        <w:t>had been unlawfully reduced whereas the</w:t>
      </w:r>
      <w:r w:rsidR="00B13C89" w:rsidRPr="00AA48A7">
        <w:rPr>
          <w:rFonts w:ascii="Times New Roman" w:hAnsi="Times New Roman" w:cs="Times New Roman"/>
          <w:sz w:val="24"/>
          <w:szCs w:val="24"/>
        </w:rPr>
        <w:t xml:space="preserve"> </w:t>
      </w:r>
      <w:r w:rsidR="003B2F72" w:rsidRPr="00AA48A7">
        <w:rPr>
          <w:rFonts w:ascii="Times New Roman" w:hAnsi="Times New Roman" w:cs="Times New Roman"/>
          <w:sz w:val="24"/>
          <w:szCs w:val="24"/>
        </w:rPr>
        <w:t xml:space="preserve">effect of a </w:t>
      </w:r>
      <w:proofErr w:type="spellStart"/>
      <w:r w:rsidR="003B2F72" w:rsidRPr="00AA48A7">
        <w:rPr>
          <w:rFonts w:ascii="Times New Roman" w:hAnsi="Times New Roman" w:cs="Times New Roman"/>
          <w:sz w:val="24"/>
          <w:szCs w:val="24"/>
        </w:rPr>
        <w:t>declarat</w:t>
      </w:r>
      <w:r w:rsidR="004E222A">
        <w:rPr>
          <w:rFonts w:ascii="Times New Roman" w:hAnsi="Times New Roman" w:cs="Times New Roman"/>
          <w:sz w:val="24"/>
          <w:szCs w:val="24"/>
        </w:rPr>
        <w:t>eu</w:t>
      </w:r>
      <w:r w:rsidR="003B2F72" w:rsidRPr="00AA48A7">
        <w:rPr>
          <w:rFonts w:ascii="Times New Roman" w:hAnsi="Times New Roman" w:cs="Times New Roman"/>
          <w:sz w:val="24"/>
          <w:szCs w:val="24"/>
        </w:rPr>
        <w:t>r</w:t>
      </w:r>
      <w:proofErr w:type="spellEnd"/>
      <w:r w:rsidR="003B2F72" w:rsidRPr="00AA48A7">
        <w:rPr>
          <w:rFonts w:ascii="Times New Roman" w:hAnsi="Times New Roman" w:cs="Times New Roman"/>
          <w:sz w:val="24"/>
          <w:szCs w:val="24"/>
        </w:rPr>
        <w:t xml:space="preserve"> is to declare the applicant’s “entitlement to the allowance”.  Applicant agrees </w:t>
      </w:r>
      <w:r w:rsidR="004E222A">
        <w:rPr>
          <w:rFonts w:ascii="Times New Roman" w:hAnsi="Times New Roman" w:cs="Times New Roman"/>
          <w:sz w:val="24"/>
          <w:szCs w:val="24"/>
        </w:rPr>
        <w:t xml:space="preserve">that </w:t>
      </w:r>
      <w:r w:rsidR="003B2F72" w:rsidRPr="00AA48A7">
        <w:rPr>
          <w:rFonts w:ascii="Times New Roman" w:hAnsi="Times New Roman" w:cs="Times New Roman"/>
          <w:sz w:val="24"/>
          <w:szCs w:val="24"/>
        </w:rPr>
        <w:t>on</w:t>
      </w:r>
      <w:r w:rsidR="004E222A">
        <w:rPr>
          <w:rFonts w:ascii="Times New Roman" w:hAnsi="Times New Roman" w:cs="Times New Roman"/>
          <w:sz w:val="24"/>
          <w:szCs w:val="24"/>
        </w:rPr>
        <w:t>e of</w:t>
      </w:r>
      <w:r w:rsidR="003B2F72" w:rsidRPr="00AA48A7">
        <w:rPr>
          <w:rFonts w:ascii="Times New Roman" w:hAnsi="Times New Roman" w:cs="Times New Roman"/>
          <w:sz w:val="24"/>
          <w:szCs w:val="24"/>
        </w:rPr>
        <w:t xml:space="preserve"> the issues before the Designated Agent was “whether or not the claimant’s salary was unilaterally reduced”.  In fact, the issue</w:t>
      </w:r>
      <w:r w:rsidR="00B13C89" w:rsidRPr="00AA48A7">
        <w:rPr>
          <w:rFonts w:ascii="Times New Roman" w:hAnsi="Times New Roman" w:cs="Times New Roman"/>
          <w:sz w:val="24"/>
          <w:szCs w:val="24"/>
        </w:rPr>
        <w:t xml:space="preserve"> is put beyond any reasonable doubt by the applicant in the following words; “what the applicant has referred to this </w:t>
      </w:r>
      <w:r w:rsidR="004E222A">
        <w:rPr>
          <w:rFonts w:ascii="Times New Roman" w:hAnsi="Times New Roman" w:cs="Times New Roman"/>
          <w:sz w:val="24"/>
          <w:szCs w:val="24"/>
        </w:rPr>
        <w:t>H</w:t>
      </w:r>
      <w:r w:rsidR="00B13C89" w:rsidRPr="00AA48A7">
        <w:rPr>
          <w:rFonts w:ascii="Times New Roman" w:hAnsi="Times New Roman" w:cs="Times New Roman"/>
          <w:sz w:val="24"/>
          <w:szCs w:val="24"/>
        </w:rPr>
        <w:t xml:space="preserve">onourable </w:t>
      </w:r>
      <w:r w:rsidR="004E222A">
        <w:rPr>
          <w:rFonts w:ascii="Times New Roman" w:hAnsi="Times New Roman" w:cs="Times New Roman"/>
          <w:sz w:val="24"/>
          <w:szCs w:val="24"/>
        </w:rPr>
        <w:t>Co</w:t>
      </w:r>
      <w:r w:rsidR="00B13C89" w:rsidRPr="00AA48A7">
        <w:rPr>
          <w:rFonts w:ascii="Times New Roman" w:hAnsi="Times New Roman" w:cs="Times New Roman"/>
          <w:sz w:val="24"/>
          <w:szCs w:val="24"/>
        </w:rPr>
        <w:t xml:space="preserve">urt is that a declaration be made that the deduction by the respondent of her health allowance paid by the Ministry of Health and Child Care be declared </w:t>
      </w:r>
      <w:r w:rsidR="00B13C89" w:rsidRPr="00AA48A7">
        <w:rPr>
          <w:rFonts w:ascii="Times New Roman" w:hAnsi="Times New Roman" w:cs="Times New Roman"/>
          <w:sz w:val="24"/>
          <w:szCs w:val="24"/>
          <w:u w:val="single"/>
        </w:rPr>
        <w:t>unlawful and illegal.</w:t>
      </w:r>
      <w:r w:rsidR="00B13C89" w:rsidRPr="00AA48A7">
        <w:rPr>
          <w:rFonts w:ascii="Times New Roman" w:hAnsi="Times New Roman" w:cs="Times New Roman"/>
          <w:sz w:val="24"/>
          <w:szCs w:val="24"/>
        </w:rPr>
        <w:t xml:space="preserve">  Indeed no pronouncement was made by the Designated Agent on this issue.  Accordingly, it is submitted that the respondent’s contention </w:t>
      </w:r>
      <w:r w:rsidR="00B13C89" w:rsidRPr="00AA48A7">
        <w:rPr>
          <w:rFonts w:ascii="Times New Roman" w:hAnsi="Times New Roman" w:cs="Times New Roman"/>
          <w:sz w:val="24"/>
          <w:szCs w:val="24"/>
        </w:rPr>
        <w:lastRenderedPageBreak/>
        <w:t>that “a tribunal of competent jurisdiction has made a pronouncement of the applicant’s legal entitlement to her health allowances has no merit and cannot be sustained</w:t>
      </w:r>
      <w:r w:rsidR="004E222A">
        <w:rPr>
          <w:rFonts w:ascii="Times New Roman" w:hAnsi="Times New Roman" w:cs="Times New Roman"/>
          <w:sz w:val="24"/>
          <w:szCs w:val="24"/>
        </w:rPr>
        <w:t>”</w:t>
      </w:r>
      <w:r w:rsidR="00B13C89" w:rsidRPr="00AA48A7">
        <w:rPr>
          <w:rFonts w:ascii="Times New Roman" w:hAnsi="Times New Roman" w:cs="Times New Roman"/>
          <w:sz w:val="24"/>
          <w:szCs w:val="24"/>
        </w:rPr>
        <w:t>.  (</w:t>
      </w:r>
      <w:proofErr w:type="gramStart"/>
      <w:r w:rsidR="00B13C89" w:rsidRPr="00AA48A7">
        <w:rPr>
          <w:rFonts w:ascii="Times New Roman" w:hAnsi="Times New Roman" w:cs="Times New Roman"/>
          <w:sz w:val="24"/>
          <w:szCs w:val="24"/>
        </w:rPr>
        <w:t>my</w:t>
      </w:r>
      <w:proofErr w:type="gramEnd"/>
      <w:r w:rsidR="00B13C89" w:rsidRPr="00AA48A7">
        <w:rPr>
          <w:rFonts w:ascii="Times New Roman" w:hAnsi="Times New Roman" w:cs="Times New Roman"/>
          <w:sz w:val="24"/>
          <w:szCs w:val="24"/>
        </w:rPr>
        <w:t xml:space="preserve"> emphasis)</w:t>
      </w:r>
    </w:p>
    <w:p w:rsidR="00B13C89" w:rsidRPr="00AA48A7" w:rsidRDefault="00B13C89" w:rsidP="00AA48A7">
      <w:pPr>
        <w:jc w:val="both"/>
        <w:rPr>
          <w:rFonts w:ascii="Times New Roman" w:hAnsi="Times New Roman" w:cs="Times New Roman"/>
          <w:sz w:val="24"/>
          <w:szCs w:val="24"/>
        </w:rPr>
      </w:pPr>
      <w:r w:rsidRPr="00AA48A7">
        <w:rPr>
          <w:rFonts w:ascii="Times New Roman" w:hAnsi="Times New Roman" w:cs="Times New Roman"/>
          <w:sz w:val="24"/>
          <w:szCs w:val="24"/>
        </w:rPr>
        <w:tab/>
        <w:t>According to the applicant there are only three issues for determination namely;</w:t>
      </w:r>
    </w:p>
    <w:p w:rsidR="00B13C89" w:rsidRPr="00AA48A7" w:rsidRDefault="00575D92" w:rsidP="00AA48A7">
      <w:pPr>
        <w:pStyle w:val="NoSpacing"/>
        <w:ind w:left="1440" w:hanging="720"/>
        <w:jc w:val="both"/>
        <w:rPr>
          <w:rFonts w:ascii="Times New Roman" w:hAnsi="Times New Roman" w:cs="Times New Roman"/>
          <w:sz w:val="24"/>
          <w:szCs w:val="24"/>
        </w:rPr>
      </w:pPr>
      <w:r w:rsidRPr="00AA48A7">
        <w:rPr>
          <w:rFonts w:ascii="Times New Roman" w:hAnsi="Times New Roman" w:cs="Times New Roman"/>
          <w:sz w:val="24"/>
          <w:szCs w:val="24"/>
        </w:rPr>
        <w:t>“(</w:t>
      </w:r>
      <w:proofErr w:type="spellStart"/>
      <w:proofErr w:type="gramStart"/>
      <w:r w:rsidRPr="00AA48A7">
        <w:rPr>
          <w:rFonts w:ascii="Times New Roman" w:hAnsi="Times New Roman" w:cs="Times New Roman"/>
          <w:sz w:val="24"/>
          <w:szCs w:val="24"/>
        </w:rPr>
        <w:t>i</w:t>
      </w:r>
      <w:proofErr w:type="spellEnd"/>
      <w:proofErr w:type="gramEnd"/>
      <w:r w:rsidRPr="00AA48A7">
        <w:rPr>
          <w:rFonts w:ascii="Times New Roman" w:hAnsi="Times New Roman" w:cs="Times New Roman"/>
          <w:sz w:val="24"/>
          <w:szCs w:val="24"/>
        </w:rPr>
        <w:t>)</w:t>
      </w:r>
      <w:r w:rsidRPr="00AA48A7">
        <w:rPr>
          <w:rFonts w:ascii="Times New Roman" w:hAnsi="Times New Roman" w:cs="Times New Roman"/>
          <w:sz w:val="24"/>
          <w:szCs w:val="24"/>
        </w:rPr>
        <w:tab/>
        <w:t>whether the respondent has any authority or legal basis to deduct applicant’s health allowance paid by the Ministry of Health and Child Care?</w:t>
      </w:r>
    </w:p>
    <w:p w:rsidR="00575D92" w:rsidRPr="00AA48A7" w:rsidRDefault="00575D92" w:rsidP="00AA48A7">
      <w:pPr>
        <w:pStyle w:val="NoSpacing"/>
        <w:ind w:left="1440" w:hanging="720"/>
        <w:jc w:val="both"/>
        <w:rPr>
          <w:rFonts w:ascii="Times New Roman" w:hAnsi="Times New Roman" w:cs="Times New Roman"/>
          <w:sz w:val="24"/>
          <w:szCs w:val="24"/>
        </w:rPr>
      </w:pPr>
      <w:r w:rsidRPr="00AA48A7">
        <w:rPr>
          <w:rFonts w:ascii="Times New Roman" w:hAnsi="Times New Roman" w:cs="Times New Roman"/>
          <w:sz w:val="24"/>
          <w:szCs w:val="24"/>
        </w:rPr>
        <w:t>(ii)</w:t>
      </w:r>
      <w:r w:rsidRPr="00AA48A7">
        <w:rPr>
          <w:rFonts w:ascii="Times New Roman" w:hAnsi="Times New Roman" w:cs="Times New Roman"/>
          <w:sz w:val="24"/>
          <w:szCs w:val="24"/>
        </w:rPr>
        <w:tab/>
      </w:r>
      <w:r w:rsidR="0075043D" w:rsidRPr="00AA48A7">
        <w:rPr>
          <w:rFonts w:ascii="Times New Roman" w:hAnsi="Times New Roman" w:cs="Times New Roman"/>
          <w:sz w:val="24"/>
          <w:szCs w:val="24"/>
        </w:rPr>
        <w:t>whether the applicant’s legal entitlement to the health allowance paid by the Ministry of Health and Child care has been determined by a tribunal of competent jurisdiction; and</w:t>
      </w:r>
    </w:p>
    <w:p w:rsidR="0075043D" w:rsidRPr="00AA48A7" w:rsidRDefault="0075043D" w:rsidP="00AA48A7">
      <w:pPr>
        <w:pStyle w:val="NoSpacing"/>
        <w:ind w:left="1440" w:hanging="720"/>
        <w:jc w:val="both"/>
        <w:rPr>
          <w:rFonts w:ascii="Times New Roman" w:hAnsi="Times New Roman" w:cs="Times New Roman"/>
          <w:sz w:val="24"/>
          <w:szCs w:val="24"/>
        </w:rPr>
      </w:pPr>
      <w:r w:rsidRPr="00AA48A7">
        <w:rPr>
          <w:rFonts w:ascii="Times New Roman" w:hAnsi="Times New Roman" w:cs="Times New Roman"/>
          <w:sz w:val="24"/>
          <w:szCs w:val="24"/>
        </w:rPr>
        <w:t>(iii)</w:t>
      </w:r>
      <w:r w:rsidRPr="00AA48A7">
        <w:rPr>
          <w:rFonts w:ascii="Times New Roman" w:hAnsi="Times New Roman" w:cs="Times New Roman"/>
          <w:sz w:val="24"/>
          <w:szCs w:val="24"/>
        </w:rPr>
        <w:tab/>
      </w:r>
      <w:proofErr w:type="gramStart"/>
      <w:r w:rsidRPr="00AA48A7">
        <w:rPr>
          <w:rFonts w:ascii="Times New Roman" w:hAnsi="Times New Roman" w:cs="Times New Roman"/>
          <w:sz w:val="24"/>
          <w:szCs w:val="24"/>
        </w:rPr>
        <w:t>whether</w:t>
      </w:r>
      <w:proofErr w:type="gramEnd"/>
      <w:r w:rsidRPr="00AA48A7">
        <w:rPr>
          <w:rFonts w:ascii="Times New Roman" w:hAnsi="Times New Roman" w:cs="Times New Roman"/>
          <w:sz w:val="24"/>
          <w:szCs w:val="24"/>
        </w:rPr>
        <w:t xml:space="preserve"> the applicant has managed to satisfy the requirements for a </w:t>
      </w:r>
      <w:proofErr w:type="spellStart"/>
      <w:r w:rsidRPr="00AA48A7">
        <w:rPr>
          <w:rFonts w:ascii="Times New Roman" w:hAnsi="Times New Roman" w:cs="Times New Roman"/>
          <w:sz w:val="24"/>
          <w:szCs w:val="24"/>
        </w:rPr>
        <w:t>declarat</w:t>
      </w:r>
      <w:r w:rsidR="004E222A">
        <w:rPr>
          <w:rFonts w:ascii="Times New Roman" w:hAnsi="Times New Roman" w:cs="Times New Roman"/>
          <w:sz w:val="24"/>
          <w:szCs w:val="24"/>
        </w:rPr>
        <w:t>e</w:t>
      </w:r>
      <w:r w:rsidRPr="00AA48A7">
        <w:rPr>
          <w:rFonts w:ascii="Times New Roman" w:hAnsi="Times New Roman" w:cs="Times New Roman"/>
          <w:sz w:val="24"/>
          <w:szCs w:val="24"/>
        </w:rPr>
        <w:t>ur</w:t>
      </w:r>
      <w:proofErr w:type="spellEnd"/>
      <w:r w:rsidRPr="00AA48A7">
        <w:rPr>
          <w:rFonts w:ascii="Times New Roman" w:hAnsi="Times New Roman" w:cs="Times New Roman"/>
          <w:sz w:val="24"/>
          <w:szCs w:val="24"/>
        </w:rPr>
        <w:t xml:space="preserve"> and the relief she is seeking”.</w:t>
      </w:r>
    </w:p>
    <w:p w:rsidR="0075043D" w:rsidRPr="00AA48A7" w:rsidRDefault="0075043D" w:rsidP="00AA48A7">
      <w:pPr>
        <w:jc w:val="both"/>
        <w:rPr>
          <w:sz w:val="24"/>
          <w:szCs w:val="24"/>
        </w:rPr>
      </w:pPr>
    </w:p>
    <w:p w:rsidR="0075043D" w:rsidRPr="00AA48A7" w:rsidRDefault="0075043D" w:rsidP="00AA48A7">
      <w:pPr>
        <w:jc w:val="both"/>
        <w:rPr>
          <w:rFonts w:ascii="Times New Roman" w:hAnsi="Times New Roman" w:cs="Times New Roman"/>
          <w:sz w:val="24"/>
          <w:szCs w:val="24"/>
        </w:rPr>
      </w:pPr>
      <w:r w:rsidRPr="00AA48A7">
        <w:rPr>
          <w:rFonts w:ascii="Times New Roman" w:hAnsi="Times New Roman" w:cs="Times New Roman"/>
          <w:sz w:val="24"/>
          <w:szCs w:val="24"/>
        </w:rPr>
        <w:tab/>
        <w:t>Applicant proceeded to argue her case on the above premise.</w:t>
      </w:r>
    </w:p>
    <w:p w:rsidR="0075043D" w:rsidRPr="00AA48A7" w:rsidRDefault="0075043D" w:rsidP="00AA48A7">
      <w:pPr>
        <w:jc w:val="both"/>
        <w:rPr>
          <w:rFonts w:ascii="Times New Roman" w:hAnsi="Times New Roman" w:cs="Times New Roman"/>
          <w:sz w:val="24"/>
          <w:szCs w:val="24"/>
        </w:rPr>
      </w:pPr>
      <w:r w:rsidRPr="00AA48A7">
        <w:rPr>
          <w:rFonts w:ascii="Times New Roman" w:hAnsi="Times New Roman" w:cs="Times New Roman"/>
          <w:sz w:val="24"/>
          <w:szCs w:val="24"/>
        </w:rPr>
        <w:tab/>
        <w:t>The application was opposed by the respondent on the ground that the matter has already been determined by a tribunal of competent jurisdiction.  In the circumstances, the applicant ought to have taken the necessary steps to</w:t>
      </w:r>
      <w:r w:rsidR="002822B6" w:rsidRPr="00AA48A7">
        <w:rPr>
          <w:rFonts w:ascii="Times New Roman" w:hAnsi="Times New Roman" w:cs="Times New Roman"/>
          <w:sz w:val="24"/>
          <w:szCs w:val="24"/>
        </w:rPr>
        <w:t xml:space="preserve"> challenge the decision that was made either through an appeal process or one of review so that the decision </w:t>
      </w:r>
      <w:r w:rsidR="004E222A">
        <w:rPr>
          <w:rFonts w:ascii="Times New Roman" w:hAnsi="Times New Roman" w:cs="Times New Roman"/>
          <w:sz w:val="24"/>
          <w:szCs w:val="24"/>
        </w:rPr>
        <w:t>i</w:t>
      </w:r>
      <w:r w:rsidR="002822B6" w:rsidRPr="00AA48A7">
        <w:rPr>
          <w:rFonts w:ascii="Times New Roman" w:hAnsi="Times New Roman" w:cs="Times New Roman"/>
          <w:sz w:val="24"/>
          <w:szCs w:val="24"/>
        </w:rPr>
        <w:t>f wrong at law, may be set aside.</w:t>
      </w:r>
    </w:p>
    <w:p w:rsidR="002822B6" w:rsidRPr="00AA48A7" w:rsidRDefault="002822B6" w:rsidP="00AA48A7">
      <w:pPr>
        <w:jc w:val="both"/>
        <w:rPr>
          <w:rFonts w:ascii="Times New Roman" w:hAnsi="Times New Roman" w:cs="Times New Roman"/>
          <w:sz w:val="24"/>
          <w:szCs w:val="24"/>
        </w:rPr>
      </w:pPr>
      <w:r w:rsidRPr="00AA48A7">
        <w:rPr>
          <w:rFonts w:ascii="Times New Roman" w:hAnsi="Times New Roman" w:cs="Times New Roman"/>
          <w:sz w:val="24"/>
          <w:szCs w:val="24"/>
        </w:rPr>
        <w:tab/>
        <w:t xml:space="preserve">The defence is one of </w:t>
      </w:r>
      <w:r w:rsidRPr="00AA48A7">
        <w:rPr>
          <w:rFonts w:ascii="Times New Roman" w:hAnsi="Times New Roman" w:cs="Times New Roman"/>
          <w:i/>
          <w:sz w:val="24"/>
          <w:szCs w:val="24"/>
        </w:rPr>
        <w:t>res judicata</w:t>
      </w:r>
      <w:r w:rsidRPr="00AA48A7">
        <w:rPr>
          <w:rFonts w:ascii="Times New Roman" w:hAnsi="Times New Roman" w:cs="Times New Roman"/>
          <w:sz w:val="24"/>
          <w:szCs w:val="24"/>
        </w:rPr>
        <w:t>.  In my view this is the issue before this</w:t>
      </w:r>
      <w:r w:rsidR="00174EE2" w:rsidRPr="00AA48A7">
        <w:rPr>
          <w:rFonts w:ascii="Times New Roman" w:hAnsi="Times New Roman" w:cs="Times New Roman"/>
          <w:sz w:val="24"/>
          <w:szCs w:val="24"/>
        </w:rPr>
        <w:t xml:space="preserve"> </w:t>
      </w:r>
      <w:r w:rsidR="004E222A">
        <w:rPr>
          <w:rFonts w:ascii="Times New Roman" w:hAnsi="Times New Roman" w:cs="Times New Roman"/>
          <w:sz w:val="24"/>
          <w:szCs w:val="24"/>
        </w:rPr>
        <w:t>C</w:t>
      </w:r>
      <w:r w:rsidR="00174EE2" w:rsidRPr="00AA48A7">
        <w:rPr>
          <w:rFonts w:ascii="Times New Roman" w:hAnsi="Times New Roman" w:cs="Times New Roman"/>
          <w:sz w:val="24"/>
          <w:szCs w:val="24"/>
        </w:rPr>
        <w:t xml:space="preserve">ourt.  The requirements of the principle of </w:t>
      </w:r>
      <w:r w:rsidR="00174EE2" w:rsidRPr="004E222A">
        <w:rPr>
          <w:rFonts w:ascii="Times New Roman" w:hAnsi="Times New Roman" w:cs="Times New Roman"/>
          <w:i/>
          <w:sz w:val="24"/>
          <w:szCs w:val="24"/>
        </w:rPr>
        <w:t>res judicata</w:t>
      </w:r>
      <w:r w:rsidR="00174EE2" w:rsidRPr="00AA48A7">
        <w:rPr>
          <w:rFonts w:ascii="Times New Roman" w:hAnsi="Times New Roman" w:cs="Times New Roman"/>
          <w:sz w:val="24"/>
          <w:szCs w:val="24"/>
        </w:rPr>
        <w:t xml:space="preserve"> were set out in the following</w:t>
      </w:r>
      <w:r w:rsidR="00823272" w:rsidRPr="00AA48A7">
        <w:rPr>
          <w:rFonts w:ascii="Times New Roman" w:hAnsi="Times New Roman" w:cs="Times New Roman"/>
          <w:sz w:val="24"/>
          <w:szCs w:val="24"/>
        </w:rPr>
        <w:t xml:space="preserve"> </w:t>
      </w:r>
      <w:r w:rsidR="00174EE2" w:rsidRPr="00AA48A7">
        <w:rPr>
          <w:rFonts w:ascii="Times New Roman" w:hAnsi="Times New Roman" w:cs="Times New Roman"/>
          <w:sz w:val="24"/>
          <w:szCs w:val="24"/>
        </w:rPr>
        <w:t>cases;</w:t>
      </w:r>
      <w:r w:rsidR="00823272" w:rsidRPr="00AA48A7">
        <w:rPr>
          <w:rFonts w:ascii="Times New Roman" w:hAnsi="Times New Roman" w:cs="Times New Roman"/>
          <w:sz w:val="24"/>
          <w:szCs w:val="24"/>
        </w:rPr>
        <w:t xml:space="preserve"> </w:t>
      </w:r>
      <w:proofErr w:type="spellStart"/>
      <w:r w:rsidR="00174EE2" w:rsidRPr="00AA48A7">
        <w:rPr>
          <w:rFonts w:ascii="Times New Roman" w:hAnsi="Times New Roman" w:cs="Times New Roman"/>
          <w:i/>
          <w:sz w:val="24"/>
          <w:szCs w:val="24"/>
        </w:rPr>
        <w:t>Wolfenden</w:t>
      </w:r>
      <w:proofErr w:type="spellEnd"/>
      <w:r w:rsidR="00174EE2" w:rsidRPr="00AA48A7">
        <w:rPr>
          <w:rFonts w:ascii="Times New Roman" w:hAnsi="Times New Roman" w:cs="Times New Roman"/>
          <w:sz w:val="24"/>
          <w:szCs w:val="24"/>
        </w:rPr>
        <w:t xml:space="preserve"> v </w:t>
      </w:r>
      <w:r w:rsidR="00174EE2" w:rsidRPr="00AA48A7">
        <w:rPr>
          <w:rFonts w:ascii="Times New Roman" w:hAnsi="Times New Roman" w:cs="Times New Roman"/>
          <w:i/>
          <w:sz w:val="24"/>
          <w:szCs w:val="24"/>
        </w:rPr>
        <w:t>Jackson</w:t>
      </w:r>
      <w:r w:rsidR="00174EE2" w:rsidRPr="00AA48A7">
        <w:rPr>
          <w:rFonts w:ascii="Times New Roman" w:hAnsi="Times New Roman" w:cs="Times New Roman"/>
          <w:sz w:val="24"/>
          <w:szCs w:val="24"/>
        </w:rPr>
        <w:t xml:space="preserve"> 1985 (2) ZLR 313 (SC); </w:t>
      </w:r>
      <w:r w:rsidR="00174EE2" w:rsidRPr="00AA48A7">
        <w:rPr>
          <w:rFonts w:ascii="Times New Roman" w:hAnsi="Times New Roman" w:cs="Times New Roman"/>
          <w:i/>
          <w:sz w:val="24"/>
          <w:szCs w:val="24"/>
        </w:rPr>
        <w:t xml:space="preserve">Towers </w:t>
      </w:r>
      <w:r w:rsidR="00174EE2" w:rsidRPr="00AA48A7">
        <w:rPr>
          <w:rFonts w:ascii="Times New Roman" w:hAnsi="Times New Roman" w:cs="Times New Roman"/>
          <w:sz w:val="24"/>
          <w:szCs w:val="24"/>
        </w:rPr>
        <w:t xml:space="preserve">v </w:t>
      </w:r>
      <w:proofErr w:type="spellStart"/>
      <w:r w:rsidR="00174EE2" w:rsidRPr="00AA48A7">
        <w:rPr>
          <w:rFonts w:ascii="Times New Roman" w:hAnsi="Times New Roman" w:cs="Times New Roman"/>
          <w:i/>
          <w:sz w:val="24"/>
          <w:szCs w:val="24"/>
        </w:rPr>
        <w:t>Chitapa</w:t>
      </w:r>
      <w:proofErr w:type="spellEnd"/>
      <w:r w:rsidR="00174EE2" w:rsidRPr="00AA48A7">
        <w:rPr>
          <w:rFonts w:ascii="Times New Roman" w:hAnsi="Times New Roman" w:cs="Times New Roman"/>
          <w:i/>
          <w:sz w:val="24"/>
          <w:szCs w:val="24"/>
        </w:rPr>
        <w:t xml:space="preserve"> </w:t>
      </w:r>
      <w:r w:rsidR="00174EE2" w:rsidRPr="00AA48A7">
        <w:rPr>
          <w:rFonts w:ascii="Times New Roman" w:hAnsi="Times New Roman" w:cs="Times New Roman"/>
          <w:sz w:val="24"/>
          <w:szCs w:val="24"/>
        </w:rPr>
        <w:t xml:space="preserve">1996 (2) ZLR 261(H); </w:t>
      </w:r>
      <w:proofErr w:type="spellStart"/>
      <w:r w:rsidR="00174EE2" w:rsidRPr="00AA48A7">
        <w:rPr>
          <w:rFonts w:ascii="Times New Roman" w:hAnsi="Times New Roman" w:cs="Times New Roman"/>
          <w:i/>
          <w:sz w:val="24"/>
          <w:szCs w:val="24"/>
        </w:rPr>
        <w:t>Farai</w:t>
      </w:r>
      <w:proofErr w:type="spellEnd"/>
      <w:r w:rsidR="00174EE2" w:rsidRPr="00AA48A7">
        <w:rPr>
          <w:rFonts w:ascii="Times New Roman" w:hAnsi="Times New Roman" w:cs="Times New Roman"/>
          <w:i/>
          <w:sz w:val="24"/>
          <w:szCs w:val="24"/>
        </w:rPr>
        <w:t xml:space="preserve"> </w:t>
      </w:r>
      <w:proofErr w:type="spellStart"/>
      <w:r w:rsidR="00174EE2" w:rsidRPr="00AA48A7">
        <w:rPr>
          <w:rFonts w:ascii="Times New Roman" w:hAnsi="Times New Roman" w:cs="Times New Roman"/>
          <w:i/>
          <w:sz w:val="24"/>
          <w:szCs w:val="24"/>
        </w:rPr>
        <w:t>Chitsinde</w:t>
      </w:r>
      <w:proofErr w:type="spellEnd"/>
      <w:r w:rsidR="00823272" w:rsidRPr="00AA48A7">
        <w:rPr>
          <w:rFonts w:ascii="Times New Roman" w:hAnsi="Times New Roman" w:cs="Times New Roman"/>
          <w:sz w:val="24"/>
          <w:szCs w:val="24"/>
        </w:rPr>
        <w:t xml:space="preserve"> </w:t>
      </w:r>
      <w:r w:rsidR="00174EE2" w:rsidRPr="00AA48A7">
        <w:rPr>
          <w:rFonts w:ascii="Times New Roman" w:hAnsi="Times New Roman" w:cs="Times New Roman"/>
          <w:i/>
          <w:sz w:val="24"/>
          <w:szCs w:val="24"/>
        </w:rPr>
        <w:t xml:space="preserve">and </w:t>
      </w:r>
      <w:proofErr w:type="spellStart"/>
      <w:r w:rsidR="00174EE2" w:rsidRPr="00AA48A7">
        <w:rPr>
          <w:rFonts w:ascii="Times New Roman" w:hAnsi="Times New Roman" w:cs="Times New Roman"/>
          <w:i/>
          <w:sz w:val="24"/>
          <w:szCs w:val="24"/>
        </w:rPr>
        <w:t>Nyasha</w:t>
      </w:r>
      <w:proofErr w:type="spellEnd"/>
      <w:r w:rsidR="00174EE2" w:rsidRPr="00AA48A7">
        <w:rPr>
          <w:rFonts w:ascii="Times New Roman" w:hAnsi="Times New Roman" w:cs="Times New Roman"/>
          <w:i/>
          <w:sz w:val="24"/>
          <w:szCs w:val="24"/>
        </w:rPr>
        <w:t xml:space="preserve"> </w:t>
      </w:r>
      <w:proofErr w:type="spellStart"/>
      <w:r w:rsidR="00174EE2" w:rsidRPr="00AA48A7">
        <w:rPr>
          <w:rFonts w:ascii="Times New Roman" w:hAnsi="Times New Roman" w:cs="Times New Roman"/>
          <w:i/>
          <w:sz w:val="24"/>
          <w:szCs w:val="24"/>
        </w:rPr>
        <w:t>Chitsinde</w:t>
      </w:r>
      <w:proofErr w:type="spellEnd"/>
      <w:r w:rsidR="00174EE2" w:rsidRPr="00AA48A7">
        <w:rPr>
          <w:rFonts w:ascii="Times New Roman" w:hAnsi="Times New Roman" w:cs="Times New Roman"/>
          <w:sz w:val="24"/>
          <w:szCs w:val="24"/>
        </w:rPr>
        <w:t xml:space="preserve"> v </w:t>
      </w:r>
      <w:proofErr w:type="spellStart"/>
      <w:r w:rsidR="00174EE2" w:rsidRPr="00AA48A7">
        <w:rPr>
          <w:rFonts w:ascii="Times New Roman" w:hAnsi="Times New Roman" w:cs="Times New Roman"/>
          <w:i/>
          <w:sz w:val="24"/>
          <w:szCs w:val="24"/>
        </w:rPr>
        <w:t>Stanny</w:t>
      </w:r>
      <w:proofErr w:type="spellEnd"/>
      <w:r w:rsidR="00174EE2" w:rsidRPr="00AA48A7">
        <w:rPr>
          <w:rFonts w:ascii="Times New Roman" w:hAnsi="Times New Roman" w:cs="Times New Roman"/>
          <w:i/>
          <w:sz w:val="24"/>
          <w:szCs w:val="24"/>
        </w:rPr>
        <w:t xml:space="preserve"> Musa and the Registrar of Deeds</w:t>
      </w:r>
      <w:r w:rsidR="00823272" w:rsidRPr="00AA48A7">
        <w:rPr>
          <w:rFonts w:ascii="Times New Roman" w:hAnsi="Times New Roman" w:cs="Times New Roman"/>
          <w:i/>
          <w:sz w:val="24"/>
          <w:szCs w:val="24"/>
        </w:rPr>
        <w:t xml:space="preserve"> </w:t>
      </w:r>
      <w:r w:rsidR="00174EE2" w:rsidRPr="00AA48A7">
        <w:rPr>
          <w:rFonts w:ascii="Times New Roman" w:hAnsi="Times New Roman" w:cs="Times New Roman"/>
          <w:i/>
          <w:sz w:val="24"/>
          <w:szCs w:val="24"/>
        </w:rPr>
        <w:t>and The Deputy Sheriff</w:t>
      </w:r>
      <w:r w:rsidR="00174EE2" w:rsidRPr="00AA48A7">
        <w:rPr>
          <w:rFonts w:ascii="Times New Roman" w:hAnsi="Times New Roman" w:cs="Times New Roman"/>
          <w:sz w:val="24"/>
          <w:szCs w:val="24"/>
        </w:rPr>
        <w:t xml:space="preserve"> HH-274</w:t>
      </w:r>
      <w:r w:rsidR="00823272" w:rsidRPr="00AA48A7">
        <w:rPr>
          <w:rFonts w:ascii="Times New Roman" w:hAnsi="Times New Roman" w:cs="Times New Roman"/>
          <w:sz w:val="24"/>
          <w:szCs w:val="24"/>
        </w:rPr>
        <w:t>-</w:t>
      </w:r>
      <w:r w:rsidR="00174EE2" w:rsidRPr="00AA48A7">
        <w:rPr>
          <w:rFonts w:ascii="Times New Roman" w:hAnsi="Times New Roman" w:cs="Times New Roman"/>
          <w:sz w:val="24"/>
          <w:szCs w:val="24"/>
        </w:rPr>
        <w:t xml:space="preserve">2010; </w:t>
      </w:r>
      <w:r w:rsidR="00174EE2" w:rsidRPr="00AA48A7">
        <w:rPr>
          <w:rFonts w:ascii="Times New Roman" w:hAnsi="Times New Roman" w:cs="Times New Roman"/>
          <w:i/>
          <w:sz w:val="24"/>
          <w:szCs w:val="24"/>
        </w:rPr>
        <w:t xml:space="preserve">S. </w:t>
      </w:r>
      <w:proofErr w:type="spellStart"/>
      <w:r w:rsidR="00174EE2" w:rsidRPr="00AA48A7">
        <w:rPr>
          <w:rFonts w:ascii="Times New Roman" w:hAnsi="Times New Roman" w:cs="Times New Roman"/>
          <w:i/>
          <w:sz w:val="24"/>
          <w:szCs w:val="24"/>
        </w:rPr>
        <w:t>Makonyene</w:t>
      </w:r>
      <w:proofErr w:type="spellEnd"/>
      <w:r w:rsidR="00174EE2" w:rsidRPr="00AA48A7">
        <w:rPr>
          <w:rFonts w:ascii="Times New Roman" w:hAnsi="Times New Roman" w:cs="Times New Roman"/>
          <w:sz w:val="24"/>
          <w:szCs w:val="24"/>
        </w:rPr>
        <w:t xml:space="preserve"> v </w:t>
      </w:r>
      <w:r w:rsidR="00174EE2" w:rsidRPr="00AA48A7">
        <w:rPr>
          <w:rFonts w:ascii="Times New Roman" w:hAnsi="Times New Roman" w:cs="Times New Roman"/>
          <w:i/>
          <w:sz w:val="24"/>
          <w:szCs w:val="24"/>
        </w:rPr>
        <w:t xml:space="preserve">Alfred </w:t>
      </w:r>
      <w:proofErr w:type="spellStart"/>
      <w:r w:rsidR="00174EE2" w:rsidRPr="00AA48A7">
        <w:rPr>
          <w:rFonts w:ascii="Times New Roman" w:hAnsi="Times New Roman" w:cs="Times New Roman"/>
          <w:i/>
          <w:sz w:val="24"/>
          <w:szCs w:val="24"/>
        </w:rPr>
        <w:t>Muchini</w:t>
      </w:r>
      <w:proofErr w:type="spellEnd"/>
      <w:r w:rsidR="00174EE2" w:rsidRPr="00AA48A7">
        <w:rPr>
          <w:rFonts w:ascii="Times New Roman" w:hAnsi="Times New Roman" w:cs="Times New Roman"/>
          <w:i/>
          <w:sz w:val="24"/>
          <w:szCs w:val="24"/>
        </w:rPr>
        <w:t xml:space="preserve"> and the Sheriff and The Master of the High Court</w:t>
      </w:r>
      <w:r w:rsidR="00174EE2" w:rsidRPr="00AA48A7">
        <w:rPr>
          <w:rFonts w:ascii="Times New Roman" w:hAnsi="Times New Roman" w:cs="Times New Roman"/>
          <w:sz w:val="24"/>
          <w:szCs w:val="24"/>
        </w:rPr>
        <w:t xml:space="preserve"> HH-46-2013.</w:t>
      </w:r>
    </w:p>
    <w:p w:rsidR="00174EE2" w:rsidRPr="00AA48A7" w:rsidRDefault="00174EE2" w:rsidP="00AA48A7">
      <w:pPr>
        <w:jc w:val="both"/>
        <w:rPr>
          <w:rFonts w:ascii="Times New Roman" w:hAnsi="Times New Roman" w:cs="Times New Roman"/>
          <w:sz w:val="24"/>
          <w:szCs w:val="24"/>
        </w:rPr>
      </w:pPr>
      <w:r w:rsidRPr="00AA48A7">
        <w:rPr>
          <w:rFonts w:ascii="Times New Roman" w:hAnsi="Times New Roman" w:cs="Times New Roman"/>
          <w:sz w:val="24"/>
          <w:szCs w:val="24"/>
        </w:rPr>
        <w:tab/>
        <w:t>In a nutshell the requirements are that;</w:t>
      </w:r>
    </w:p>
    <w:p w:rsidR="00174EE2" w:rsidRPr="00AA48A7" w:rsidRDefault="00174EE2" w:rsidP="00AA48A7">
      <w:pPr>
        <w:pStyle w:val="ListParagraph"/>
        <w:numPr>
          <w:ilvl w:val="0"/>
          <w:numId w:val="1"/>
        </w:numPr>
        <w:jc w:val="both"/>
        <w:rPr>
          <w:rFonts w:ascii="Times New Roman" w:hAnsi="Times New Roman" w:cs="Times New Roman"/>
          <w:sz w:val="24"/>
          <w:szCs w:val="24"/>
        </w:rPr>
      </w:pPr>
      <w:r w:rsidRPr="00AA48A7">
        <w:rPr>
          <w:rFonts w:ascii="Times New Roman" w:hAnsi="Times New Roman" w:cs="Times New Roman"/>
          <w:sz w:val="24"/>
          <w:szCs w:val="24"/>
        </w:rPr>
        <w:t>The two matters involve the same parties;</w:t>
      </w:r>
    </w:p>
    <w:p w:rsidR="00174EE2" w:rsidRPr="00AA48A7" w:rsidRDefault="00174EE2" w:rsidP="00AA48A7">
      <w:pPr>
        <w:pStyle w:val="ListParagraph"/>
        <w:numPr>
          <w:ilvl w:val="0"/>
          <w:numId w:val="1"/>
        </w:numPr>
        <w:jc w:val="both"/>
        <w:rPr>
          <w:rFonts w:ascii="Times New Roman" w:hAnsi="Times New Roman" w:cs="Times New Roman"/>
          <w:sz w:val="24"/>
          <w:szCs w:val="24"/>
        </w:rPr>
      </w:pPr>
      <w:r w:rsidRPr="00AA48A7">
        <w:rPr>
          <w:rFonts w:ascii="Times New Roman" w:hAnsi="Times New Roman" w:cs="Times New Roman"/>
          <w:sz w:val="24"/>
          <w:szCs w:val="24"/>
        </w:rPr>
        <w:t>The two matters must involve the same issues; and</w:t>
      </w:r>
    </w:p>
    <w:p w:rsidR="00174EE2" w:rsidRPr="00AA48A7" w:rsidRDefault="00174EE2" w:rsidP="00AA48A7">
      <w:pPr>
        <w:pStyle w:val="ListParagraph"/>
        <w:numPr>
          <w:ilvl w:val="0"/>
          <w:numId w:val="1"/>
        </w:numPr>
        <w:jc w:val="both"/>
        <w:rPr>
          <w:rFonts w:ascii="Times New Roman" w:hAnsi="Times New Roman" w:cs="Times New Roman"/>
          <w:sz w:val="24"/>
          <w:szCs w:val="24"/>
        </w:rPr>
      </w:pPr>
      <w:r w:rsidRPr="00AA48A7">
        <w:rPr>
          <w:rFonts w:ascii="Times New Roman" w:hAnsi="Times New Roman" w:cs="Times New Roman"/>
          <w:sz w:val="24"/>
          <w:szCs w:val="24"/>
        </w:rPr>
        <w:t>The earlier matter having been brought before a court of competent jurisdiction and which court</w:t>
      </w:r>
      <w:r w:rsidR="00823272" w:rsidRPr="00AA48A7">
        <w:rPr>
          <w:rFonts w:ascii="Times New Roman" w:hAnsi="Times New Roman" w:cs="Times New Roman"/>
          <w:sz w:val="24"/>
          <w:szCs w:val="24"/>
        </w:rPr>
        <w:t xml:space="preserve"> </w:t>
      </w:r>
      <w:r w:rsidRPr="00AA48A7">
        <w:rPr>
          <w:rFonts w:ascii="Times New Roman" w:hAnsi="Times New Roman" w:cs="Times New Roman"/>
          <w:sz w:val="24"/>
          <w:szCs w:val="24"/>
        </w:rPr>
        <w:t xml:space="preserve">made its determination on that issue – see the </w:t>
      </w:r>
      <w:proofErr w:type="spellStart"/>
      <w:r w:rsidRPr="00AA48A7">
        <w:rPr>
          <w:rFonts w:ascii="Times New Roman" w:hAnsi="Times New Roman" w:cs="Times New Roman"/>
          <w:i/>
          <w:sz w:val="24"/>
          <w:szCs w:val="24"/>
        </w:rPr>
        <w:t>Chitsinde</w:t>
      </w:r>
      <w:proofErr w:type="spellEnd"/>
      <w:r w:rsidRPr="00AA48A7">
        <w:rPr>
          <w:rFonts w:ascii="Times New Roman" w:hAnsi="Times New Roman" w:cs="Times New Roman"/>
          <w:sz w:val="24"/>
          <w:szCs w:val="24"/>
        </w:rPr>
        <w:t xml:space="preserve"> case </w:t>
      </w:r>
      <w:r w:rsidRPr="00AA48A7">
        <w:rPr>
          <w:rFonts w:ascii="Times New Roman" w:hAnsi="Times New Roman" w:cs="Times New Roman"/>
          <w:i/>
          <w:sz w:val="24"/>
          <w:szCs w:val="24"/>
        </w:rPr>
        <w:t>supra</w:t>
      </w:r>
      <w:r w:rsidRPr="00AA48A7">
        <w:rPr>
          <w:rFonts w:ascii="Times New Roman" w:hAnsi="Times New Roman" w:cs="Times New Roman"/>
          <w:sz w:val="24"/>
          <w:szCs w:val="24"/>
        </w:rPr>
        <w:t>.</w:t>
      </w:r>
    </w:p>
    <w:p w:rsidR="00174EE2" w:rsidRPr="00AA48A7" w:rsidRDefault="00174EE2" w:rsidP="00AA48A7">
      <w:pPr>
        <w:ind w:firstLine="720"/>
        <w:jc w:val="both"/>
        <w:rPr>
          <w:rFonts w:ascii="Times New Roman" w:hAnsi="Times New Roman" w:cs="Times New Roman"/>
          <w:sz w:val="24"/>
          <w:szCs w:val="24"/>
        </w:rPr>
      </w:pPr>
      <w:r w:rsidRPr="00AA48A7">
        <w:rPr>
          <w:rFonts w:ascii="Times New Roman" w:hAnsi="Times New Roman" w:cs="Times New Roman"/>
          <w:i/>
          <w:sz w:val="24"/>
          <w:szCs w:val="24"/>
        </w:rPr>
        <w:t xml:space="preserve">In </w:t>
      </w:r>
      <w:proofErr w:type="spellStart"/>
      <w:r w:rsidRPr="00AA48A7">
        <w:rPr>
          <w:rFonts w:ascii="Times New Roman" w:hAnsi="Times New Roman" w:cs="Times New Roman"/>
          <w:i/>
          <w:sz w:val="24"/>
          <w:szCs w:val="24"/>
        </w:rPr>
        <w:t>casu</w:t>
      </w:r>
      <w:proofErr w:type="spellEnd"/>
      <w:r w:rsidRPr="00AA48A7">
        <w:rPr>
          <w:rFonts w:ascii="Times New Roman" w:hAnsi="Times New Roman" w:cs="Times New Roman"/>
          <w:sz w:val="24"/>
          <w:szCs w:val="24"/>
        </w:rPr>
        <w:t xml:space="preserve">, it is common </w:t>
      </w:r>
      <w:proofErr w:type="gramStart"/>
      <w:r w:rsidRPr="00AA48A7">
        <w:rPr>
          <w:rFonts w:ascii="Times New Roman" w:hAnsi="Times New Roman" w:cs="Times New Roman"/>
          <w:sz w:val="24"/>
          <w:szCs w:val="24"/>
        </w:rPr>
        <w:t>cause</w:t>
      </w:r>
      <w:proofErr w:type="gramEnd"/>
      <w:r w:rsidRPr="00AA48A7">
        <w:rPr>
          <w:rFonts w:ascii="Times New Roman" w:hAnsi="Times New Roman" w:cs="Times New Roman"/>
          <w:sz w:val="24"/>
          <w:szCs w:val="24"/>
        </w:rPr>
        <w:t xml:space="preserve"> that in both the matter before the Designated Agent</w:t>
      </w:r>
      <w:r w:rsidR="004E222A">
        <w:rPr>
          <w:rFonts w:ascii="Times New Roman" w:hAnsi="Times New Roman" w:cs="Times New Roman"/>
          <w:sz w:val="24"/>
          <w:szCs w:val="24"/>
        </w:rPr>
        <w:t>,</w:t>
      </w:r>
      <w:r w:rsidRPr="00AA48A7">
        <w:rPr>
          <w:rFonts w:ascii="Times New Roman" w:hAnsi="Times New Roman" w:cs="Times New Roman"/>
          <w:sz w:val="24"/>
          <w:szCs w:val="24"/>
        </w:rPr>
        <w:t xml:space="preserve"> and in this application</w:t>
      </w:r>
      <w:r w:rsidR="004E222A">
        <w:rPr>
          <w:rFonts w:ascii="Times New Roman" w:hAnsi="Times New Roman" w:cs="Times New Roman"/>
          <w:sz w:val="24"/>
          <w:szCs w:val="24"/>
        </w:rPr>
        <w:t>,</w:t>
      </w:r>
      <w:r w:rsidRPr="00AA48A7">
        <w:rPr>
          <w:rFonts w:ascii="Times New Roman" w:hAnsi="Times New Roman" w:cs="Times New Roman"/>
          <w:sz w:val="24"/>
          <w:szCs w:val="24"/>
        </w:rPr>
        <w:t xml:space="preserve"> applicant and the respondent remain the same parties.</w:t>
      </w:r>
    </w:p>
    <w:p w:rsidR="00712842" w:rsidRPr="00AA48A7" w:rsidRDefault="00174EE2" w:rsidP="00AA48A7">
      <w:pPr>
        <w:ind w:firstLine="720"/>
        <w:jc w:val="both"/>
        <w:rPr>
          <w:rFonts w:ascii="Times New Roman" w:hAnsi="Times New Roman" w:cs="Times New Roman"/>
          <w:i/>
          <w:sz w:val="24"/>
          <w:szCs w:val="24"/>
        </w:rPr>
      </w:pPr>
      <w:r w:rsidRPr="00AA48A7">
        <w:rPr>
          <w:rFonts w:ascii="Times New Roman" w:hAnsi="Times New Roman" w:cs="Times New Roman"/>
          <w:sz w:val="24"/>
          <w:szCs w:val="24"/>
        </w:rPr>
        <w:t xml:space="preserve"> As regards the second </w:t>
      </w:r>
      <w:r w:rsidR="00C50BBA" w:rsidRPr="00AA48A7">
        <w:rPr>
          <w:rFonts w:ascii="Times New Roman" w:hAnsi="Times New Roman" w:cs="Times New Roman"/>
          <w:sz w:val="24"/>
          <w:szCs w:val="24"/>
        </w:rPr>
        <w:t>requirement, there exists a dispute as to whether the issue is the same</w:t>
      </w:r>
      <w:r w:rsidR="00712842" w:rsidRPr="00AA48A7">
        <w:rPr>
          <w:rFonts w:ascii="Times New Roman" w:hAnsi="Times New Roman" w:cs="Times New Roman"/>
          <w:sz w:val="24"/>
          <w:szCs w:val="24"/>
        </w:rPr>
        <w:t xml:space="preserve">.  I </w:t>
      </w:r>
      <w:r w:rsidR="00C50BBA" w:rsidRPr="00AA48A7">
        <w:rPr>
          <w:rFonts w:ascii="Times New Roman" w:hAnsi="Times New Roman" w:cs="Times New Roman"/>
          <w:sz w:val="24"/>
          <w:szCs w:val="24"/>
        </w:rPr>
        <w:t>must note that this requirement</w:t>
      </w:r>
      <w:r w:rsidR="00712842" w:rsidRPr="00AA48A7">
        <w:rPr>
          <w:rFonts w:ascii="Times New Roman" w:hAnsi="Times New Roman" w:cs="Times New Roman"/>
          <w:sz w:val="24"/>
          <w:szCs w:val="24"/>
        </w:rPr>
        <w:t xml:space="preserve"> is interpreted expansively so as to permit the probability of the defence being satisfactorily invoked in respect of an issue determined as part of the </w:t>
      </w:r>
      <w:r w:rsidR="00712842" w:rsidRPr="00AA48A7">
        <w:rPr>
          <w:rFonts w:ascii="Times New Roman" w:hAnsi="Times New Roman" w:cs="Times New Roman"/>
          <w:i/>
          <w:sz w:val="24"/>
          <w:szCs w:val="24"/>
        </w:rPr>
        <w:t xml:space="preserve">ratio </w:t>
      </w:r>
      <w:proofErr w:type="spellStart"/>
      <w:r w:rsidR="00712842" w:rsidRPr="00AA48A7">
        <w:rPr>
          <w:rFonts w:ascii="Times New Roman" w:hAnsi="Times New Roman" w:cs="Times New Roman"/>
          <w:i/>
          <w:sz w:val="24"/>
          <w:szCs w:val="24"/>
        </w:rPr>
        <w:t>decidendi</w:t>
      </w:r>
      <w:proofErr w:type="spellEnd"/>
      <w:r w:rsidR="00712842" w:rsidRPr="00AA48A7">
        <w:rPr>
          <w:rFonts w:ascii="Times New Roman" w:hAnsi="Times New Roman" w:cs="Times New Roman"/>
          <w:sz w:val="24"/>
          <w:szCs w:val="24"/>
        </w:rPr>
        <w:t xml:space="preserve"> of the previous decision – see </w:t>
      </w:r>
      <w:r w:rsidR="00712842" w:rsidRPr="00AA48A7">
        <w:rPr>
          <w:rFonts w:ascii="Times New Roman" w:hAnsi="Times New Roman" w:cs="Times New Roman"/>
          <w:i/>
          <w:sz w:val="24"/>
          <w:szCs w:val="24"/>
        </w:rPr>
        <w:t>Towers</w:t>
      </w:r>
      <w:r w:rsidR="00712842" w:rsidRPr="00AA48A7">
        <w:rPr>
          <w:rFonts w:ascii="Times New Roman" w:hAnsi="Times New Roman" w:cs="Times New Roman"/>
          <w:sz w:val="24"/>
          <w:szCs w:val="24"/>
        </w:rPr>
        <w:t xml:space="preserve"> v </w:t>
      </w:r>
      <w:proofErr w:type="spellStart"/>
      <w:r w:rsidR="00712842" w:rsidRPr="00AA48A7">
        <w:rPr>
          <w:rFonts w:ascii="Times New Roman" w:hAnsi="Times New Roman" w:cs="Times New Roman"/>
          <w:i/>
          <w:sz w:val="24"/>
          <w:szCs w:val="24"/>
        </w:rPr>
        <w:t>Chitapa</w:t>
      </w:r>
      <w:proofErr w:type="spellEnd"/>
      <w:r w:rsidR="00712842" w:rsidRPr="00AA48A7">
        <w:rPr>
          <w:rFonts w:ascii="Times New Roman" w:hAnsi="Times New Roman" w:cs="Times New Roman"/>
          <w:i/>
          <w:sz w:val="24"/>
          <w:szCs w:val="24"/>
        </w:rPr>
        <w:t xml:space="preserve"> supra.</w:t>
      </w:r>
    </w:p>
    <w:p w:rsidR="004A25AC" w:rsidRPr="00AA48A7" w:rsidRDefault="00C50BBA"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In order to unravel the origin and basis</w:t>
      </w:r>
      <w:r w:rsidR="000F67AF" w:rsidRPr="00AA48A7">
        <w:rPr>
          <w:rFonts w:ascii="Times New Roman" w:hAnsi="Times New Roman" w:cs="Times New Roman"/>
          <w:sz w:val="24"/>
          <w:szCs w:val="24"/>
        </w:rPr>
        <w:t xml:space="preserve"> of this dispute, it </w:t>
      </w:r>
      <w:r w:rsidR="00712842" w:rsidRPr="00AA48A7">
        <w:rPr>
          <w:rFonts w:ascii="Times New Roman" w:hAnsi="Times New Roman" w:cs="Times New Roman"/>
          <w:sz w:val="24"/>
          <w:szCs w:val="24"/>
        </w:rPr>
        <w:t xml:space="preserve">is necessary for the factual matrix </w:t>
      </w:r>
      <w:r w:rsidR="004E222A">
        <w:rPr>
          <w:rFonts w:ascii="Times New Roman" w:hAnsi="Times New Roman" w:cs="Times New Roman"/>
          <w:sz w:val="24"/>
          <w:szCs w:val="24"/>
        </w:rPr>
        <w:t xml:space="preserve">to be </w:t>
      </w:r>
      <w:r w:rsidR="00712842" w:rsidRPr="00AA48A7">
        <w:rPr>
          <w:rFonts w:ascii="Times New Roman" w:hAnsi="Times New Roman" w:cs="Times New Roman"/>
          <w:sz w:val="24"/>
          <w:szCs w:val="24"/>
        </w:rPr>
        <w:t>closely</w:t>
      </w:r>
      <w:r w:rsidR="004E222A">
        <w:rPr>
          <w:rFonts w:ascii="Times New Roman" w:hAnsi="Times New Roman" w:cs="Times New Roman"/>
          <w:sz w:val="24"/>
          <w:szCs w:val="24"/>
        </w:rPr>
        <w:t xml:space="preserve"> examined</w:t>
      </w:r>
      <w:r w:rsidR="00712842" w:rsidRPr="00AA48A7">
        <w:rPr>
          <w:rFonts w:ascii="Times New Roman" w:hAnsi="Times New Roman" w:cs="Times New Roman"/>
          <w:sz w:val="24"/>
          <w:szCs w:val="24"/>
        </w:rPr>
        <w:t xml:space="preserve">.  It is common cause that applicant presented a set of facts relating to a labour dispute to a competent labour tribunal and urged that tribunal to find that the deduction by the respondent from her pay and benefits of an allowance given by the Ministry of Health and Child Care, was unlawful and that the respondent should be ordered to </w:t>
      </w:r>
      <w:r w:rsidR="00712842" w:rsidRPr="00AA48A7">
        <w:rPr>
          <w:rFonts w:ascii="Times New Roman" w:hAnsi="Times New Roman" w:cs="Times New Roman"/>
          <w:sz w:val="24"/>
          <w:szCs w:val="24"/>
        </w:rPr>
        <w:lastRenderedPageBreak/>
        <w:t xml:space="preserve">pay back amounts so deducted since 2015.  This version is consistent with applicant’s written submissions to the Designated Agent.  What then is the version presented to this </w:t>
      </w:r>
      <w:r w:rsidR="004E222A">
        <w:rPr>
          <w:rFonts w:ascii="Times New Roman" w:hAnsi="Times New Roman" w:cs="Times New Roman"/>
          <w:sz w:val="24"/>
          <w:szCs w:val="24"/>
        </w:rPr>
        <w:t>C</w:t>
      </w:r>
      <w:r w:rsidR="00712842" w:rsidRPr="00AA48A7">
        <w:rPr>
          <w:rFonts w:ascii="Times New Roman" w:hAnsi="Times New Roman" w:cs="Times New Roman"/>
          <w:sz w:val="24"/>
          <w:szCs w:val="24"/>
        </w:rPr>
        <w:t xml:space="preserve">ourt?  The answer is in applicant’s founding affidavit </w:t>
      </w:r>
      <w:r w:rsidR="004E222A">
        <w:rPr>
          <w:rFonts w:ascii="Times New Roman" w:hAnsi="Times New Roman" w:cs="Times New Roman"/>
          <w:sz w:val="24"/>
          <w:szCs w:val="24"/>
        </w:rPr>
        <w:t>to</w:t>
      </w:r>
      <w:r w:rsidR="00712842" w:rsidRPr="00AA48A7">
        <w:rPr>
          <w:rFonts w:ascii="Times New Roman" w:hAnsi="Times New Roman" w:cs="Times New Roman"/>
          <w:sz w:val="24"/>
          <w:szCs w:val="24"/>
        </w:rPr>
        <w:t xml:space="preserve"> this application.</w:t>
      </w:r>
    </w:p>
    <w:p w:rsidR="007D58A9" w:rsidRPr="00AA48A7" w:rsidRDefault="007D58A9"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A reading of the submissions by the applicant in the tribunal below and her founding affidavit in this application present the same case.  I take the view that in both presentations</w:t>
      </w:r>
      <w:r w:rsidR="004E222A">
        <w:rPr>
          <w:rFonts w:ascii="Times New Roman" w:hAnsi="Times New Roman" w:cs="Times New Roman"/>
          <w:sz w:val="24"/>
          <w:szCs w:val="24"/>
        </w:rPr>
        <w:t>,</w:t>
      </w:r>
      <w:r w:rsidRPr="00AA48A7">
        <w:rPr>
          <w:rFonts w:ascii="Times New Roman" w:hAnsi="Times New Roman" w:cs="Times New Roman"/>
          <w:sz w:val="24"/>
          <w:szCs w:val="24"/>
        </w:rPr>
        <w:t xml:space="preserve"> the case she makes is that as an Executive Hea</w:t>
      </w:r>
      <w:r w:rsidR="00823272" w:rsidRPr="00AA48A7">
        <w:rPr>
          <w:rFonts w:ascii="Times New Roman" w:hAnsi="Times New Roman" w:cs="Times New Roman"/>
          <w:sz w:val="24"/>
          <w:szCs w:val="24"/>
        </w:rPr>
        <w:t>l</w:t>
      </w:r>
      <w:r w:rsidRPr="00AA48A7">
        <w:rPr>
          <w:rFonts w:ascii="Times New Roman" w:hAnsi="Times New Roman" w:cs="Times New Roman"/>
          <w:sz w:val="24"/>
          <w:szCs w:val="24"/>
        </w:rPr>
        <w:t>th Officer, she is entitled to allowances from the Ministry of Health and Child Care, whose</w:t>
      </w:r>
      <w:r w:rsidR="00823272" w:rsidRPr="00AA48A7">
        <w:rPr>
          <w:rFonts w:ascii="Times New Roman" w:hAnsi="Times New Roman" w:cs="Times New Roman"/>
          <w:sz w:val="24"/>
          <w:szCs w:val="24"/>
        </w:rPr>
        <w:t xml:space="preserve"> </w:t>
      </w:r>
      <w:r w:rsidRPr="00AA48A7">
        <w:rPr>
          <w:rFonts w:ascii="Times New Roman" w:hAnsi="Times New Roman" w:cs="Times New Roman"/>
          <w:sz w:val="24"/>
          <w:szCs w:val="24"/>
        </w:rPr>
        <w:t>a</w:t>
      </w:r>
      <w:r w:rsidR="00823272" w:rsidRPr="00AA48A7">
        <w:rPr>
          <w:rFonts w:ascii="Times New Roman" w:hAnsi="Times New Roman" w:cs="Times New Roman"/>
          <w:sz w:val="24"/>
          <w:szCs w:val="24"/>
        </w:rPr>
        <w:t>g</w:t>
      </w:r>
      <w:r w:rsidRPr="00AA48A7">
        <w:rPr>
          <w:rFonts w:ascii="Times New Roman" w:hAnsi="Times New Roman" w:cs="Times New Roman"/>
          <w:sz w:val="24"/>
          <w:szCs w:val="24"/>
        </w:rPr>
        <w:t>gregate is $218,00 and the respondent has no right to withhold this allowance  and must pass it on to her in full.  In both,</w:t>
      </w:r>
      <w:r w:rsidR="00823272" w:rsidRPr="00AA48A7">
        <w:rPr>
          <w:rFonts w:ascii="Times New Roman" w:hAnsi="Times New Roman" w:cs="Times New Roman"/>
          <w:sz w:val="24"/>
          <w:szCs w:val="24"/>
        </w:rPr>
        <w:t xml:space="preserve"> </w:t>
      </w:r>
      <w:r w:rsidRPr="00AA48A7">
        <w:rPr>
          <w:rFonts w:ascii="Times New Roman" w:hAnsi="Times New Roman" w:cs="Times New Roman"/>
          <w:sz w:val="24"/>
          <w:szCs w:val="24"/>
        </w:rPr>
        <w:t xml:space="preserve">she then asks for payment </w:t>
      </w:r>
      <w:r w:rsidR="004E222A">
        <w:rPr>
          <w:rFonts w:ascii="Times New Roman" w:hAnsi="Times New Roman" w:cs="Times New Roman"/>
          <w:sz w:val="24"/>
          <w:szCs w:val="24"/>
        </w:rPr>
        <w:t>of</w:t>
      </w:r>
      <w:r w:rsidRPr="00AA48A7">
        <w:rPr>
          <w:rFonts w:ascii="Times New Roman" w:hAnsi="Times New Roman" w:cs="Times New Roman"/>
          <w:sz w:val="24"/>
          <w:szCs w:val="24"/>
        </w:rPr>
        <w:t xml:space="preserve"> these allowances from 2015 to date.</w:t>
      </w:r>
    </w:p>
    <w:p w:rsidR="007D58A9" w:rsidRPr="00AA48A7" w:rsidRDefault="007D58A9"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Even the Designated Agent</w:t>
      </w:r>
      <w:r w:rsidR="000134F7" w:rsidRPr="00AA48A7">
        <w:rPr>
          <w:rFonts w:ascii="Times New Roman" w:hAnsi="Times New Roman" w:cs="Times New Roman"/>
          <w:sz w:val="24"/>
          <w:szCs w:val="24"/>
        </w:rPr>
        <w:t xml:space="preserve"> correctly identified the case he was asked to determine.  In his ruling</w:t>
      </w:r>
      <w:r w:rsidR="00823272" w:rsidRPr="00AA48A7">
        <w:rPr>
          <w:rFonts w:ascii="Times New Roman" w:hAnsi="Times New Roman" w:cs="Times New Roman"/>
          <w:sz w:val="24"/>
          <w:szCs w:val="24"/>
        </w:rPr>
        <w:t xml:space="preserve"> </w:t>
      </w:r>
      <w:r w:rsidR="000134F7" w:rsidRPr="00AA48A7">
        <w:rPr>
          <w:rFonts w:ascii="Times New Roman" w:hAnsi="Times New Roman" w:cs="Times New Roman"/>
          <w:sz w:val="24"/>
          <w:szCs w:val="24"/>
        </w:rPr>
        <w:t xml:space="preserve">he states; </w:t>
      </w:r>
      <w:r w:rsidR="000134F7" w:rsidRPr="00AA48A7">
        <w:rPr>
          <w:rFonts w:ascii="Times New Roman" w:hAnsi="Times New Roman" w:cs="Times New Roman"/>
          <w:sz w:val="24"/>
          <w:szCs w:val="24"/>
          <w:u w:val="single"/>
        </w:rPr>
        <w:t>“The issues in dispute”.</w:t>
      </w:r>
      <w:r w:rsidR="000134F7" w:rsidRPr="00AA48A7">
        <w:rPr>
          <w:rFonts w:ascii="Times New Roman" w:hAnsi="Times New Roman" w:cs="Times New Roman"/>
          <w:sz w:val="24"/>
          <w:szCs w:val="24"/>
        </w:rPr>
        <w:t xml:space="preserve">  According to claimant her salary which was initially $1 172,78 and which included allowances from the Ministry of Health and Child Care was </w:t>
      </w:r>
      <w:r w:rsidR="000134F7" w:rsidRPr="00AA48A7">
        <w:rPr>
          <w:rFonts w:ascii="Times New Roman" w:hAnsi="Times New Roman" w:cs="Times New Roman"/>
          <w:sz w:val="24"/>
          <w:szCs w:val="24"/>
          <w:u w:val="single"/>
        </w:rPr>
        <w:t>unilaterally reduced</w:t>
      </w:r>
      <w:r w:rsidR="000134F7" w:rsidRPr="00AA48A7">
        <w:rPr>
          <w:rFonts w:ascii="Times New Roman" w:hAnsi="Times New Roman" w:cs="Times New Roman"/>
          <w:sz w:val="24"/>
          <w:szCs w:val="24"/>
        </w:rPr>
        <w:t xml:space="preserve"> by respondent to $954,78 </w:t>
      </w:r>
      <w:r w:rsidR="000134F7" w:rsidRPr="00AA48A7">
        <w:rPr>
          <w:rFonts w:ascii="Times New Roman" w:hAnsi="Times New Roman" w:cs="Times New Roman"/>
          <w:sz w:val="24"/>
          <w:szCs w:val="24"/>
          <w:u w:val="single"/>
        </w:rPr>
        <w:t>by scrapping of Ministry of Health monthly allowances of $218,00 from 2015onwards.</w:t>
      </w:r>
      <w:r w:rsidR="000134F7" w:rsidRPr="00AA48A7">
        <w:rPr>
          <w:rFonts w:ascii="Times New Roman" w:hAnsi="Times New Roman" w:cs="Times New Roman"/>
          <w:sz w:val="24"/>
          <w:szCs w:val="24"/>
        </w:rPr>
        <w:t xml:space="preserve">  The claimant is therefore claiming $7 412</w:t>
      </w:r>
      <w:proofErr w:type="gramStart"/>
      <w:r w:rsidR="000134F7" w:rsidRPr="00AA48A7">
        <w:rPr>
          <w:rFonts w:ascii="Times New Roman" w:hAnsi="Times New Roman" w:cs="Times New Roman"/>
          <w:sz w:val="24"/>
          <w:szCs w:val="24"/>
        </w:rPr>
        <w:t>,00</w:t>
      </w:r>
      <w:proofErr w:type="gramEnd"/>
      <w:r w:rsidR="000134F7" w:rsidRPr="00AA48A7">
        <w:rPr>
          <w:rFonts w:ascii="Times New Roman" w:hAnsi="Times New Roman" w:cs="Times New Roman"/>
          <w:sz w:val="24"/>
          <w:szCs w:val="24"/>
        </w:rPr>
        <w:t xml:space="preserve"> in unpaid allowances of $218,00 over a period of 34 months”.</w:t>
      </w:r>
    </w:p>
    <w:p w:rsidR="000134F7" w:rsidRPr="00AA48A7" w:rsidRDefault="000134F7"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 xml:space="preserve">In my view, that is the same complaint applicant makes in this application and the relief sought is the same as what was sought in the lower tribunal.  Further, the overall effect of the decision of the Designated Agent was that there was nothing </w:t>
      </w:r>
      <w:r w:rsidR="004E222A">
        <w:rPr>
          <w:rFonts w:ascii="Times New Roman" w:hAnsi="Times New Roman" w:cs="Times New Roman"/>
          <w:sz w:val="24"/>
          <w:szCs w:val="24"/>
        </w:rPr>
        <w:t xml:space="preserve">wrong </w:t>
      </w:r>
      <w:r w:rsidRPr="00AA48A7">
        <w:rPr>
          <w:rFonts w:ascii="Times New Roman" w:hAnsi="Times New Roman" w:cs="Times New Roman"/>
          <w:sz w:val="24"/>
          <w:szCs w:val="24"/>
        </w:rPr>
        <w:t>in the manner respondent treated the allowances received from the Ministry of Health,</w:t>
      </w:r>
      <w:r w:rsidR="00931269">
        <w:rPr>
          <w:rFonts w:ascii="Times New Roman" w:hAnsi="Times New Roman" w:cs="Times New Roman"/>
          <w:sz w:val="24"/>
          <w:szCs w:val="24"/>
        </w:rPr>
        <w:t xml:space="preserve"> i.e. </w:t>
      </w:r>
      <w:r w:rsidRPr="00AA48A7">
        <w:rPr>
          <w:rFonts w:ascii="Times New Roman" w:hAnsi="Times New Roman" w:cs="Times New Roman"/>
          <w:sz w:val="24"/>
          <w:szCs w:val="24"/>
        </w:rPr>
        <w:t>processing it through its payroll and topping up to ensure</w:t>
      </w:r>
      <w:r w:rsidR="00997BD6" w:rsidRPr="00AA48A7">
        <w:rPr>
          <w:rFonts w:ascii="Times New Roman" w:hAnsi="Times New Roman" w:cs="Times New Roman"/>
          <w:sz w:val="24"/>
          <w:szCs w:val="24"/>
        </w:rPr>
        <w:t xml:space="preserve"> that the applicant receives her full pay as per her contract of employment.  He also found that it was quite proper to subject </w:t>
      </w:r>
      <w:r w:rsidR="00931269">
        <w:rPr>
          <w:rFonts w:ascii="Times New Roman" w:hAnsi="Times New Roman" w:cs="Times New Roman"/>
          <w:sz w:val="24"/>
          <w:szCs w:val="24"/>
        </w:rPr>
        <w:t>t</w:t>
      </w:r>
      <w:r w:rsidR="00997BD6" w:rsidRPr="00AA48A7">
        <w:rPr>
          <w:rFonts w:ascii="Times New Roman" w:hAnsi="Times New Roman" w:cs="Times New Roman"/>
          <w:sz w:val="24"/>
          <w:szCs w:val="24"/>
        </w:rPr>
        <w:t xml:space="preserve">he allowance to tax.  More importantly, he found that there was nothing wrong </w:t>
      </w:r>
      <w:r w:rsidR="00931269">
        <w:rPr>
          <w:rFonts w:ascii="Times New Roman" w:hAnsi="Times New Roman" w:cs="Times New Roman"/>
          <w:sz w:val="24"/>
          <w:szCs w:val="24"/>
        </w:rPr>
        <w:t xml:space="preserve">or illegal </w:t>
      </w:r>
      <w:r w:rsidR="00997BD6" w:rsidRPr="00AA48A7">
        <w:rPr>
          <w:rFonts w:ascii="Times New Roman" w:hAnsi="Times New Roman" w:cs="Times New Roman"/>
          <w:sz w:val="24"/>
          <w:szCs w:val="24"/>
        </w:rPr>
        <w:t>in the way respondent was doing things.  According</w:t>
      </w:r>
      <w:r w:rsidR="00931269">
        <w:rPr>
          <w:rFonts w:ascii="Times New Roman" w:hAnsi="Times New Roman" w:cs="Times New Roman"/>
          <w:sz w:val="24"/>
          <w:szCs w:val="24"/>
        </w:rPr>
        <w:t>ly</w:t>
      </w:r>
      <w:r w:rsidR="00997BD6" w:rsidRPr="00AA48A7">
        <w:rPr>
          <w:rFonts w:ascii="Times New Roman" w:hAnsi="Times New Roman" w:cs="Times New Roman"/>
          <w:sz w:val="24"/>
          <w:szCs w:val="24"/>
        </w:rPr>
        <w:t>, he concluded that the applicant’s claim had no merit and he dismissed it.</w:t>
      </w:r>
    </w:p>
    <w:p w:rsidR="00997BD6" w:rsidRPr="00AA48A7" w:rsidRDefault="00997BD6" w:rsidP="00AA48A7">
      <w:pPr>
        <w:ind w:firstLine="720"/>
        <w:jc w:val="both"/>
        <w:rPr>
          <w:rFonts w:ascii="Times New Roman" w:hAnsi="Times New Roman" w:cs="Times New Roman"/>
          <w:i/>
          <w:sz w:val="24"/>
          <w:szCs w:val="24"/>
        </w:rPr>
      </w:pPr>
      <w:r w:rsidRPr="00AA48A7">
        <w:rPr>
          <w:rFonts w:ascii="Times New Roman" w:hAnsi="Times New Roman" w:cs="Times New Roman"/>
          <w:sz w:val="24"/>
          <w:szCs w:val="24"/>
        </w:rPr>
        <w:t xml:space="preserve">On the other hand, the effect of the </w:t>
      </w:r>
      <w:proofErr w:type="spellStart"/>
      <w:r w:rsidRPr="00AA48A7">
        <w:rPr>
          <w:rFonts w:ascii="Times New Roman" w:hAnsi="Times New Roman" w:cs="Times New Roman"/>
          <w:sz w:val="24"/>
          <w:szCs w:val="24"/>
        </w:rPr>
        <w:t>declarat</w:t>
      </w:r>
      <w:r w:rsidR="00931269">
        <w:rPr>
          <w:rFonts w:ascii="Times New Roman" w:hAnsi="Times New Roman" w:cs="Times New Roman"/>
          <w:sz w:val="24"/>
          <w:szCs w:val="24"/>
        </w:rPr>
        <w:t>e</w:t>
      </w:r>
      <w:r w:rsidRPr="00AA48A7">
        <w:rPr>
          <w:rFonts w:ascii="Times New Roman" w:hAnsi="Times New Roman" w:cs="Times New Roman"/>
          <w:sz w:val="24"/>
          <w:szCs w:val="24"/>
        </w:rPr>
        <w:t>ur</w:t>
      </w:r>
      <w:proofErr w:type="spellEnd"/>
      <w:r w:rsidRPr="00AA48A7">
        <w:rPr>
          <w:rFonts w:ascii="Times New Roman" w:hAnsi="Times New Roman" w:cs="Times New Roman"/>
          <w:sz w:val="24"/>
          <w:szCs w:val="24"/>
        </w:rPr>
        <w:t xml:space="preserve"> sought, if granted will be to</w:t>
      </w:r>
      <w:r w:rsidR="00823272" w:rsidRPr="00AA48A7">
        <w:rPr>
          <w:rFonts w:ascii="Times New Roman" w:hAnsi="Times New Roman" w:cs="Times New Roman"/>
          <w:sz w:val="24"/>
          <w:szCs w:val="24"/>
        </w:rPr>
        <w:t xml:space="preserve"> </w:t>
      </w:r>
      <w:r w:rsidRPr="00AA48A7">
        <w:rPr>
          <w:rFonts w:ascii="Times New Roman" w:hAnsi="Times New Roman" w:cs="Times New Roman"/>
          <w:sz w:val="24"/>
          <w:szCs w:val="24"/>
        </w:rPr>
        <w:t>provide for exactly the opposite of what the Designated Agent found</w:t>
      </w:r>
      <w:r w:rsidR="00931269">
        <w:rPr>
          <w:rFonts w:ascii="Times New Roman" w:hAnsi="Times New Roman" w:cs="Times New Roman"/>
          <w:sz w:val="24"/>
          <w:szCs w:val="24"/>
        </w:rPr>
        <w:t xml:space="preserve"> i</w:t>
      </w:r>
      <w:r w:rsidRPr="00AA48A7">
        <w:rPr>
          <w:rFonts w:ascii="Times New Roman" w:hAnsi="Times New Roman" w:cs="Times New Roman"/>
          <w:sz w:val="24"/>
          <w:szCs w:val="24"/>
        </w:rPr>
        <w:t>n that applicant now w</w:t>
      </w:r>
      <w:r w:rsidR="00823272" w:rsidRPr="00AA48A7">
        <w:rPr>
          <w:rFonts w:ascii="Times New Roman" w:hAnsi="Times New Roman" w:cs="Times New Roman"/>
          <w:sz w:val="24"/>
          <w:szCs w:val="24"/>
        </w:rPr>
        <w:t>a</w:t>
      </w:r>
      <w:r w:rsidRPr="00AA48A7">
        <w:rPr>
          <w:rFonts w:ascii="Times New Roman" w:hAnsi="Times New Roman" w:cs="Times New Roman"/>
          <w:sz w:val="24"/>
          <w:szCs w:val="24"/>
        </w:rPr>
        <w:t xml:space="preserve">nts this </w:t>
      </w:r>
      <w:r w:rsidR="00931269">
        <w:rPr>
          <w:rFonts w:ascii="Times New Roman" w:hAnsi="Times New Roman" w:cs="Times New Roman"/>
          <w:sz w:val="24"/>
          <w:szCs w:val="24"/>
        </w:rPr>
        <w:t>C</w:t>
      </w:r>
      <w:r w:rsidRPr="00AA48A7">
        <w:rPr>
          <w:rFonts w:ascii="Times New Roman" w:hAnsi="Times New Roman" w:cs="Times New Roman"/>
          <w:sz w:val="24"/>
          <w:szCs w:val="24"/>
        </w:rPr>
        <w:t xml:space="preserve">ourt to find that the respondent acted </w:t>
      </w:r>
      <w:r w:rsidRPr="00AA48A7">
        <w:rPr>
          <w:rFonts w:ascii="Times New Roman" w:hAnsi="Times New Roman" w:cs="Times New Roman"/>
          <w:sz w:val="24"/>
          <w:szCs w:val="24"/>
          <w:u w:val="single"/>
        </w:rPr>
        <w:t>unlawful</w:t>
      </w:r>
      <w:r w:rsidR="00931269">
        <w:rPr>
          <w:rFonts w:ascii="Times New Roman" w:hAnsi="Times New Roman" w:cs="Times New Roman"/>
          <w:sz w:val="24"/>
          <w:szCs w:val="24"/>
          <w:u w:val="single"/>
        </w:rPr>
        <w:t>ly</w:t>
      </w:r>
      <w:r w:rsidRPr="00AA48A7">
        <w:rPr>
          <w:rFonts w:ascii="Times New Roman" w:hAnsi="Times New Roman" w:cs="Times New Roman"/>
          <w:sz w:val="24"/>
          <w:szCs w:val="24"/>
        </w:rPr>
        <w:t xml:space="preserve">, </w:t>
      </w:r>
      <w:r w:rsidR="00931269">
        <w:rPr>
          <w:rFonts w:ascii="Times New Roman" w:hAnsi="Times New Roman" w:cs="Times New Roman"/>
          <w:sz w:val="24"/>
          <w:szCs w:val="24"/>
        </w:rPr>
        <w:t xml:space="preserve">as </w:t>
      </w:r>
      <w:r w:rsidRPr="00AA48A7">
        <w:rPr>
          <w:rFonts w:ascii="Times New Roman" w:hAnsi="Times New Roman" w:cs="Times New Roman"/>
          <w:sz w:val="24"/>
          <w:szCs w:val="24"/>
        </w:rPr>
        <w:t>it has no right</w:t>
      </w:r>
      <w:r w:rsidR="00931269">
        <w:rPr>
          <w:rFonts w:ascii="Times New Roman" w:hAnsi="Times New Roman" w:cs="Times New Roman"/>
          <w:sz w:val="24"/>
          <w:szCs w:val="24"/>
        </w:rPr>
        <w:t xml:space="preserve"> to</w:t>
      </w:r>
      <w:r w:rsidRPr="00AA48A7">
        <w:rPr>
          <w:rFonts w:ascii="Times New Roman" w:hAnsi="Times New Roman" w:cs="Times New Roman"/>
          <w:sz w:val="24"/>
          <w:szCs w:val="24"/>
        </w:rPr>
        <w:t xml:space="preserve"> tax the allowance from the Ministry of Health</w:t>
      </w:r>
      <w:r w:rsidR="00931269">
        <w:rPr>
          <w:rFonts w:ascii="Times New Roman" w:hAnsi="Times New Roman" w:cs="Times New Roman"/>
          <w:sz w:val="24"/>
          <w:szCs w:val="24"/>
        </w:rPr>
        <w:t>,</w:t>
      </w:r>
      <w:r w:rsidRPr="00AA48A7">
        <w:rPr>
          <w:rFonts w:ascii="Times New Roman" w:hAnsi="Times New Roman" w:cs="Times New Roman"/>
          <w:sz w:val="24"/>
          <w:szCs w:val="24"/>
        </w:rPr>
        <w:t xml:space="preserve"> and it must be passed on to her as it is.  Clearly, such a finding would contradict the Designated Agent’s finding.  Whilst this </w:t>
      </w:r>
      <w:proofErr w:type="spellStart"/>
      <w:r w:rsidR="00931269">
        <w:rPr>
          <w:rFonts w:ascii="Times New Roman" w:hAnsi="Times New Roman" w:cs="Times New Roman"/>
          <w:sz w:val="24"/>
          <w:szCs w:val="24"/>
        </w:rPr>
        <w:t>CC</w:t>
      </w:r>
      <w:r w:rsidRPr="00AA48A7">
        <w:rPr>
          <w:rFonts w:ascii="Times New Roman" w:hAnsi="Times New Roman" w:cs="Times New Roman"/>
          <w:sz w:val="24"/>
          <w:szCs w:val="24"/>
        </w:rPr>
        <w:t>ourt</w:t>
      </w:r>
      <w:proofErr w:type="spellEnd"/>
      <w:r w:rsidRPr="00AA48A7">
        <w:rPr>
          <w:rFonts w:ascii="Times New Roman" w:hAnsi="Times New Roman" w:cs="Times New Roman"/>
          <w:sz w:val="24"/>
          <w:szCs w:val="24"/>
        </w:rPr>
        <w:t xml:space="preserve"> is a superior </w:t>
      </w:r>
      <w:r w:rsidR="00931269">
        <w:rPr>
          <w:rFonts w:ascii="Times New Roman" w:hAnsi="Times New Roman" w:cs="Times New Roman"/>
          <w:sz w:val="24"/>
          <w:szCs w:val="24"/>
        </w:rPr>
        <w:t>C</w:t>
      </w:r>
      <w:r w:rsidRPr="00AA48A7">
        <w:rPr>
          <w:rFonts w:ascii="Times New Roman" w:hAnsi="Times New Roman" w:cs="Times New Roman"/>
          <w:sz w:val="24"/>
          <w:szCs w:val="24"/>
        </w:rPr>
        <w:t>ourt, it would be undesirable for it to make decisions that contradict</w:t>
      </w:r>
      <w:r w:rsidR="00734417" w:rsidRPr="00AA48A7">
        <w:rPr>
          <w:rFonts w:ascii="Times New Roman" w:hAnsi="Times New Roman" w:cs="Times New Roman"/>
          <w:sz w:val="24"/>
          <w:szCs w:val="24"/>
        </w:rPr>
        <w:t xml:space="preserve"> those made by lower tribunals and without the decision of such lower tribunals first being set aside.  This is the hallmark of </w:t>
      </w:r>
      <w:r w:rsidR="00823272" w:rsidRPr="00AA48A7">
        <w:rPr>
          <w:rFonts w:ascii="Times New Roman" w:hAnsi="Times New Roman" w:cs="Times New Roman"/>
          <w:sz w:val="24"/>
          <w:szCs w:val="24"/>
        </w:rPr>
        <w:t>t</w:t>
      </w:r>
      <w:r w:rsidR="00734417" w:rsidRPr="00AA48A7">
        <w:rPr>
          <w:rFonts w:ascii="Times New Roman" w:hAnsi="Times New Roman" w:cs="Times New Roman"/>
          <w:sz w:val="24"/>
          <w:szCs w:val="24"/>
        </w:rPr>
        <w:t xml:space="preserve">he principle of </w:t>
      </w:r>
      <w:r w:rsidR="00734417" w:rsidRPr="00AA48A7">
        <w:rPr>
          <w:rFonts w:ascii="Times New Roman" w:hAnsi="Times New Roman" w:cs="Times New Roman"/>
          <w:i/>
          <w:sz w:val="24"/>
          <w:szCs w:val="24"/>
        </w:rPr>
        <w:t>res judicata.</w:t>
      </w:r>
    </w:p>
    <w:p w:rsidR="00734417" w:rsidRPr="00AA48A7" w:rsidRDefault="00734417" w:rsidP="00AA48A7">
      <w:pPr>
        <w:ind w:left="720"/>
        <w:jc w:val="both"/>
        <w:rPr>
          <w:rFonts w:ascii="Times New Roman" w:hAnsi="Times New Roman" w:cs="Times New Roman"/>
          <w:sz w:val="24"/>
          <w:szCs w:val="24"/>
        </w:rPr>
      </w:pPr>
      <w:r w:rsidRPr="00AA48A7">
        <w:rPr>
          <w:rFonts w:ascii="Times New Roman" w:hAnsi="Times New Roman" w:cs="Times New Roman"/>
          <w:sz w:val="24"/>
          <w:szCs w:val="24"/>
        </w:rPr>
        <w:t xml:space="preserve">In this regard, I agree with </w:t>
      </w:r>
      <w:r w:rsidR="00931269">
        <w:rPr>
          <w:rFonts w:ascii="Times New Roman" w:hAnsi="Times New Roman" w:cs="Times New Roman"/>
          <w:sz w:val="24"/>
          <w:szCs w:val="24"/>
        </w:rPr>
        <w:t xml:space="preserve">Mr </w:t>
      </w:r>
      <w:proofErr w:type="spellStart"/>
      <w:r w:rsidR="00931269">
        <w:rPr>
          <w:rFonts w:ascii="Times New Roman" w:hAnsi="Times New Roman" w:cs="Times New Roman"/>
          <w:sz w:val="24"/>
          <w:szCs w:val="24"/>
        </w:rPr>
        <w:t>Moyo’s</w:t>
      </w:r>
      <w:proofErr w:type="spellEnd"/>
      <w:r w:rsidR="00931269">
        <w:rPr>
          <w:rFonts w:ascii="Times New Roman" w:hAnsi="Times New Roman" w:cs="Times New Roman"/>
          <w:sz w:val="24"/>
          <w:szCs w:val="24"/>
        </w:rPr>
        <w:t xml:space="preserve"> submission </w:t>
      </w:r>
      <w:r w:rsidRPr="00AA48A7">
        <w:rPr>
          <w:rFonts w:ascii="Times New Roman" w:hAnsi="Times New Roman" w:cs="Times New Roman"/>
          <w:sz w:val="24"/>
          <w:szCs w:val="24"/>
        </w:rPr>
        <w:t>respondent that, “To try and distinguish the case presented here from the case that was presented to the Designated Agent and the decision of the</w:t>
      </w:r>
      <w:r w:rsidR="00823272" w:rsidRPr="00AA48A7">
        <w:rPr>
          <w:rFonts w:ascii="Times New Roman" w:hAnsi="Times New Roman" w:cs="Times New Roman"/>
          <w:sz w:val="24"/>
          <w:szCs w:val="24"/>
        </w:rPr>
        <w:t xml:space="preserve"> </w:t>
      </w:r>
      <w:r w:rsidRPr="00AA48A7">
        <w:rPr>
          <w:rFonts w:ascii="Times New Roman" w:hAnsi="Times New Roman" w:cs="Times New Roman"/>
          <w:sz w:val="24"/>
          <w:szCs w:val="24"/>
        </w:rPr>
        <w:t>Designat</w:t>
      </w:r>
      <w:r w:rsidR="00823272" w:rsidRPr="00AA48A7">
        <w:rPr>
          <w:rFonts w:ascii="Times New Roman" w:hAnsi="Times New Roman" w:cs="Times New Roman"/>
          <w:sz w:val="24"/>
          <w:szCs w:val="24"/>
        </w:rPr>
        <w:t>e</w:t>
      </w:r>
      <w:r w:rsidRPr="00AA48A7">
        <w:rPr>
          <w:rFonts w:ascii="Times New Roman" w:hAnsi="Times New Roman" w:cs="Times New Roman"/>
          <w:sz w:val="24"/>
          <w:szCs w:val="24"/>
        </w:rPr>
        <w:t>d Agent and the one sought here, is just splitting hairs.  The applicant is trying to have the Designated Agent overruled without appealing against his decision or subjecting it to an application for review.  This is legally untenable …”</w:t>
      </w:r>
    </w:p>
    <w:p w:rsidR="00734417" w:rsidRPr="00AA48A7" w:rsidRDefault="00734417"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 xml:space="preserve">For these reasons, I find that the applicant is essentially bringing before this </w:t>
      </w:r>
      <w:r w:rsidR="00931269">
        <w:rPr>
          <w:rFonts w:ascii="Times New Roman" w:hAnsi="Times New Roman" w:cs="Times New Roman"/>
          <w:sz w:val="24"/>
          <w:szCs w:val="24"/>
        </w:rPr>
        <w:t>C</w:t>
      </w:r>
      <w:r w:rsidRPr="00AA48A7">
        <w:rPr>
          <w:rFonts w:ascii="Times New Roman" w:hAnsi="Times New Roman" w:cs="Times New Roman"/>
          <w:sz w:val="24"/>
          <w:szCs w:val="24"/>
        </w:rPr>
        <w:t xml:space="preserve">ourt the same issue that she brought before the Designated Agent of the National Employment Council for the Rural District Councils and without first having the decision of the Designated Agent set aside.  The wording and content of the </w:t>
      </w:r>
      <w:proofErr w:type="spellStart"/>
      <w:r w:rsidRPr="00AA48A7">
        <w:rPr>
          <w:rFonts w:ascii="Times New Roman" w:hAnsi="Times New Roman" w:cs="Times New Roman"/>
          <w:sz w:val="24"/>
          <w:szCs w:val="24"/>
        </w:rPr>
        <w:t>declarat</w:t>
      </w:r>
      <w:r w:rsidR="00931269">
        <w:rPr>
          <w:rFonts w:ascii="Times New Roman" w:hAnsi="Times New Roman" w:cs="Times New Roman"/>
          <w:sz w:val="24"/>
          <w:szCs w:val="24"/>
        </w:rPr>
        <w:t>eur</w:t>
      </w:r>
      <w:proofErr w:type="spellEnd"/>
      <w:r w:rsidRPr="00AA48A7">
        <w:rPr>
          <w:rFonts w:ascii="Times New Roman" w:hAnsi="Times New Roman" w:cs="Times New Roman"/>
          <w:sz w:val="24"/>
          <w:szCs w:val="24"/>
        </w:rPr>
        <w:t xml:space="preserve"> in essence seek an answer to the very </w:t>
      </w:r>
      <w:r w:rsidRPr="00AA48A7">
        <w:rPr>
          <w:rFonts w:ascii="Times New Roman" w:hAnsi="Times New Roman" w:cs="Times New Roman"/>
          <w:sz w:val="24"/>
          <w:szCs w:val="24"/>
        </w:rPr>
        <w:lastRenderedPageBreak/>
        <w:t>question that the Designated Age</w:t>
      </w:r>
      <w:r w:rsidR="00823272" w:rsidRPr="00AA48A7">
        <w:rPr>
          <w:rFonts w:ascii="Times New Roman" w:hAnsi="Times New Roman" w:cs="Times New Roman"/>
          <w:sz w:val="24"/>
          <w:szCs w:val="24"/>
        </w:rPr>
        <w:t>n</w:t>
      </w:r>
      <w:r w:rsidRPr="00AA48A7">
        <w:rPr>
          <w:rFonts w:ascii="Times New Roman" w:hAnsi="Times New Roman" w:cs="Times New Roman"/>
          <w:sz w:val="24"/>
          <w:szCs w:val="24"/>
        </w:rPr>
        <w:t xml:space="preserve">t was asked to </w:t>
      </w:r>
      <w:r w:rsidR="00E55FBC" w:rsidRPr="00AA48A7">
        <w:rPr>
          <w:rFonts w:ascii="Times New Roman" w:hAnsi="Times New Roman" w:cs="Times New Roman"/>
          <w:sz w:val="24"/>
          <w:szCs w:val="24"/>
        </w:rPr>
        <w:t>determine</w:t>
      </w:r>
      <w:r w:rsidR="00931269">
        <w:rPr>
          <w:rFonts w:ascii="Times New Roman" w:hAnsi="Times New Roman" w:cs="Times New Roman"/>
          <w:sz w:val="24"/>
          <w:szCs w:val="24"/>
        </w:rPr>
        <w:t>,</w:t>
      </w:r>
      <w:r w:rsidR="00E55FBC" w:rsidRPr="00AA48A7">
        <w:rPr>
          <w:rFonts w:ascii="Times New Roman" w:hAnsi="Times New Roman" w:cs="Times New Roman"/>
          <w:sz w:val="24"/>
          <w:szCs w:val="24"/>
        </w:rPr>
        <w:t xml:space="preserve"> namely whether the deduction of the health allowance provided by the Ministry of Health by the respondent was proper.</w:t>
      </w:r>
    </w:p>
    <w:p w:rsidR="00E55FBC" w:rsidRPr="00AA48A7" w:rsidRDefault="00E55FBC"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I now turn to the 3</w:t>
      </w:r>
      <w:r w:rsidRPr="00AA48A7">
        <w:rPr>
          <w:rFonts w:ascii="Times New Roman" w:hAnsi="Times New Roman" w:cs="Times New Roman"/>
          <w:sz w:val="24"/>
          <w:szCs w:val="24"/>
          <w:vertAlign w:val="superscript"/>
        </w:rPr>
        <w:t>rd</w:t>
      </w:r>
      <w:r w:rsidRPr="00AA48A7">
        <w:rPr>
          <w:rFonts w:ascii="Times New Roman" w:hAnsi="Times New Roman" w:cs="Times New Roman"/>
          <w:sz w:val="24"/>
          <w:szCs w:val="24"/>
        </w:rPr>
        <w:t xml:space="preserve"> requirement of the principle of </w:t>
      </w:r>
      <w:r w:rsidRPr="00AA48A7">
        <w:rPr>
          <w:rFonts w:ascii="Times New Roman" w:hAnsi="Times New Roman" w:cs="Times New Roman"/>
          <w:i/>
          <w:sz w:val="24"/>
          <w:szCs w:val="24"/>
        </w:rPr>
        <w:t>res ju</w:t>
      </w:r>
      <w:r w:rsidR="00823272" w:rsidRPr="00AA48A7">
        <w:rPr>
          <w:rFonts w:ascii="Times New Roman" w:hAnsi="Times New Roman" w:cs="Times New Roman"/>
          <w:i/>
          <w:sz w:val="24"/>
          <w:szCs w:val="24"/>
        </w:rPr>
        <w:t>d</w:t>
      </w:r>
      <w:r w:rsidRPr="00AA48A7">
        <w:rPr>
          <w:rFonts w:ascii="Times New Roman" w:hAnsi="Times New Roman" w:cs="Times New Roman"/>
          <w:i/>
          <w:sz w:val="24"/>
          <w:szCs w:val="24"/>
        </w:rPr>
        <w:t>icata</w:t>
      </w:r>
      <w:r w:rsidRPr="00AA48A7">
        <w:rPr>
          <w:rFonts w:ascii="Times New Roman" w:hAnsi="Times New Roman" w:cs="Times New Roman"/>
          <w:sz w:val="24"/>
          <w:szCs w:val="24"/>
        </w:rPr>
        <w:t xml:space="preserve">.  In terms of section </w:t>
      </w:r>
      <w:r w:rsidR="00931269">
        <w:rPr>
          <w:rFonts w:ascii="Times New Roman" w:hAnsi="Times New Roman" w:cs="Times New Roman"/>
          <w:sz w:val="24"/>
          <w:szCs w:val="24"/>
        </w:rPr>
        <w:t>9</w:t>
      </w:r>
      <w:r w:rsidRPr="00AA48A7">
        <w:rPr>
          <w:rFonts w:ascii="Times New Roman" w:hAnsi="Times New Roman" w:cs="Times New Roman"/>
          <w:sz w:val="24"/>
          <w:szCs w:val="24"/>
        </w:rPr>
        <w:t xml:space="preserve">3 as read with section 63(b) of the Labour Act [Chapter </w:t>
      </w:r>
      <w:r w:rsidR="00931269">
        <w:rPr>
          <w:rFonts w:ascii="Times New Roman" w:hAnsi="Times New Roman" w:cs="Times New Roman"/>
          <w:sz w:val="24"/>
          <w:szCs w:val="24"/>
        </w:rPr>
        <w:t>28</w:t>
      </w:r>
      <w:r w:rsidRPr="00AA48A7">
        <w:rPr>
          <w:rFonts w:ascii="Times New Roman" w:hAnsi="Times New Roman" w:cs="Times New Roman"/>
          <w:sz w:val="24"/>
          <w:szCs w:val="24"/>
        </w:rPr>
        <w:t>:01], a Desi</w:t>
      </w:r>
      <w:r w:rsidR="00AA48A7" w:rsidRPr="00AA48A7">
        <w:rPr>
          <w:rFonts w:ascii="Times New Roman" w:hAnsi="Times New Roman" w:cs="Times New Roman"/>
          <w:sz w:val="24"/>
          <w:szCs w:val="24"/>
        </w:rPr>
        <w:t>g</w:t>
      </w:r>
      <w:r w:rsidRPr="00AA48A7">
        <w:rPr>
          <w:rFonts w:ascii="Times New Roman" w:hAnsi="Times New Roman" w:cs="Times New Roman"/>
          <w:sz w:val="24"/>
          <w:szCs w:val="24"/>
        </w:rPr>
        <w:t>nated Agen</w:t>
      </w:r>
      <w:r w:rsidR="00AA48A7" w:rsidRPr="00AA48A7">
        <w:rPr>
          <w:rFonts w:ascii="Times New Roman" w:hAnsi="Times New Roman" w:cs="Times New Roman"/>
          <w:sz w:val="24"/>
          <w:szCs w:val="24"/>
        </w:rPr>
        <w:t>t of an Employment Council enj</w:t>
      </w:r>
      <w:r w:rsidRPr="00AA48A7">
        <w:rPr>
          <w:rFonts w:ascii="Times New Roman" w:hAnsi="Times New Roman" w:cs="Times New Roman"/>
          <w:sz w:val="24"/>
          <w:szCs w:val="24"/>
        </w:rPr>
        <w:t xml:space="preserve">oys exclusive jurisdiction in determining </w:t>
      </w:r>
      <w:r w:rsidR="00931269">
        <w:rPr>
          <w:rFonts w:ascii="Times New Roman" w:hAnsi="Times New Roman" w:cs="Times New Roman"/>
          <w:sz w:val="24"/>
          <w:szCs w:val="24"/>
        </w:rPr>
        <w:t xml:space="preserve">labour disputes within the industry </w:t>
      </w:r>
      <w:r w:rsidRPr="00AA48A7">
        <w:rPr>
          <w:rFonts w:ascii="Times New Roman" w:hAnsi="Times New Roman" w:cs="Times New Roman"/>
          <w:sz w:val="24"/>
          <w:szCs w:val="24"/>
        </w:rPr>
        <w:t>he is appointed to act as Designated Agent and to the ex</w:t>
      </w:r>
      <w:r w:rsidR="00931269">
        <w:rPr>
          <w:rFonts w:ascii="Times New Roman" w:hAnsi="Times New Roman" w:cs="Times New Roman"/>
          <w:sz w:val="24"/>
          <w:szCs w:val="24"/>
        </w:rPr>
        <w:t>clusion</w:t>
      </w:r>
      <w:r w:rsidRPr="00AA48A7">
        <w:rPr>
          <w:rFonts w:ascii="Times New Roman" w:hAnsi="Times New Roman" w:cs="Times New Roman"/>
          <w:sz w:val="24"/>
          <w:szCs w:val="24"/>
        </w:rPr>
        <w:t xml:space="preserve"> of a labour officer.  Therefore, there</w:t>
      </w:r>
      <w:r w:rsidR="00AA48A7" w:rsidRPr="00AA48A7">
        <w:rPr>
          <w:rFonts w:ascii="Times New Roman" w:hAnsi="Times New Roman" w:cs="Times New Roman"/>
          <w:sz w:val="24"/>
          <w:szCs w:val="24"/>
        </w:rPr>
        <w:t xml:space="preserve"> </w:t>
      </w:r>
      <w:r w:rsidRPr="00AA48A7">
        <w:rPr>
          <w:rFonts w:ascii="Times New Roman" w:hAnsi="Times New Roman" w:cs="Times New Roman"/>
          <w:sz w:val="24"/>
          <w:szCs w:val="24"/>
        </w:rPr>
        <w:t>is no argument that this is a tribunal of</w:t>
      </w:r>
      <w:r w:rsidR="00AA48A7" w:rsidRPr="00AA48A7">
        <w:rPr>
          <w:rFonts w:ascii="Times New Roman" w:hAnsi="Times New Roman" w:cs="Times New Roman"/>
          <w:sz w:val="24"/>
          <w:szCs w:val="24"/>
        </w:rPr>
        <w:t xml:space="preserve"> </w:t>
      </w:r>
      <w:r w:rsidRPr="00AA48A7">
        <w:rPr>
          <w:rFonts w:ascii="Times New Roman" w:hAnsi="Times New Roman" w:cs="Times New Roman"/>
          <w:sz w:val="24"/>
          <w:szCs w:val="24"/>
        </w:rPr>
        <w:t>competent jurisdiction</w:t>
      </w:r>
      <w:r w:rsidR="00C370C3">
        <w:rPr>
          <w:rFonts w:ascii="Times New Roman" w:hAnsi="Times New Roman" w:cs="Times New Roman"/>
          <w:sz w:val="24"/>
          <w:szCs w:val="24"/>
        </w:rPr>
        <w:t>.</w:t>
      </w:r>
      <w:r w:rsidRPr="00AA48A7">
        <w:rPr>
          <w:rFonts w:ascii="Times New Roman" w:hAnsi="Times New Roman" w:cs="Times New Roman"/>
          <w:sz w:val="24"/>
          <w:szCs w:val="24"/>
        </w:rPr>
        <w:t xml:space="preserve"> </w:t>
      </w:r>
      <w:r w:rsidR="00C370C3">
        <w:rPr>
          <w:rFonts w:ascii="Times New Roman" w:hAnsi="Times New Roman" w:cs="Times New Roman"/>
          <w:sz w:val="24"/>
          <w:szCs w:val="24"/>
        </w:rPr>
        <w:t>F</w:t>
      </w:r>
      <w:r w:rsidRPr="00AA48A7">
        <w:rPr>
          <w:rFonts w:ascii="Times New Roman" w:hAnsi="Times New Roman" w:cs="Times New Roman"/>
          <w:sz w:val="24"/>
          <w:szCs w:val="24"/>
        </w:rPr>
        <w:t>urther</w:t>
      </w:r>
      <w:r w:rsidR="00931269">
        <w:rPr>
          <w:rFonts w:ascii="Times New Roman" w:hAnsi="Times New Roman" w:cs="Times New Roman"/>
          <w:sz w:val="24"/>
          <w:szCs w:val="24"/>
        </w:rPr>
        <w:t>,</w:t>
      </w:r>
      <w:r w:rsidRPr="00AA48A7">
        <w:rPr>
          <w:rFonts w:ascii="Times New Roman" w:hAnsi="Times New Roman" w:cs="Times New Roman"/>
          <w:sz w:val="24"/>
          <w:szCs w:val="24"/>
        </w:rPr>
        <w:t xml:space="preserve"> applicant also understood it </w:t>
      </w:r>
      <w:r w:rsidR="00931269">
        <w:rPr>
          <w:rFonts w:ascii="Times New Roman" w:hAnsi="Times New Roman" w:cs="Times New Roman"/>
          <w:sz w:val="24"/>
          <w:szCs w:val="24"/>
        </w:rPr>
        <w:t>a</w:t>
      </w:r>
      <w:r w:rsidRPr="00AA48A7">
        <w:rPr>
          <w:rFonts w:ascii="Times New Roman" w:hAnsi="Times New Roman" w:cs="Times New Roman"/>
          <w:sz w:val="24"/>
          <w:szCs w:val="24"/>
        </w:rPr>
        <w:t>s such which is why she correctly referred her matter to that tribunal.</w:t>
      </w:r>
    </w:p>
    <w:p w:rsidR="00E55FBC" w:rsidRPr="00AA48A7" w:rsidRDefault="00E55FBC" w:rsidP="00AA48A7">
      <w:pPr>
        <w:ind w:firstLine="720"/>
        <w:jc w:val="both"/>
        <w:rPr>
          <w:rFonts w:ascii="Times New Roman" w:hAnsi="Times New Roman" w:cs="Times New Roman"/>
          <w:sz w:val="24"/>
          <w:szCs w:val="24"/>
        </w:rPr>
      </w:pPr>
      <w:r w:rsidRPr="00AA48A7">
        <w:rPr>
          <w:rFonts w:ascii="Times New Roman" w:hAnsi="Times New Roman" w:cs="Times New Roman"/>
          <w:sz w:val="24"/>
          <w:szCs w:val="24"/>
        </w:rPr>
        <w:t>This application is</w:t>
      </w:r>
      <w:r w:rsidR="00AA48A7" w:rsidRPr="00AA48A7">
        <w:rPr>
          <w:rFonts w:ascii="Times New Roman" w:hAnsi="Times New Roman" w:cs="Times New Roman"/>
          <w:sz w:val="24"/>
          <w:szCs w:val="24"/>
        </w:rPr>
        <w:t xml:space="preserve"> </w:t>
      </w:r>
      <w:r w:rsidRPr="00AA48A7">
        <w:rPr>
          <w:rFonts w:ascii="Times New Roman" w:hAnsi="Times New Roman" w:cs="Times New Roman"/>
          <w:sz w:val="24"/>
          <w:szCs w:val="24"/>
        </w:rPr>
        <w:t>simply an invitation to go back and</w:t>
      </w:r>
      <w:r w:rsidR="00AA48A7" w:rsidRPr="00AA48A7">
        <w:rPr>
          <w:rFonts w:ascii="Times New Roman" w:hAnsi="Times New Roman" w:cs="Times New Roman"/>
          <w:sz w:val="24"/>
          <w:szCs w:val="24"/>
        </w:rPr>
        <w:t xml:space="preserve"> </w:t>
      </w:r>
      <w:r w:rsidRPr="00AA48A7">
        <w:rPr>
          <w:rFonts w:ascii="Times New Roman" w:hAnsi="Times New Roman" w:cs="Times New Roman"/>
          <w:sz w:val="24"/>
          <w:szCs w:val="24"/>
        </w:rPr>
        <w:t>re</w:t>
      </w:r>
      <w:r w:rsidR="00AA48A7" w:rsidRPr="00AA48A7">
        <w:rPr>
          <w:rFonts w:ascii="Times New Roman" w:hAnsi="Times New Roman" w:cs="Times New Roman"/>
          <w:sz w:val="24"/>
          <w:szCs w:val="24"/>
        </w:rPr>
        <w:t>-</w:t>
      </w:r>
      <w:r w:rsidRPr="00AA48A7">
        <w:rPr>
          <w:rFonts w:ascii="Times New Roman" w:hAnsi="Times New Roman" w:cs="Times New Roman"/>
          <w:sz w:val="24"/>
          <w:szCs w:val="24"/>
        </w:rPr>
        <w:t xml:space="preserve">argue before this </w:t>
      </w:r>
      <w:r w:rsidR="00931269">
        <w:rPr>
          <w:rFonts w:ascii="Times New Roman" w:hAnsi="Times New Roman" w:cs="Times New Roman"/>
          <w:sz w:val="24"/>
          <w:szCs w:val="24"/>
        </w:rPr>
        <w:t>C</w:t>
      </w:r>
      <w:r w:rsidRPr="00AA48A7">
        <w:rPr>
          <w:rFonts w:ascii="Times New Roman" w:hAnsi="Times New Roman" w:cs="Times New Roman"/>
          <w:sz w:val="24"/>
          <w:szCs w:val="24"/>
        </w:rPr>
        <w:t>ourt, a case that the parties have argued elsewhere and a decision made for them.  The fact that the issues are the same is further demonstrated by the</w:t>
      </w:r>
      <w:r w:rsidR="008D43F2" w:rsidRPr="00AA48A7">
        <w:rPr>
          <w:rFonts w:ascii="Times New Roman" w:hAnsi="Times New Roman" w:cs="Times New Roman"/>
          <w:sz w:val="24"/>
          <w:szCs w:val="24"/>
        </w:rPr>
        <w:t xml:space="preserve"> ancillary relief sought namely the “</w:t>
      </w:r>
      <w:r w:rsidR="00126262" w:rsidRPr="00AA48A7">
        <w:rPr>
          <w:rFonts w:ascii="Times New Roman" w:hAnsi="Times New Roman" w:cs="Times New Roman"/>
          <w:sz w:val="24"/>
          <w:szCs w:val="24"/>
        </w:rPr>
        <w:t xml:space="preserve">payment of all the monies that have been deducted by the respondent to date”.  Essentially, the Designated Agent declared the manner in which the deduction was carried out by the respondent legal and </w:t>
      </w:r>
      <w:r w:rsidR="00126262" w:rsidRPr="00931269">
        <w:rPr>
          <w:rFonts w:ascii="Times New Roman" w:hAnsi="Times New Roman" w:cs="Times New Roman"/>
          <w:sz w:val="24"/>
          <w:szCs w:val="24"/>
          <w:u w:val="single"/>
        </w:rPr>
        <w:t>lawful.</w:t>
      </w:r>
      <w:r w:rsidR="00126262" w:rsidRPr="00AA48A7">
        <w:rPr>
          <w:rFonts w:ascii="Times New Roman" w:hAnsi="Times New Roman" w:cs="Times New Roman"/>
          <w:sz w:val="24"/>
          <w:szCs w:val="24"/>
        </w:rPr>
        <w:t xml:space="preserve"> On the other hand the applicant seeks through a </w:t>
      </w:r>
      <w:proofErr w:type="spellStart"/>
      <w:r w:rsidR="00126262" w:rsidRPr="00AA48A7">
        <w:rPr>
          <w:rFonts w:ascii="Times New Roman" w:hAnsi="Times New Roman" w:cs="Times New Roman"/>
          <w:sz w:val="24"/>
          <w:szCs w:val="24"/>
        </w:rPr>
        <w:t>declarat</w:t>
      </w:r>
      <w:r w:rsidR="008D272C">
        <w:rPr>
          <w:rFonts w:ascii="Times New Roman" w:hAnsi="Times New Roman" w:cs="Times New Roman"/>
          <w:sz w:val="24"/>
          <w:szCs w:val="24"/>
        </w:rPr>
        <w:t>eur</w:t>
      </w:r>
      <w:proofErr w:type="spellEnd"/>
      <w:r w:rsidR="00126262" w:rsidRPr="00AA48A7">
        <w:rPr>
          <w:rFonts w:ascii="Times New Roman" w:hAnsi="Times New Roman" w:cs="Times New Roman"/>
          <w:sz w:val="24"/>
          <w:szCs w:val="24"/>
        </w:rPr>
        <w:t xml:space="preserve"> that the deduction be declared by this </w:t>
      </w:r>
      <w:r w:rsidR="00931269">
        <w:rPr>
          <w:rFonts w:ascii="Times New Roman" w:hAnsi="Times New Roman" w:cs="Times New Roman"/>
          <w:sz w:val="24"/>
          <w:szCs w:val="24"/>
        </w:rPr>
        <w:t>C</w:t>
      </w:r>
      <w:r w:rsidR="00126262" w:rsidRPr="00AA48A7">
        <w:rPr>
          <w:rFonts w:ascii="Times New Roman" w:hAnsi="Times New Roman" w:cs="Times New Roman"/>
          <w:sz w:val="24"/>
          <w:szCs w:val="24"/>
        </w:rPr>
        <w:t xml:space="preserve">ourt </w:t>
      </w:r>
      <w:r w:rsidR="00126262" w:rsidRPr="00931269">
        <w:rPr>
          <w:rFonts w:ascii="Times New Roman" w:hAnsi="Times New Roman" w:cs="Times New Roman"/>
          <w:sz w:val="24"/>
          <w:szCs w:val="24"/>
          <w:u w:val="single"/>
        </w:rPr>
        <w:t xml:space="preserve">illegal </w:t>
      </w:r>
      <w:r w:rsidR="00126262" w:rsidRPr="00AA48A7">
        <w:rPr>
          <w:rFonts w:ascii="Times New Roman" w:hAnsi="Times New Roman" w:cs="Times New Roman"/>
          <w:sz w:val="24"/>
          <w:szCs w:val="24"/>
        </w:rPr>
        <w:t xml:space="preserve">and </w:t>
      </w:r>
      <w:r w:rsidR="00126262" w:rsidRPr="00931269">
        <w:rPr>
          <w:rFonts w:ascii="Times New Roman" w:hAnsi="Times New Roman" w:cs="Times New Roman"/>
          <w:sz w:val="24"/>
          <w:szCs w:val="24"/>
          <w:u w:val="single"/>
        </w:rPr>
        <w:t>unlawful</w:t>
      </w:r>
      <w:r w:rsidR="00126262" w:rsidRPr="00AA48A7">
        <w:rPr>
          <w:rFonts w:ascii="Times New Roman" w:hAnsi="Times New Roman" w:cs="Times New Roman"/>
          <w:sz w:val="24"/>
          <w:szCs w:val="24"/>
        </w:rPr>
        <w:t>.  The unlawfulness and illegality issues are settled by the earlier matter and the applicant cannot reopen them while the Designated Agent’s ruling stands intact.</w:t>
      </w:r>
    </w:p>
    <w:p w:rsidR="00126262" w:rsidRPr="00AA48A7" w:rsidRDefault="00126262" w:rsidP="00AA48A7">
      <w:pPr>
        <w:jc w:val="both"/>
        <w:rPr>
          <w:rFonts w:ascii="Times New Roman" w:hAnsi="Times New Roman" w:cs="Times New Roman"/>
          <w:b/>
          <w:sz w:val="24"/>
          <w:szCs w:val="24"/>
        </w:rPr>
      </w:pPr>
      <w:r w:rsidRPr="00AA48A7">
        <w:rPr>
          <w:rFonts w:ascii="Times New Roman" w:hAnsi="Times New Roman" w:cs="Times New Roman"/>
          <w:b/>
          <w:sz w:val="24"/>
          <w:szCs w:val="24"/>
        </w:rPr>
        <w:t>Disposition</w:t>
      </w:r>
    </w:p>
    <w:p w:rsidR="00126262" w:rsidRPr="00AA48A7" w:rsidRDefault="00126262" w:rsidP="00AA48A7">
      <w:pPr>
        <w:pStyle w:val="ListParagraph"/>
        <w:numPr>
          <w:ilvl w:val="0"/>
          <w:numId w:val="2"/>
        </w:numPr>
        <w:jc w:val="both"/>
        <w:rPr>
          <w:rFonts w:ascii="Times New Roman" w:hAnsi="Times New Roman" w:cs="Times New Roman"/>
          <w:sz w:val="24"/>
          <w:szCs w:val="24"/>
        </w:rPr>
      </w:pPr>
      <w:r w:rsidRPr="00AA48A7">
        <w:rPr>
          <w:rFonts w:ascii="Times New Roman" w:hAnsi="Times New Roman" w:cs="Times New Roman"/>
          <w:sz w:val="24"/>
          <w:szCs w:val="24"/>
        </w:rPr>
        <w:t xml:space="preserve">The doctrine for </w:t>
      </w:r>
      <w:r w:rsidRPr="00AA48A7">
        <w:rPr>
          <w:rFonts w:ascii="Times New Roman" w:hAnsi="Times New Roman" w:cs="Times New Roman"/>
          <w:i/>
          <w:sz w:val="24"/>
          <w:szCs w:val="24"/>
        </w:rPr>
        <w:t>res judicata</w:t>
      </w:r>
      <w:r w:rsidRPr="00AA48A7">
        <w:rPr>
          <w:rFonts w:ascii="Times New Roman" w:hAnsi="Times New Roman" w:cs="Times New Roman"/>
          <w:sz w:val="24"/>
          <w:szCs w:val="24"/>
        </w:rPr>
        <w:t xml:space="preserve"> applied in this case.</w:t>
      </w:r>
    </w:p>
    <w:p w:rsidR="00126262" w:rsidRPr="00AA48A7" w:rsidRDefault="00126262" w:rsidP="00AA48A7">
      <w:pPr>
        <w:pStyle w:val="ListParagraph"/>
        <w:numPr>
          <w:ilvl w:val="0"/>
          <w:numId w:val="2"/>
        </w:numPr>
        <w:jc w:val="both"/>
        <w:rPr>
          <w:rFonts w:ascii="Times New Roman" w:hAnsi="Times New Roman" w:cs="Times New Roman"/>
          <w:sz w:val="24"/>
          <w:szCs w:val="24"/>
        </w:rPr>
      </w:pPr>
      <w:r w:rsidRPr="00AA48A7">
        <w:rPr>
          <w:rFonts w:ascii="Times New Roman" w:hAnsi="Times New Roman" w:cs="Times New Roman"/>
          <w:sz w:val="24"/>
          <w:szCs w:val="24"/>
        </w:rPr>
        <w:t>The application is dismissed with costs.</w:t>
      </w:r>
    </w:p>
    <w:p w:rsidR="00126262" w:rsidRDefault="00126262" w:rsidP="00126262">
      <w:pPr>
        <w:rPr>
          <w:rFonts w:ascii="Times New Roman" w:hAnsi="Times New Roman" w:cs="Times New Roman"/>
          <w:sz w:val="28"/>
          <w:szCs w:val="28"/>
        </w:rPr>
      </w:pPr>
    </w:p>
    <w:p w:rsidR="00126262" w:rsidRDefault="00126262" w:rsidP="00126262">
      <w:pPr>
        <w:rPr>
          <w:rFonts w:ascii="Times New Roman" w:hAnsi="Times New Roman" w:cs="Times New Roman"/>
          <w:sz w:val="28"/>
          <w:szCs w:val="28"/>
        </w:rPr>
      </w:pPr>
    </w:p>
    <w:p w:rsidR="00126262" w:rsidRDefault="00126262" w:rsidP="00126262">
      <w:pPr>
        <w:pStyle w:val="NoSpacing"/>
        <w:rPr>
          <w:rFonts w:ascii="Times New Roman" w:hAnsi="Times New Roman" w:cs="Times New Roman"/>
          <w:sz w:val="24"/>
          <w:szCs w:val="24"/>
        </w:rPr>
      </w:pPr>
    </w:p>
    <w:p w:rsidR="00126262" w:rsidRDefault="00126262" w:rsidP="00126262">
      <w:pPr>
        <w:pStyle w:val="NoSpacing"/>
        <w:rPr>
          <w:rFonts w:ascii="Times New Roman" w:hAnsi="Times New Roman" w:cs="Times New Roman"/>
          <w:sz w:val="24"/>
          <w:szCs w:val="24"/>
        </w:rPr>
      </w:pPr>
      <w:r w:rsidRPr="00126262">
        <w:rPr>
          <w:rFonts w:ascii="Times New Roman" w:hAnsi="Times New Roman" w:cs="Times New Roman"/>
          <w:i/>
          <w:sz w:val="24"/>
          <w:szCs w:val="24"/>
        </w:rPr>
        <w:t xml:space="preserve">Messrs T. J. </w:t>
      </w:r>
      <w:proofErr w:type="spellStart"/>
      <w:r w:rsidRPr="00126262">
        <w:rPr>
          <w:rFonts w:ascii="Times New Roman" w:hAnsi="Times New Roman" w:cs="Times New Roman"/>
          <w:i/>
          <w:sz w:val="24"/>
          <w:szCs w:val="24"/>
        </w:rPr>
        <w:t>Mabhikwa</w:t>
      </w:r>
      <w:proofErr w:type="spellEnd"/>
      <w:r w:rsidRPr="00126262">
        <w:rPr>
          <w:rFonts w:ascii="Times New Roman" w:hAnsi="Times New Roman" w:cs="Times New Roman"/>
          <w:i/>
          <w:sz w:val="24"/>
          <w:szCs w:val="24"/>
        </w:rPr>
        <w:t xml:space="preserve"> &amp; Partners,</w:t>
      </w:r>
      <w:r>
        <w:rPr>
          <w:rFonts w:ascii="Times New Roman" w:hAnsi="Times New Roman" w:cs="Times New Roman"/>
          <w:i/>
          <w:sz w:val="24"/>
          <w:szCs w:val="24"/>
        </w:rPr>
        <w:t xml:space="preserve"> </w:t>
      </w:r>
      <w:r>
        <w:rPr>
          <w:rFonts w:ascii="Times New Roman" w:hAnsi="Times New Roman" w:cs="Times New Roman"/>
          <w:sz w:val="24"/>
          <w:szCs w:val="24"/>
        </w:rPr>
        <w:t>applicant’s legal practitioners</w:t>
      </w:r>
    </w:p>
    <w:p w:rsidR="00126262" w:rsidRPr="00126262" w:rsidRDefault="00126262" w:rsidP="00126262">
      <w:pPr>
        <w:pStyle w:val="NoSpacing"/>
        <w:rPr>
          <w:rFonts w:ascii="Times New Roman" w:hAnsi="Times New Roman" w:cs="Times New Roman"/>
          <w:sz w:val="24"/>
          <w:szCs w:val="24"/>
        </w:rPr>
      </w:pPr>
      <w:r w:rsidRPr="00126262">
        <w:rPr>
          <w:rFonts w:ascii="Times New Roman" w:hAnsi="Times New Roman" w:cs="Times New Roman"/>
          <w:i/>
          <w:sz w:val="24"/>
          <w:szCs w:val="24"/>
        </w:rPr>
        <w:t xml:space="preserve">Calderwood, Bryce </w:t>
      </w:r>
      <w:proofErr w:type="spellStart"/>
      <w:r w:rsidRPr="00126262">
        <w:rPr>
          <w:rFonts w:ascii="Times New Roman" w:hAnsi="Times New Roman" w:cs="Times New Roman"/>
          <w:i/>
          <w:sz w:val="24"/>
          <w:szCs w:val="24"/>
        </w:rPr>
        <w:t>Hendrie</w:t>
      </w:r>
      <w:proofErr w:type="spellEnd"/>
      <w:r w:rsidRPr="00126262">
        <w:rPr>
          <w:rFonts w:ascii="Times New Roman" w:hAnsi="Times New Roman" w:cs="Times New Roman"/>
          <w:i/>
          <w:sz w:val="24"/>
          <w:szCs w:val="24"/>
        </w:rPr>
        <w:t xml:space="preserve"> &amp; </w:t>
      </w:r>
      <w:r>
        <w:rPr>
          <w:rFonts w:ascii="Times New Roman" w:hAnsi="Times New Roman" w:cs="Times New Roman"/>
          <w:i/>
          <w:sz w:val="24"/>
          <w:szCs w:val="24"/>
        </w:rPr>
        <w:t>P</w:t>
      </w:r>
      <w:r w:rsidRPr="00126262">
        <w:rPr>
          <w:rFonts w:ascii="Times New Roman" w:hAnsi="Times New Roman" w:cs="Times New Roman"/>
          <w:i/>
          <w:sz w:val="24"/>
          <w:szCs w:val="24"/>
        </w:rPr>
        <w:t>artners</w:t>
      </w:r>
      <w:r>
        <w:rPr>
          <w:rFonts w:ascii="Times New Roman" w:hAnsi="Times New Roman" w:cs="Times New Roman"/>
          <w:sz w:val="24"/>
          <w:szCs w:val="24"/>
        </w:rPr>
        <w:t>, respondent’s legal practitioners</w:t>
      </w:r>
    </w:p>
    <w:p w:rsidR="00126262" w:rsidRDefault="00126262" w:rsidP="00126262">
      <w:pPr>
        <w:rPr>
          <w:rFonts w:ascii="Times New Roman" w:hAnsi="Times New Roman" w:cs="Times New Roman"/>
          <w:sz w:val="28"/>
          <w:szCs w:val="28"/>
        </w:rPr>
      </w:pPr>
    </w:p>
    <w:p w:rsidR="00126262" w:rsidRDefault="00126262" w:rsidP="00126262">
      <w:pPr>
        <w:rPr>
          <w:rFonts w:ascii="Times New Roman" w:hAnsi="Times New Roman" w:cs="Times New Roman"/>
          <w:sz w:val="28"/>
          <w:szCs w:val="28"/>
        </w:rPr>
      </w:pPr>
    </w:p>
    <w:p w:rsidR="00126262" w:rsidRPr="00126262" w:rsidRDefault="00126262" w:rsidP="00126262">
      <w:pPr>
        <w:rPr>
          <w:rFonts w:ascii="Times New Roman" w:hAnsi="Times New Roman" w:cs="Times New Roman"/>
          <w:sz w:val="28"/>
          <w:szCs w:val="28"/>
        </w:rPr>
      </w:pPr>
    </w:p>
    <w:sectPr w:rsidR="00126262" w:rsidRPr="001262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52" w:rsidRDefault="001D6A52" w:rsidP="00AA48A7">
      <w:pPr>
        <w:spacing w:after="0" w:line="240" w:lineRule="auto"/>
      </w:pPr>
      <w:r>
        <w:separator/>
      </w:r>
    </w:p>
  </w:endnote>
  <w:endnote w:type="continuationSeparator" w:id="0">
    <w:p w:rsidR="001D6A52" w:rsidRDefault="001D6A52" w:rsidP="00AA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52" w:rsidRDefault="001D6A52" w:rsidP="00AA48A7">
      <w:pPr>
        <w:spacing w:after="0" w:line="240" w:lineRule="auto"/>
      </w:pPr>
      <w:r>
        <w:separator/>
      </w:r>
    </w:p>
  </w:footnote>
  <w:footnote w:type="continuationSeparator" w:id="0">
    <w:p w:rsidR="001D6A52" w:rsidRDefault="001D6A52" w:rsidP="00AA4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743528"/>
      <w:docPartObj>
        <w:docPartGallery w:val="Page Numbers (Top of Page)"/>
        <w:docPartUnique/>
      </w:docPartObj>
    </w:sdtPr>
    <w:sdtEndPr>
      <w:rPr>
        <w:noProof/>
      </w:rPr>
    </w:sdtEndPr>
    <w:sdtContent>
      <w:p w:rsidR="00AA48A7" w:rsidRDefault="00AA48A7">
        <w:pPr>
          <w:pStyle w:val="Header"/>
          <w:jc w:val="right"/>
          <w:rPr>
            <w:noProof/>
          </w:rPr>
        </w:pPr>
        <w:r>
          <w:fldChar w:fldCharType="begin"/>
        </w:r>
        <w:r>
          <w:instrText xml:space="preserve"> PAGE   \* MERGEFORMAT </w:instrText>
        </w:r>
        <w:r>
          <w:fldChar w:fldCharType="separate"/>
        </w:r>
        <w:r w:rsidR="00C370C3">
          <w:rPr>
            <w:noProof/>
          </w:rPr>
          <w:t>1</w:t>
        </w:r>
        <w:r>
          <w:rPr>
            <w:noProof/>
          </w:rPr>
          <w:fldChar w:fldCharType="end"/>
        </w:r>
      </w:p>
      <w:p w:rsidR="00AA48A7" w:rsidRDefault="00AA48A7">
        <w:pPr>
          <w:pStyle w:val="Header"/>
          <w:jc w:val="right"/>
          <w:rPr>
            <w:noProof/>
          </w:rPr>
        </w:pPr>
        <w:r>
          <w:rPr>
            <w:noProof/>
          </w:rPr>
          <w:t xml:space="preserve">HB </w:t>
        </w:r>
        <w:r w:rsidR="00C370C3">
          <w:rPr>
            <w:noProof/>
          </w:rPr>
          <w:t>97</w:t>
        </w:r>
        <w:r>
          <w:rPr>
            <w:noProof/>
          </w:rPr>
          <w:t>/21</w:t>
        </w:r>
      </w:p>
      <w:p w:rsidR="00AA48A7" w:rsidRDefault="00AA48A7">
        <w:pPr>
          <w:pStyle w:val="Header"/>
          <w:jc w:val="right"/>
        </w:pPr>
        <w:r>
          <w:rPr>
            <w:noProof/>
          </w:rPr>
          <w:t>HC 726/19</w:t>
        </w:r>
      </w:p>
    </w:sdtContent>
  </w:sdt>
  <w:p w:rsidR="00AA48A7" w:rsidRDefault="00AA4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957BD"/>
    <w:multiLevelType w:val="hybridMultilevel"/>
    <w:tmpl w:val="6BBC8B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1D1127"/>
    <w:multiLevelType w:val="hybridMultilevel"/>
    <w:tmpl w:val="E612F9CA"/>
    <w:lvl w:ilvl="0" w:tplc="39140A78">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1E"/>
    <w:rsid w:val="000134F7"/>
    <w:rsid w:val="000F67AF"/>
    <w:rsid w:val="00126262"/>
    <w:rsid w:val="00174EE2"/>
    <w:rsid w:val="001D6A52"/>
    <w:rsid w:val="002822B6"/>
    <w:rsid w:val="002C64B2"/>
    <w:rsid w:val="003865BA"/>
    <w:rsid w:val="003B2F72"/>
    <w:rsid w:val="003B3145"/>
    <w:rsid w:val="00413AA4"/>
    <w:rsid w:val="004A25AC"/>
    <w:rsid w:val="004E222A"/>
    <w:rsid w:val="00575D92"/>
    <w:rsid w:val="005A371B"/>
    <w:rsid w:val="00691DF0"/>
    <w:rsid w:val="006C2E92"/>
    <w:rsid w:val="00712842"/>
    <w:rsid w:val="00734417"/>
    <w:rsid w:val="0075043D"/>
    <w:rsid w:val="007D58A9"/>
    <w:rsid w:val="00817530"/>
    <w:rsid w:val="00823272"/>
    <w:rsid w:val="008605E7"/>
    <w:rsid w:val="008D272C"/>
    <w:rsid w:val="008D43F2"/>
    <w:rsid w:val="00931269"/>
    <w:rsid w:val="00994721"/>
    <w:rsid w:val="00997BD6"/>
    <w:rsid w:val="009F03A1"/>
    <w:rsid w:val="00AA48A7"/>
    <w:rsid w:val="00AC4EF3"/>
    <w:rsid w:val="00B13C89"/>
    <w:rsid w:val="00C370C3"/>
    <w:rsid w:val="00C40352"/>
    <w:rsid w:val="00C50BBA"/>
    <w:rsid w:val="00CE53D1"/>
    <w:rsid w:val="00D6291E"/>
    <w:rsid w:val="00DE2EFE"/>
    <w:rsid w:val="00E24E84"/>
    <w:rsid w:val="00E55FBC"/>
    <w:rsid w:val="00EF71E1"/>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365BF-40E0-49F8-B0C3-E59355BB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91E"/>
    <w:pPr>
      <w:spacing w:after="0" w:line="240" w:lineRule="auto"/>
    </w:pPr>
  </w:style>
  <w:style w:type="paragraph" w:styleId="ListParagraph">
    <w:name w:val="List Paragraph"/>
    <w:basedOn w:val="Normal"/>
    <w:uiPriority w:val="34"/>
    <w:qFormat/>
    <w:rsid w:val="00174EE2"/>
    <w:pPr>
      <w:ind w:left="720"/>
      <w:contextualSpacing/>
    </w:pPr>
  </w:style>
  <w:style w:type="paragraph" w:styleId="Header">
    <w:name w:val="header"/>
    <w:basedOn w:val="Normal"/>
    <w:link w:val="HeaderChar"/>
    <w:uiPriority w:val="99"/>
    <w:unhideWhenUsed/>
    <w:rsid w:val="00AA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A7"/>
  </w:style>
  <w:style w:type="paragraph" w:styleId="Footer">
    <w:name w:val="footer"/>
    <w:basedOn w:val="Normal"/>
    <w:link w:val="FooterChar"/>
    <w:uiPriority w:val="99"/>
    <w:unhideWhenUsed/>
    <w:rsid w:val="00AA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A7"/>
  </w:style>
  <w:style w:type="paragraph" w:styleId="BalloonText">
    <w:name w:val="Balloon Text"/>
    <w:basedOn w:val="Normal"/>
    <w:link w:val="BalloonTextChar"/>
    <w:uiPriority w:val="99"/>
    <w:semiHidden/>
    <w:unhideWhenUsed/>
    <w:rsid w:val="00AA4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21</cp:revision>
  <cp:lastPrinted>2021-06-02T13:08:00Z</cp:lastPrinted>
  <dcterms:created xsi:type="dcterms:W3CDTF">2021-05-28T12:07:00Z</dcterms:created>
  <dcterms:modified xsi:type="dcterms:W3CDTF">2021-06-02T13:12:00Z</dcterms:modified>
</cp:coreProperties>
</file>