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36CFC4" w14:textId="037A9C15" w:rsidR="00525E45" w:rsidRPr="00D10188" w:rsidRDefault="00525E45" w:rsidP="00525E45">
      <w:pPr>
        <w:pStyle w:val="NoSpacing"/>
        <w:jc w:val="both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 xml:space="preserve">RAMA JITESH </w:t>
      </w:r>
    </w:p>
    <w:p w14:paraId="17CD7C61" w14:textId="77777777" w:rsidR="00525E45" w:rsidRPr="00D10188" w:rsidRDefault="00525E45" w:rsidP="00525E45">
      <w:pPr>
        <w:pStyle w:val="NoSpacing"/>
        <w:jc w:val="both"/>
        <w:rPr>
          <w:b/>
          <w:szCs w:val="24"/>
        </w:rPr>
      </w:pPr>
    </w:p>
    <w:p w14:paraId="4129578D" w14:textId="77777777" w:rsidR="00525E45" w:rsidRPr="00D10188" w:rsidRDefault="00525E45" w:rsidP="00525E45">
      <w:pPr>
        <w:pStyle w:val="NoSpacing"/>
        <w:jc w:val="both"/>
        <w:rPr>
          <w:b/>
          <w:szCs w:val="24"/>
        </w:rPr>
      </w:pPr>
      <w:r w:rsidRPr="00D10188">
        <w:rPr>
          <w:b/>
          <w:szCs w:val="24"/>
        </w:rPr>
        <w:t>Versus</w:t>
      </w:r>
    </w:p>
    <w:p w14:paraId="6A108C8B" w14:textId="77777777" w:rsidR="00525E45" w:rsidRPr="00D10188" w:rsidRDefault="00525E45" w:rsidP="00525E45">
      <w:pPr>
        <w:pStyle w:val="NoSpacing"/>
        <w:jc w:val="both"/>
        <w:rPr>
          <w:b/>
          <w:szCs w:val="24"/>
        </w:rPr>
      </w:pPr>
    </w:p>
    <w:p w14:paraId="17ECA5E9" w14:textId="523F4595" w:rsidR="00525E45" w:rsidRPr="00D10188" w:rsidRDefault="00525E45" w:rsidP="00525E45">
      <w:pPr>
        <w:pStyle w:val="NoSpacing"/>
        <w:jc w:val="both"/>
        <w:rPr>
          <w:b/>
          <w:szCs w:val="24"/>
        </w:rPr>
      </w:pPr>
      <w:r>
        <w:rPr>
          <w:b/>
          <w:szCs w:val="24"/>
        </w:rPr>
        <w:t xml:space="preserve">SHEILA SKIMMER </w:t>
      </w:r>
    </w:p>
    <w:p w14:paraId="6CA5A752" w14:textId="77777777" w:rsidR="00525E45" w:rsidRPr="00D10188" w:rsidRDefault="00525E45" w:rsidP="00525E45">
      <w:pPr>
        <w:pStyle w:val="NoSpacing"/>
        <w:jc w:val="both"/>
        <w:rPr>
          <w:b/>
          <w:szCs w:val="24"/>
        </w:rPr>
      </w:pPr>
    </w:p>
    <w:p w14:paraId="2A10E02A" w14:textId="77777777" w:rsidR="00525E45" w:rsidRPr="00D10188" w:rsidRDefault="00525E45" w:rsidP="00525E45">
      <w:pPr>
        <w:pStyle w:val="NoSpacing"/>
        <w:jc w:val="both"/>
        <w:rPr>
          <w:szCs w:val="24"/>
        </w:rPr>
      </w:pPr>
      <w:r w:rsidRPr="00D10188">
        <w:rPr>
          <w:szCs w:val="24"/>
        </w:rPr>
        <w:t>IN THE HIGH COURT OF ZIMBABWE</w:t>
      </w:r>
    </w:p>
    <w:p w14:paraId="647469F9" w14:textId="5DF560E5" w:rsidR="00525E45" w:rsidRPr="00D10188" w:rsidRDefault="00525E45" w:rsidP="00525E45">
      <w:pPr>
        <w:pStyle w:val="NoSpacing"/>
        <w:jc w:val="both"/>
        <w:rPr>
          <w:szCs w:val="24"/>
        </w:rPr>
      </w:pPr>
      <w:r>
        <w:rPr>
          <w:szCs w:val="24"/>
        </w:rPr>
        <w:t>DUBE-BANDA</w:t>
      </w:r>
      <w:r w:rsidRPr="00D10188">
        <w:rPr>
          <w:szCs w:val="24"/>
        </w:rPr>
        <w:t xml:space="preserve"> J</w:t>
      </w:r>
    </w:p>
    <w:p w14:paraId="61125091" w14:textId="51E70ECD" w:rsidR="00525E45" w:rsidRPr="00D10188" w:rsidRDefault="00525E45" w:rsidP="00525E45">
      <w:pPr>
        <w:pStyle w:val="NoSpacing"/>
        <w:jc w:val="both"/>
        <w:rPr>
          <w:szCs w:val="24"/>
        </w:rPr>
      </w:pPr>
      <w:r w:rsidRPr="00D10188">
        <w:rPr>
          <w:szCs w:val="24"/>
        </w:rPr>
        <w:t xml:space="preserve">BULAWAYO </w:t>
      </w:r>
      <w:r w:rsidR="008F0BFB">
        <w:rPr>
          <w:szCs w:val="24"/>
        </w:rPr>
        <w:t xml:space="preserve">13 June 2023 &amp; </w:t>
      </w:r>
      <w:r w:rsidR="00FA7DBF">
        <w:rPr>
          <w:szCs w:val="24"/>
        </w:rPr>
        <w:t xml:space="preserve">31 August </w:t>
      </w:r>
      <w:r w:rsidR="008F0BFB">
        <w:rPr>
          <w:szCs w:val="24"/>
        </w:rPr>
        <w:t>2023</w:t>
      </w:r>
    </w:p>
    <w:p w14:paraId="16A9C616" w14:textId="77777777" w:rsidR="00525E45" w:rsidRPr="00D10188" w:rsidRDefault="00525E45" w:rsidP="00525E45">
      <w:pPr>
        <w:pStyle w:val="NoSpacing"/>
        <w:jc w:val="both"/>
        <w:rPr>
          <w:szCs w:val="24"/>
        </w:rPr>
      </w:pPr>
    </w:p>
    <w:p w14:paraId="0A20F3B1" w14:textId="2BC8CD55" w:rsidR="00525E45" w:rsidRPr="00196FBB" w:rsidRDefault="008F0BFB" w:rsidP="00525E45">
      <w:pPr>
        <w:pStyle w:val="NoSpacing"/>
        <w:jc w:val="both"/>
        <w:rPr>
          <w:b/>
          <w:szCs w:val="24"/>
          <w:lang w:val="en-ZW"/>
        </w:rPr>
      </w:pPr>
      <w:r w:rsidRPr="00196FBB">
        <w:rPr>
          <w:b/>
          <w:szCs w:val="24"/>
          <w:lang w:val="en-ZW"/>
        </w:rPr>
        <w:t xml:space="preserve">Default judgement </w:t>
      </w:r>
    </w:p>
    <w:p w14:paraId="2D317B88" w14:textId="77777777" w:rsidR="00525E45" w:rsidRPr="00196FBB" w:rsidRDefault="00525E45" w:rsidP="00525E45">
      <w:pPr>
        <w:pStyle w:val="NoSpacing"/>
        <w:jc w:val="both"/>
        <w:rPr>
          <w:szCs w:val="24"/>
          <w:lang w:val="en-ZW"/>
        </w:rPr>
      </w:pPr>
    </w:p>
    <w:p w14:paraId="2DFD9FC6" w14:textId="6E6174C0" w:rsidR="00525E45" w:rsidRPr="008F0BFB" w:rsidRDefault="008F0BFB" w:rsidP="008F0BFB">
      <w:pPr>
        <w:pStyle w:val="NoSpacing"/>
        <w:jc w:val="both"/>
        <w:rPr>
          <w:szCs w:val="24"/>
          <w:lang w:val="en-ZW"/>
        </w:rPr>
      </w:pPr>
      <w:r w:rsidRPr="008F0BFB">
        <w:rPr>
          <w:i/>
          <w:szCs w:val="24"/>
          <w:lang w:val="en-ZW"/>
        </w:rPr>
        <w:t xml:space="preserve">A Mutatu, </w:t>
      </w:r>
      <w:r w:rsidRPr="008F0BFB">
        <w:rPr>
          <w:iCs/>
          <w:szCs w:val="24"/>
          <w:lang w:val="en-ZW"/>
        </w:rPr>
        <w:t xml:space="preserve">for the plaintiff </w:t>
      </w:r>
    </w:p>
    <w:p w14:paraId="62538C9E" w14:textId="331A4077" w:rsidR="00280941" w:rsidRPr="00196FBB" w:rsidRDefault="008F0BFB" w:rsidP="00525E45">
      <w:pPr>
        <w:rPr>
          <w:b/>
          <w:szCs w:val="24"/>
          <w:lang w:val="en-ZW"/>
        </w:rPr>
      </w:pPr>
      <w:r w:rsidRPr="00196FBB">
        <w:rPr>
          <w:b/>
          <w:szCs w:val="24"/>
          <w:lang w:val="en-ZW"/>
        </w:rPr>
        <w:t>DUBE-BANDA</w:t>
      </w:r>
      <w:r w:rsidR="00525E45" w:rsidRPr="00196FBB">
        <w:rPr>
          <w:b/>
          <w:szCs w:val="24"/>
          <w:lang w:val="en-ZW"/>
        </w:rPr>
        <w:t xml:space="preserve"> J:</w:t>
      </w:r>
    </w:p>
    <w:p w14:paraId="096BCC79" w14:textId="6513C1B4" w:rsidR="003F2CE3" w:rsidRDefault="00626D46" w:rsidP="0033776F">
      <w:pPr>
        <w:jc w:val="both"/>
        <w:rPr>
          <w:bCs/>
          <w:szCs w:val="24"/>
          <w:lang w:val="en-ZW"/>
        </w:rPr>
      </w:pPr>
      <w:r w:rsidRPr="00626D46">
        <w:rPr>
          <w:bCs/>
          <w:szCs w:val="24"/>
          <w:lang w:val="en-ZW"/>
        </w:rPr>
        <w:t xml:space="preserve">[1] This is a </w:t>
      </w:r>
      <w:r w:rsidR="003F2CE3">
        <w:rPr>
          <w:bCs/>
          <w:szCs w:val="24"/>
          <w:lang w:val="en-ZW"/>
        </w:rPr>
        <w:t xml:space="preserve">claim for </w:t>
      </w:r>
      <w:r w:rsidR="009847F6">
        <w:rPr>
          <w:bCs/>
          <w:szCs w:val="24"/>
          <w:lang w:val="en-ZW"/>
        </w:rPr>
        <w:t xml:space="preserve">contractual </w:t>
      </w:r>
      <w:r w:rsidR="003F2CE3">
        <w:rPr>
          <w:bCs/>
          <w:szCs w:val="24"/>
          <w:lang w:val="en-ZW"/>
        </w:rPr>
        <w:t xml:space="preserve">damages brought by the plaintiff against the defendant. </w:t>
      </w:r>
      <w:r w:rsidR="009847F6" w:rsidRPr="009847F6">
        <w:rPr>
          <w:rFonts w:cs="Times New Roman"/>
          <w:szCs w:val="24"/>
        </w:rPr>
        <w:t>The plaintiffs’ claim is founded on contractual damages and arise out of breach of contract.</w:t>
      </w:r>
      <w:r w:rsidR="009847F6">
        <w:rPr>
          <w:rFonts w:cs="Times New Roman"/>
          <w:szCs w:val="24"/>
        </w:rPr>
        <w:t xml:space="preserve"> </w:t>
      </w:r>
      <w:r w:rsidR="003F2CE3">
        <w:rPr>
          <w:bCs/>
          <w:szCs w:val="24"/>
          <w:lang w:val="en-ZW"/>
        </w:rPr>
        <w:t>The plaintiff claims a total of US$250</w:t>
      </w:r>
      <w:r w:rsidR="0097343E">
        <w:rPr>
          <w:bCs/>
          <w:szCs w:val="24"/>
          <w:lang w:val="en-ZW"/>
        </w:rPr>
        <w:t>,</w:t>
      </w:r>
      <w:r w:rsidR="003F2CE3">
        <w:rPr>
          <w:bCs/>
          <w:szCs w:val="24"/>
          <w:lang w:val="en-ZW"/>
        </w:rPr>
        <w:t xml:space="preserve"> 000.00</w:t>
      </w:r>
      <w:r w:rsidR="00FA7DBF">
        <w:rPr>
          <w:bCs/>
          <w:szCs w:val="24"/>
          <w:lang w:val="en-ZW"/>
        </w:rPr>
        <w:t xml:space="preserve"> in damages. </w:t>
      </w:r>
      <w:r w:rsidR="003F2CE3">
        <w:rPr>
          <w:bCs/>
          <w:szCs w:val="24"/>
          <w:lang w:val="en-ZW"/>
        </w:rPr>
        <w:t xml:space="preserve"> </w:t>
      </w:r>
    </w:p>
    <w:p w14:paraId="67E21522" w14:textId="50F98CEA" w:rsidR="006E56A7" w:rsidRDefault="006E56A7" w:rsidP="0033776F">
      <w:pPr>
        <w:jc w:val="both"/>
        <w:rPr>
          <w:bCs/>
          <w:szCs w:val="24"/>
          <w:lang w:val="en-ZW"/>
        </w:rPr>
      </w:pPr>
      <w:r>
        <w:rPr>
          <w:bCs/>
          <w:szCs w:val="24"/>
          <w:lang w:val="en-ZW"/>
        </w:rPr>
        <w:t xml:space="preserve">[2] </w:t>
      </w:r>
      <w:r w:rsidR="00327B93">
        <w:rPr>
          <w:bCs/>
          <w:szCs w:val="24"/>
          <w:lang w:val="en-ZW"/>
        </w:rPr>
        <w:t xml:space="preserve">When the matter was called, the defendant was in default. I therefore asked the plaintiff to adduce evidence as to quantum only. See r 24 and r 25 of the High Court Rules, 2021. </w:t>
      </w:r>
    </w:p>
    <w:p w14:paraId="6EA7C74E" w14:textId="6C840D39" w:rsidR="00EF22F3" w:rsidRPr="009C74A5" w:rsidRDefault="000B235D" w:rsidP="0033776F">
      <w:pPr>
        <w:jc w:val="both"/>
        <w:rPr>
          <w:bCs/>
          <w:szCs w:val="24"/>
          <w:lang w:val="en-ZW"/>
        </w:rPr>
      </w:pPr>
      <w:r>
        <w:rPr>
          <w:rFonts w:cs="Times New Roman"/>
          <w:bCs/>
          <w:szCs w:val="24"/>
          <w:lang w:val="en-ZW"/>
        </w:rPr>
        <w:t>[</w:t>
      </w:r>
      <w:r w:rsidR="00327B93">
        <w:rPr>
          <w:rFonts w:cs="Times New Roman"/>
          <w:bCs/>
          <w:szCs w:val="24"/>
          <w:lang w:val="en-ZW"/>
        </w:rPr>
        <w:t>3</w:t>
      </w:r>
      <w:r>
        <w:rPr>
          <w:rFonts w:cs="Times New Roman"/>
          <w:bCs/>
          <w:szCs w:val="24"/>
          <w:lang w:val="en-ZW"/>
        </w:rPr>
        <w:t xml:space="preserve">] </w:t>
      </w:r>
      <w:r w:rsidR="00C40D86">
        <w:rPr>
          <w:rFonts w:cs="Times New Roman"/>
          <w:bCs/>
          <w:szCs w:val="24"/>
          <w:lang w:val="en-ZW"/>
        </w:rPr>
        <w:t>For completeness and to give a factual background to this matter I summarise the plaintiff’s case as amplified in the summons and declaration. The plaintiff avers that sometime in November 2012 he entered into an agreement with the defendant in respect of a mine called Black Prince. The defendant is the owner of the mine. The material terms of the agreement were that: the defendant would appoint the plaintiff as her accredited agent who would take over possession and control of the mine</w:t>
      </w:r>
      <w:r w:rsidR="0064108B">
        <w:rPr>
          <w:rFonts w:cs="Times New Roman"/>
          <w:bCs/>
          <w:szCs w:val="24"/>
          <w:lang w:val="en-ZW"/>
        </w:rPr>
        <w:t xml:space="preserve">; and that </w:t>
      </w:r>
      <w:r w:rsidR="0097343E">
        <w:rPr>
          <w:rFonts w:cs="Times New Roman"/>
          <w:bCs/>
          <w:szCs w:val="24"/>
          <w:lang w:val="en-ZW"/>
        </w:rPr>
        <w:t>he</w:t>
      </w:r>
      <w:r w:rsidR="0064108B">
        <w:rPr>
          <w:rFonts w:cs="Times New Roman"/>
          <w:bCs/>
          <w:szCs w:val="24"/>
          <w:lang w:val="en-ZW"/>
        </w:rPr>
        <w:t xml:space="preserve"> would become a partner or purchase the mine after a period of time. </w:t>
      </w:r>
    </w:p>
    <w:p w14:paraId="230274A2" w14:textId="10749F66" w:rsidR="0064108B" w:rsidRDefault="0064108B" w:rsidP="0033776F">
      <w:pPr>
        <w:jc w:val="both"/>
        <w:rPr>
          <w:rFonts w:cs="Times New Roman"/>
          <w:bCs/>
          <w:szCs w:val="24"/>
          <w:lang w:val="en-ZW"/>
        </w:rPr>
      </w:pPr>
      <w:r>
        <w:rPr>
          <w:rFonts w:cs="Times New Roman"/>
          <w:bCs/>
          <w:szCs w:val="24"/>
          <w:lang w:val="en-ZW"/>
        </w:rPr>
        <w:t>[</w:t>
      </w:r>
      <w:r w:rsidR="00327B93">
        <w:rPr>
          <w:rFonts w:cs="Times New Roman"/>
          <w:bCs/>
          <w:szCs w:val="24"/>
          <w:lang w:val="en-ZW"/>
        </w:rPr>
        <w:t>4</w:t>
      </w:r>
      <w:r>
        <w:rPr>
          <w:rFonts w:cs="Times New Roman"/>
          <w:bCs/>
          <w:szCs w:val="24"/>
          <w:lang w:val="en-ZW"/>
        </w:rPr>
        <w:t xml:space="preserve">] The plaintiff </w:t>
      </w:r>
      <w:r w:rsidR="009D1836">
        <w:rPr>
          <w:rFonts w:cs="Times New Roman"/>
          <w:bCs/>
          <w:szCs w:val="24"/>
          <w:lang w:val="en-ZW"/>
        </w:rPr>
        <w:t>avers that he was appointed an accredited agent with the Ministry of Mines and Mining Development. He subsequently took over control of the mine and in anticipation of being a partner or owner he invested money in buying mining equipment and erecting necessary structures in preparation of mining operations. And as of 2020 he had invested US$250</w:t>
      </w:r>
      <w:r w:rsidR="0097343E">
        <w:rPr>
          <w:rFonts w:cs="Times New Roman"/>
          <w:bCs/>
          <w:szCs w:val="24"/>
          <w:lang w:val="en-ZW"/>
        </w:rPr>
        <w:t>,</w:t>
      </w:r>
      <w:r w:rsidR="009D1836">
        <w:rPr>
          <w:rFonts w:cs="Times New Roman"/>
          <w:bCs/>
          <w:szCs w:val="24"/>
          <w:lang w:val="en-ZW"/>
        </w:rPr>
        <w:t xml:space="preserve"> 000.00 at the mine. On 1 December 2020 the defendant evicted him from the mine, and as a result of the breach he suffered damages </w:t>
      </w:r>
      <w:r w:rsidR="00637D63">
        <w:rPr>
          <w:rFonts w:cs="Times New Roman"/>
          <w:bCs/>
          <w:szCs w:val="24"/>
          <w:lang w:val="en-ZW"/>
        </w:rPr>
        <w:t>in the sum of US$250</w:t>
      </w:r>
      <w:r w:rsidR="0097343E">
        <w:rPr>
          <w:rFonts w:cs="Times New Roman"/>
          <w:bCs/>
          <w:szCs w:val="24"/>
          <w:lang w:val="en-ZW"/>
        </w:rPr>
        <w:t>,</w:t>
      </w:r>
      <w:r w:rsidR="00637D63">
        <w:rPr>
          <w:rFonts w:cs="Times New Roman"/>
          <w:bCs/>
          <w:szCs w:val="24"/>
          <w:lang w:val="en-ZW"/>
        </w:rPr>
        <w:t xml:space="preserve"> 000.00 for improvements he made at the mine. </w:t>
      </w:r>
    </w:p>
    <w:p w14:paraId="79263E69" w14:textId="4DABD2EA" w:rsidR="000B235D" w:rsidRDefault="00637D63" w:rsidP="0033776F">
      <w:pPr>
        <w:jc w:val="both"/>
        <w:rPr>
          <w:rFonts w:cs="Times New Roman"/>
          <w:bCs/>
          <w:szCs w:val="24"/>
          <w:lang w:val="en-ZW"/>
        </w:rPr>
      </w:pPr>
      <w:r>
        <w:rPr>
          <w:rFonts w:cs="Times New Roman"/>
          <w:bCs/>
          <w:szCs w:val="24"/>
          <w:lang w:val="en-ZW"/>
        </w:rPr>
        <w:lastRenderedPageBreak/>
        <w:t>[</w:t>
      </w:r>
      <w:r w:rsidR="00327B93">
        <w:rPr>
          <w:rFonts w:cs="Times New Roman"/>
          <w:bCs/>
          <w:szCs w:val="24"/>
          <w:lang w:val="en-ZW"/>
        </w:rPr>
        <w:t>5</w:t>
      </w:r>
      <w:r>
        <w:rPr>
          <w:rFonts w:cs="Times New Roman"/>
          <w:bCs/>
          <w:szCs w:val="24"/>
          <w:lang w:val="en-ZW"/>
        </w:rPr>
        <w:t>]</w:t>
      </w:r>
      <w:r w:rsidR="005D5B08">
        <w:rPr>
          <w:bCs/>
          <w:szCs w:val="24"/>
          <w:lang w:val="en-ZW"/>
        </w:rPr>
        <w:t xml:space="preserve"> This matter was set down for the 13 June 2023 at 10 O’clock. When the matter was called the defendant was in default. </w:t>
      </w:r>
      <w:r w:rsidR="009E17DB">
        <w:rPr>
          <w:bCs/>
          <w:szCs w:val="24"/>
          <w:lang w:val="en-ZW"/>
        </w:rPr>
        <w:t>Liability is not an issue for consideration because the defendant was in default, and r</w:t>
      </w:r>
      <w:r w:rsidR="005D5B08">
        <w:rPr>
          <w:bCs/>
          <w:szCs w:val="24"/>
          <w:lang w:val="en-ZW"/>
        </w:rPr>
        <w:t xml:space="preserve"> 25(1) of the High Court Rules, 2021 provides that in a case were the defendant is in default and in a claim for damages the plaintiff shall adduce</w:t>
      </w:r>
      <w:r w:rsidR="009E17DB">
        <w:rPr>
          <w:bCs/>
          <w:szCs w:val="24"/>
          <w:lang w:val="en-ZW"/>
        </w:rPr>
        <w:t xml:space="preserve"> evidence</w:t>
      </w:r>
      <w:r w:rsidR="005D5B08">
        <w:rPr>
          <w:bCs/>
          <w:szCs w:val="24"/>
          <w:lang w:val="en-ZW"/>
        </w:rPr>
        <w:t xml:space="preserve"> as to</w:t>
      </w:r>
      <w:r w:rsidR="005D5B08">
        <w:t xml:space="preserve"> quantum only. </w:t>
      </w:r>
      <w:r w:rsidR="009E17DB">
        <w:rPr>
          <w:rFonts w:cs="Times New Roman"/>
          <w:bCs/>
          <w:szCs w:val="24"/>
          <w:lang w:val="en-ZW"/>
        </w:rPr>
        <w:t>Therefore, t</w:t>
      </w:r>
      <w:r w:rsidR="005D5B08">
        <w:rPr>
          <w:rFonts w:cs="Times New Roman"/>
          <w:bCs/>
          <w:szCs w:val="24"/>
          <w:lang w:val="en-ZW"/>
        </w:rPr>
        <w:t xml:space="preserve">o succeed the plaintiff must quantify and prove his loss. </w:t>
      </w:r>
      <w:r w:rsidR="005D5B08">
        <w:rPr>
          <w:bCs/>
          <w:szCs w:val="24"/>
          <w:lang w:val="en-ZW"/>
        </w:rPr>
        <w:t>The plaintiff</w:t>
      </w:r>
      <w:r w:rsidR="00254430">
        <w:rPr>
          <w:rFonts w:cs="Times New Roman"/>
          <w:bCs/>
          <w:szCs w:val="24"/>
          <w:lang w:val="en-ZW"/>
        </w:rPr>
        <w:t xml:space="preserve"> testified and adduced oral evidence from one Albert Tsikira, and further tendered documentary evidence to proof damages claimed from the defendant. </w:t>
      </w:r>
    </w:p>
    <w:p w14:paraId="488CDCF4" w14:textId="1A4C3123" w:rsidR="00A71B22" w:rsidRPr="00A71B22" w:rsidRDefault="00A71B22" w:rsidP="0033776F">
      <w:pPr>
        <w:jc w:val="both"/>
        <w:rPr>
          <w:rFonts w:cs="Times New Roman"/>
          <w:bCs/>
          <w:szCs w:val="24"/>
          <w:lang w:val="en-ZW"/>
        </w:rPr>
      </w:pPr>
      <w:r>
        <w:rPr>
          <w:rFonts w:cs="Times New Roman"/>
          <w:color w:val="212529"/>
          <w:szCs w:val="24"/>
          <w:shd w:val="clear" w:color="auto" w:fill="FFFFFF"/>
        </w:rPr>
        <w:t>[</w:t>
      </w:r>
      <w:r w:rsidR="00327B93">
        <w:rPr>
          <w:rFonts w:cs="Times New Roman"/>
          <w:color w:val="212529"/>
          <w:szCs w:val="24"/>
          <w:shd w:val="clear" w:color="auto" w:fill="FFFFFF"/>
        </w:rPr>
        <w:t>6</w:t>
      </w:r>
      <w:r>
        <w:rPr>
          <w:rFonts w:cs="Times New Roman"/>
          <w:color w:val="212529"/>
          <w:szCs w:val="24"/>
          <w:shd w:val="clear" w:color="auto" w:fill="FFFFFF"/>
        </w:rPr>
        <w:t xml:space="preserve">] </w:t>
      </w:r>
      <w:r w:rsidR="009E17DB" w:rsidRPr="009E17DB">
        <w:rPr>
          <w:rFonts w:cs="Times New Roman"/>
          <w:color w:val="212529"/>
          <w:szCs w:val="24"/>
          <w:shd w:val="clear" w:color="auto" w:fill="FFFFFF"/>
        </w:rPr>
        <w:t>The plaintiff must prove that he suffered damage as a result of the defendant's breach.</w:t>
      </w:r>
      <w:r w:rsidR="009E17DB" w:rsidRPr="009E17DB">
        <w:rPr>
          <w:rFonts w:cs="Times New Roman"/>
          <w:bCs/>
          <w:szCs w:val="24"/>
          <w:lang w:val="en-ZW"/>
        </w:rPr>
        <w:t xml:space="preserve"> </w:t>
      </w:r>
      <w:r w:rsidR="004810A4" w:rsidRPr="009E17DB">
        <w:rPr>
          <w:rFonts w:cs="Times New Roman"/>
          <w:bCs/>
          <w:szCs w:val="24"/>
          <w:lang w:val="en-ZW"/>
        </w:rPr>
        <w:t xml:space="preserve">The primary purpose of contractual damages is the compensation </w:t>
      </w:r>
      <w:r w:rsidR="004810A4">
        <w:rPr>
          <w:rFonts w:cs="Times New Roman"/>
          <w:bCs/>
          <w:szCs w:val="24"/>
          <w:lang w:val="en-ZW"/>
        </w:rPr>
        <w:t>for the non-fulfilment of its terms. It is</w:t>
      </w:r>
      <w:r w:rsidR="009C74A5">
        <w:rPr>
          <w:rFonts w:cs="Times New Roman"/>
          <w:bCs/>
          <w:szCs w:val="24"/>
          <w:lang w:val="en-ZW"/>
        </w:rPr>
        <w:t xml:space="preserve"> a sum of money paid to the innocent party in compensation for a breach of contract</w:t>
      </w:r>
      <w:r w:rsidR="004810A4">
        <w:rPr>
          <w:rFonts w:cs="Times New Roman"/>
          <w:bCs/>
          <w:szCs w:val="24"/>
          <w:lang w:val="en-ZW"/>
        </w:rPr>
        <w:t xml:space="preserve">, and </w:t>
      </w:r>
      <w:r w:rsidR="009F372D">
        <w:rPr>
          <w:rFonts w:cs="Times New Roman"/>
          <w:bCs/>
          <w:szCs w:val="24"/>
          <w:lang w:val="en-ZW"/>
        </w:rPr>
        <w:t>is</w:t>
      </w:r>
      <w:r w:rsidR="004810A4">
        <w:rPr>
          <w:rFonts w:cs="Times New Roman"/>
          <w:bCs/>
          <w:szCs w:val="24"/>
          <w:lang w:val="en-ZW"/>
        </w:rPr>
        <w:t xml:space="preserve"> meant</w:t>
      </w:r>
      <w:r w:rsidR="009C74A5">
        <w:rPr>
          <w:rFonts w:cs="Times New Roman"/>
          <w:bCs/>
          <w:szCs w:val="24"/>
          <w:lang w:val="en-ZW"/>
        </w:rPr>
        <w:t xml:space="preserve"> to place the plaintiff in the position </w:t>
      </w:r>
      <w:r w:rsidR="009F372D">
        <w:rPr>
          <w:rFonts w:cs="Times New Roman"/>
          <w:bCs/>
          <w:szCs w:val="24"/>
          <w:lang w:val="en-ZW"/>
        </w:rPr>
        <w:t>he</w:t>
      </w:r>
      <w:r w:rsidR="009C74A5">
        <w:rPr>
          <w:rFonts w:cs="Times New Roman"/>
          <w:bCs/>
          <w:szCs w:val="24"/>
          <w:lang w:val="en-ZW"/>
        </w:rPr>
        <w:t xml:space="preserve"> would have been in if the contract had been performed. </w:t>
      </w:r>
      <w:r>
        <w:rPr>
          <w:rFonts w:cs="Times New Roman"/>
          <w:bCs/>
          <w:szCs w:val="24"/>
          <w:lang w:val="en-ZW"/>
        </w:rPr>
        <w:t xml:space="preserve"> </w:t>
      </w:r>
      <w:r w:rsidRPr="00A71B22">
        <w:rPr>
          <w:rFonts w:cs="Times New Roman"/>
          <w:szCs w:val="24"/>
          <w:shd w:val="clear" w:color="auto" w:fill="FFFFFF"/>
        </w:rPr>
        <w:t xml:space="preserve">In </w:t>
      </w:r>
      <w:proofErr w:type="spellStart"/>
      <w:r w:rsidRPr="00A71B22">
        <w:rPr>
          <w:rFonts w:cs="Times New Roman"/>
          <w:i/>
          <w:iCs/>
          <w:szCs w:val="24"/>
          <w:shd w:val="clear" w:color="auto" w:fill="FFFFFF"/>
        </w:rPr>
        <w:t>Silonda</w:t>
      </w:r>
      <w:proofErr w:type="spellEnd"/>
      <w:r w:rsidRPr="00A71B22">
        <w:rPr>
          <w:rFonts w:cs="Times New Roman"/>
          <w:i/>
          <w:iCs/>
          <w:szCs w:val="24"/>
          <w:shd w:val="clear" w:color="auto" w:fill="FFFFFF"/>
        </w:rPr>
        <w:t xml:space="preserve"> v </w:t>
      </w:r>
      <w:proofErr w:type="spellStart"/>
      <w:r w:rsidRPr="00A71B22">
        <w:rPr>
          <w:rFonts w:cs="Times New Roman"/>
          <w:i/>
          <w:iCs/>
          <w:szCs w:val="24"/>
          <w:shd w:val="clear" w:color="auto" w:fill="FFFFFF"/>
        </w:rPr>
        <w:t>Nkomo</w:t>
      </w:r>
      <w:proofErr w:type="spellEnd"/>
      <w:r w:rsidRPr="00A71B22">
        <w:rPr>
          <w:rFonts w:cs="Times New Roman"/>
          <w:i/>
          <w:iCs/>
          <w:szCs w:val="24"/>
          <w:shd w:val="clear" w:color="auto" w:fill="FFFFFF"/>
        </w:rPr>
        <w:t xml:space="preserve"> </w:t>
      </w:r>
      <w:r w:rsidRPr="00A71B22">
        <w:rPr>
          <w:rFonts w:cs="Times New Roman"/>
          <w:szCs w:val="24"/>
          <w:shd w:val="clear" w:color="auto" w:fill="FFFFFF"/>
        </w:rPr>
        <w:t xml:space="preserve">(6 of 2022) [2022] ZWSC 6 (25 January 2022) the court said: </w:t>
      </w:r>
    </w:p>
    <w:p w14:paraId="7D3F9A97" w14:textId="61D1D742" w:rsidR="005921DE" w:rsidRPr="00A71B22" w:rsidRDefault="00AA67BB" w:rsidP="00A71B22">
      <w:pPr>
        <w:spacing w:line="276" w:lineRule="auto"/>
        <w:ind w:left="720"/>
        <w:jc w:val="both"/>
        <w:rPr>
          <w:rFonts w:cs="Times New Roman"/>
          <w:bCs/>
          <w:szCs w:val="24"/>
          <w:lang w:val="en-ZW"/>
        </w:rPr>
      </w:pPr>
      <w:r>
        <w:rPr>
          <w:rFonts w:cs="Times New Roman"/>
          <w:szCs w:val="24"/>
          <w:shd w:val="clear" w:color="auto" w:fill="FFFFFF"/>
        </w:rPr>
        <w:t>“</w:t>
      </w:r>
      <w:r w:rsidR="005921DE" w:rsidRPr="00A71B22">
        <w:rPr>
          <w:rFonts w:cs="Times New Roman"/>
          <w:szCs w:val="24"/>
          <w:shd w:val="clear" w:color="auto" w:fill="FFFFFF"/>
        </w:rPr>
        <w:t>There is no magic attached to </w:t>
      </w:r>
      <w:r w:rsidR="005921DE" w:rsidRPr="00A71B22">
        <w:rPr>
          <w:rStyle w:val="Emphasis"/>
          <w:rFonts w:cs="Times New Roman"/>
          <w:szCs w:val="24"/>
          <w:shd w:val="clear" w:color="auto" w:fill="FFFFFF"/>
        </w:rPr>
        <w:t>restitutio in integrum. </w:t>
      </w:r>
      <w:r w:rsidR="005921DE" w:rsidRPr="00A71B22">
        <w:rPr>
          <w:rFonts w:cs="Times New Roman"/>
          <w:szCs w:val="24"/>
          <w:shd w:val="clear" w:color="auto" w:fill="FFFFFF"/>
        </w:rPr>
        <w:t>Regarding contractual damages, it is a term of art, which denotes the unwinding or unravelling, physically or by payment of a monetary equivalent, of what has been done back to its original or pre-contractual position. See </w:t>
      </w:r>
      <w:proofErr w:type="spellStart"/>
      <w:r w:rsidR="005921DE" w:rsidRPr="00A71B22">
        <w:rPr>
          <w:rStyle w:val="Emphasis"/>
          <w:rFonts w:cs="Times New Roman"/>
          <w:szCs w:val="24"/>
          <w:shd w:val="clear" w:color="auto" w:fill="FFFFFF"/>
        </w:rPr>
        <w:t>Extel</w:t>
      </w:r>
      <w:proofErr w:type="spellEnd"/>
      <w:r w:rsidR="005921DE" w:rsidRPr="00A71B22">
        <w:rPr>
          <w:rStyle w:val="Emphasis"/>
          <w:rFonts w:cs="Times New Roman"/>
          <w:szCs w:val="24"/>
          <w:shd w:val="clear" w:color="auto" w:fill="FFFFFF"/>
        </w:rPr>
        <w:t xml:space="preserve"> Industrial (Pty) Ltd v Crown Mills (Pty) Ltd</w:t>
      </w:r>
      <w:r w:rsidR="005921DE" w:rsidRPr="00A71B22">
        <w:rPr>
          <w:rFonts w:cs="Times New Roman"/>
          <w:szCs w:val="24"/>
          <w:shd w:val="clear" w:color="auto" w:fill="FFFFFF"/>
        </w:rPr>
        <w:t> 1999 (2) SA 719 (A) at 732B and</w:t>
      </w:r>
      <w:r w:rsidR="005921DE" w:rsidRPr="00A71B22">
        <w:rPr>
          <w:rStyle w:val="Emphasis"/>
          <w:rFonts w:cs="Times New Roman"/>
          <w:szCs w:val="24"/>
          <w:shd w:val="clear" w:color="auto" w:fill="FFFFFF"/>
        </w:rPr>
        <w:t> Sackstein NO v Proudfoot SA (Pty) Ltd</w:t>
      </w:r>
      <w:r w:rsidR="005921DE" w:rsidRPr="00A71B22">
        <w:rPr>
          <w:rFonts w:cs="Times New Roman"/>
          <w:szCs w:val="24"/>
          <w:shd w:val="clear" w:color="auto" w:fill="FFFFFF"/>
        </w:rPr>
        <w:t> 2006 (6) 358 (SCA) para (11) and </w:t>
      </w:r>
      <w:r w:rsidR="005921DE" w:rsidRPr="00A71B22">
        <w:rPr>
          <w:rStyle w:val="Emphasis"/>
          <w:rFonts w:cs="Times New Roman"/>
          <w:szCs w:val="24"/>
          <w:shd w:val="clear" w:color="auto" w:fill="FFFFFF"/>
        </w:rPr>
        <w:t>Mackay v Fey NO</w:t>
      </w:r>
      <w:r w:rsidR="005921DE" w:rsidRPr="00A71B22">
        <w:rPr>
          <w:rFonts w:cs="Times New Roman"/>
          <w:szCs w:val="24"/>
          <w:shd w:val="clear" w:color="auto" w:fill="FFFFFF"/>
        </w:rPr>
        <w:t> 2006 (3) SA 182 (SCA) at para (10),</w:t>
      </w:r>
      <w:r w:rsidR="005921DE" w:rsidRPr="00A71B22">
        <w:rPr>
          <w:rStyle w:val="Emphasis"/>
          <w:rFonts w:cs="Times New Roman"/>
          <w:szCs w:val="24"/>
          <w:shd w:val="clear" w:color="auto" w:fill="FFFFFF"/>
        </w:rPr>
        <w:t> Jacobs</w:t>
      </w:r>
      <w:r w:rsidR="005921DE" w:rsidRPr="00A71B22">
        <w:rPr>
          <w:rFonts w:cs="Times New Roman"/>
          <w:szCs w:val="24"/>
          <w:shd w:val="clear" w:color="auto" w:fill="FFFFFF"/>
        </w:rPr>
        <w:t> </w:t>
      </w:r>
      <w:r w:rsidR="005921DE" w:rsidRPr="00A71B22">
        <w:rPr>
          <w:rStyle w:val="Emphasis"/>
          <w:rFonts w:cs="Times New Roman"/>
          <w:szCs w:val="24"/>
          <w:shd w:val="clear" w:color="auto" w:fill="FFFFFF"/>
        </w:rPr>
        <w:t>v United Building Society</w:t>
      </w:r>
      <w:r w:rsidR="005921DE" w:rsidRPr="00A71B22">
        <w:rPr>
          <w:rFonts w:cs="Times New Roman"/>
          <w:szCs w:val="24"/>
          <w:shd w:val="clear" w:color="auto" w:fill="FFFFFF"/>
        </w:rPr>
        <w:t> 1981 (4) S.A.37 at 39C-E and Du Plessis p 70 para 4.4.2.2.</w:t>
      </w:r>
      <w:r>
        <w:rPr>
          <w:rFonts w:cs="Times New Roman"/>
          <w:szCs w:val="24"/>
          <w:shd w:val="clear" w:color="auto" w:fill="FFFFFF"/>
        </w:rPr>
        <w:t>”</w:t>
      </w:r>
    </w:p>
    <w:p w14:paraId="6F7D1D1A" w14:textId="3E306125" w:rsidR="00637D63" w:rsidRDefault="00EF22F3" w:rsidP="0033776F">
      <w:pPr>
        <w:jc w:val="both"/>
        <w:rPr>
          <w:rFonts w:cs="Times New Roman"/>
          <w:bCs/>
          <w:szCs w:val="24"/>
          <w:lang w:val="en-ZW"/>
        </w:rPr>
      </w:pPr>
      <w:r>
        <w:rPr>
          <w:rFonts w:cs="Times New Roman"/>
          <w:bCs/>
          <w:szCs w:val="24"/>
          <w:lang w:val="en-ZW"/>
        </w:rPr>
        <w:t>[</w:t>
      </w:r>
      <w:r w:rsidR="00327B93">
        <w:rPr>
          <w:rFonts w:cs="Times New Roman"/>
          <w:bCs/>
          <w:szCs w:val="24"/>
          <w:lang w:val="en-ZW"/>
        </w:rPr>
        <w:t>7</w:t>
      </w:r>
      <w:r>
        <w:rPr>
          <w:rFonts w:cs="Times New Roman"/>
          <w:bCs/>
          <w:szCs w:val="24"/>
          <w:lang w:val="en-ZW"/>
        </w:rPr>
        <w:t xml:space="preserve">] </w:t>
      </w:r>
      <w:r w:rsidR="00FA7DBF">
        <w:rPr>
          <w:rFonts w:cs="Times New Roman"/>
          <w:bCs/>
          <w:szCs w:val="24"/>
          <w:lang w:val="en-ZW"/>
        </w:rPr>
        <w:t xml:space="preserve">The plaintiff testified that he made a number of improvements at Black Prince Mine. He testified further about the payment he expended in making the improvements. </w:t>
      </w:r>
      <w:r w:rsidR="006E56A7">
        <w:rPr>
          <w:rFonts w:cs="Times New Roman"/>
          <w:bCs/>
          <w:szCs w:val="24"/>
          <w:lang w:val="en-ZW"/>
        </w:rPr>
        <w:t xml:space="preserve">He produced a number of invoices and receipts to show the items purchased and the costs thereof in improving the mine. </w:t>
      </w:r>
      <w:r w:rsidR="00FA7DBF">
        <w:rPr>
          <w:rFonts w:cs="Times New Roman"/>
          <w:bCs/>
          <w:szCs w:val="24"/>
          <w:lang w:val="en-ZW"/>
        </w:rPr>
        <w:t xml:space="preserve">The second witness for the plaintiff was one Mr </w:t>
      </w:r>
      <w:r w:rsidR="00637D63">
        <w:rPr>
          <w:rFonts w:cs="Times New Roman"/>
          <w:bCs/>
          <w:szCs w:val="24"/>
          <w:lang w:val="en-ZW"/>
        </w:rPr>
        <w:t>Albert Tsikira</w:t>
      </w:r>
      <w:r w:rsidR="008755B4">
        <w:rPr>
          <w:rFonts w:cs="Times New Roman"/>
          <w:bCs/>
          <w:szCs w:val="24"/>
          <w:lang w:val="en-ZW"/>
        </w:rPr>
        <w:t xml:space="preserve"> (Tsikira).</w:t>
      </w:r>
      <w:r w:rsidR="00637D63">
        <w:rPr>
          <w:rFonts w:cs="Times New Roman"/>
          <w:bCs/>
          <w:szCs w:val="24"/>
          <w:lang w:val="en-ZW"/>
        </w:rPr>
        <w:t xml:space="preserve"> This witness testified that he is a registered estate agent. He operate</w:t>
      </w:r>
      <w:r w:rsidR="00FA7DBF">
        <w:rPr>
          <w:rFonts w:cs="Times New Roman"/>
          <w:bCs/>
          <w:szCs w:val="24"/>
          <w:lang w:val="en-ZW"/>
        </w:rPr>
        <w:t>s</w:t>
      </w:r>
      <w:r w:rsidR="00637D63">
        <w:rPr>
          <w:rFonts w:cs="Times New Roman"/>
          <w:bCs/>
          <w:szCs w:val="24"/>
          <w:lang w:val="en-ZW"/>
        </w:rPr>
        <w:t xml:space="preserve"> under Baobab Real Estate t/a Property Sales and </w:t>
      </w:r>
      <w:r w:rsidR="00E47E3E">
        <w:rPr>
          <w:rFonts w:cs="Times New Roman"/>
          <w:bCs/>
          <w:szCs w:val="24"/>
          <w:lang w:val="en-ZW"/>
        </w:rPr>
        <w:t>Management;</w:t>
      </w:r>
      <w:r w:rsidR="00637D63">
        <w:rPr>
          <w:rFonts w:cs="Times New Roman"/>
          <w:bCs/>
          <w:szCs w:val="24"/>
          <w:lang w:val="en-ZW"/>
        </w:rPr>
        <w:t xml:space="preserve"> he specialises in evaluations. </w:t>
      </w:r>
      <w:r w:rsidR="00E47E3E">
        <w:rPr>
          <w:rFonts w:cs="Times New Roman"/>
          <w:bCs/>
          <w:szCs w:val="24"/>
          <w:lang w:val="en-ZW"/>
        </w:rPr>
        <w:t xml:space="preserve"> </w:t>
      </w:r>
      <w:r w:rsidR="008755B4">
        <w:rPr>
          <w:rFonts w:cs="Times New Roman"/>
          <w:bCs/>
          <w:szCs w:val="24"/>
          <w:lang w:val="en-ZW"/>
        </w:rPr>
        <w:t>The plaintiff</w:t>
      </w:r>
      <w:r w:rsidR="00E47E3E">
        <w:rPr>
          <w:rFonts w:cs="Times New Roman"/>
          <w:bCs/>
          <w:szCs w:val="24"/>
          <w:lang w:val="en-ZW"/>
        </w:rPr>
        <w:t xml:space="preserve"> instruct</w:t>
      </w:r>
      <w:r w:rsidR="008755B4">
        <w:rPr>
          <w:rFonts w:cs="Times New Roman"/>
          <w:bCs/>
          <w:szCs w:val="24"/>
          <w:lang w:val="en-ZW"/>
        </w:rPr>
        <w:t>ed him</w:t>
      </w:r>
      <w:r w:rsidR="00E47E3E">
        <w:rPr>
          <w:rFonts w:cs="Times New Roman"/>
          <w:bCs/>
          <w:szCs w:val="24"/>
          <w:lang w:val="en-ZW"/>
        </w:rPr>
        <w:t xml:space="preserve"> to do an evaluation of </w:t>
      </w:r>
      <w:r w:rsidR="008755B4">
        <w:rPr>
          <w:rFonts w:cs="Times New Roman"/>
          <w:bCs/>
          <w:szCs w:val="24"/>
          <w:lang w:val="en-ZW"/>
        </w:rPr>
        <w:t xml:space="preserve">the developments and equipment at the mine. </w:t>
      </w:r>
      <w:r w:rsidR="00196FBB">
        <w:rPr>
          <w:rFonts w:cs="Times New Roman"/>
          <w:bCs/>
          <w:szCs w:val="24"/>
          <w:lang w:val="en-ZW"/>
        </w:rPr>
        <w:t xml:space="preserve">The improvements are listed </w:t>
      </w:r>
      <w:r w:rsidR="00AA6E21">
        <w:rPr>
          <w:rFonts w:cs="Times New Roman"/>
          <w:bCs/>
          <w:szCs w:val="24"/>
          <w:lang w:val="en-ZW"/>
        </w:rPr>
        <w:t xml:space="preserve">in the evaluation report (Exh. A. 10) </w:t>
      </w:r>
      <w:r w:rsidR="00196FBB">
        <w:rPr>
          <w:rFonts w:cs="Times New Roman"/>
          <w:bCs/>
          <w:szCs w:val="24"/>
          <w:lang w:val="en-ZW"/>
        </w:rPr>
        <w:t xml:space="preserve">as the following: </w:t>
      </w:r>
    </w:p>
    <w:p w14:paraId="45EFEAB7" w14:textId="4A0C6AD4" w:rsidR="00196FBB" w:rsidRDefault="00196FBB" w:rsidP="009B72FD">
      <w:pPr>
        <w:pStyle w:val="ListParagraph"/>
        <w:numPr>
          <w:ilvl w:val="0"/>
          <w:numId w:val="3"/>
        </w:numPr>
        <w:jc w:val="both"/>
        <w:rPr>
          <w:rFonts w:cs="Times New Roman"/>
          <w:bCs/>
          <w:szCs w:val="24"/>
          <w:lang w:val="en-ZW"/>
        </w:rPr>
      </w:pPr>
      <w:r w:rsidRPr="009B72FD">
        <w:rPr>
          <w:rFonts w:cs="Times New Roman"/>
          <w:bCs/>
          <w:szCs w:val="24"/>
          <w:lang w:val="en-ZW"/>
        </w:rPr>
        <w:t xml:space="preserve">Head gear sub-structure: Built of industrial plain common bricks; ordinary Portland cement PC 15; grade 25 Mpa230 mm thick reinforced foundation concrete mix 1:2:4 for structural wall to engineer’s approval; ¾ quarry stones / 19-25 mm aggregate to SAZ standards approval. </w:t>
      </w:r>
      <w:r w:rsidR="009B72FD" w:rsidRPr="009B72FD">
        <w:rPr>
          <w:rFonts w:cs="Times New Roman"/>
          <w:bCs/>
          <w:szCs w:val="24"/>
          <w:lang w:val="en-ZW"/>
        </w:rPr>
        <w:t xml:space="preserve">Reinforced with RCC beans, D bars, Stirrups and ties; Excavated ventilation shaft 60 m long by 30 m deep, was timbered all round. </w:t>
      </w:r>
    </w:p>
    <w:p w14:paraId="771672D0" w14:textId="10869D95" w:rsidR="009B72FD" w:rsidRDefault="009B72FD" w:rsidP="009B72FD">
      <w:pPr>
        <w:pStyle w:val="ListParagraph"/>
        <w:numPr>
          <w:ilvl w:val="0"/>
          <w:numId w:val="3"/>
        </w:numPr>
        <w:jc w:val="both"/>
        <w:rPr>
          <w:rFonts w:cs="Times New Roman"/>
          <w:bCs/>
          <w:szCs w:val="24"/>
          <w:lang w:val="en-ZW"/>
        </w:rPr>
      </w:pPr>
      <w:r>
        <w:rPr>
          <w:rFonts w:cs="Times New Roman"/>
          <w:bCs/>
          <w:szCs w:val="24"/>
          <w:lang w:val="en-ZW"/>
        </w:rPr>
        <w:lastRenderedPageBreak/>
        <w:t xml:space="preserve">Hammer mills stands sub-structure: Consisting of 4 hammer mill stands substructures with 6 pools and a slab built of industrial plain common bricks, pit sand to SAZ standards approval, reinforced with RCC beams; D bars, stirrups and ties. A cabin consists of a reception and 2 offices. </w:t>
      </w:r>
    </w:p>
    <w:p w14:paraId="2ACC4199" w14:textId="5EABC800" w:rsidR="009B72FD" w:rsidRPr="009B72FD" w:rsidRDefault="009B72FD" w:rsidP="009B72FD">
      <w:pPr>
        <w:pStyle w:val="ListParagraph"/>
        <w:numPr>
          <w:ilvl w:val="0"/>
          <w:numId w:val="3"/>
        </w:numPr>
        <w:jc w:val="both"/>
        <w:rPr>
          <w:rFonts w:cs="Times New Roman"/>
          <w:bCs/>
          <w:szCs w:val="24"/>
          <w:lang w:val="en-ZW"/>
        </w:rPr>
      </w:pPr>
      <w:r>
        <w:rPr>
          <w:rFonts w:cs="Times New Roman"/>
          <w:bCs/>
          <w:szCs w:val="24"/>
          <w:lang w:val="en-ZW"/>
        </w:rPr>
        <w:t xml:space="preserve">The property boundaries are fenced. </w:t>
      </w:r>
    </w:p>
    <w:p w14:paraId="532F557C" w14:textId="77777777" w:rsidR="0097343E" w:rsidRDefault="00AA6E21" w:rsidP="0033776F">
      <w:pPr>
        <w:jc w:val="both"/>
        <w:rPr>
          <w:rFonts w:cs="Times New Roman"/>
          <w:bCs/>
          <w:szCs w:val="24"/>
          <w:lang w:val="en-ZW"/>
        </w:rPr>
      </w:pPr>
      <w:r>
        <w:rPr>
          <w:rFonts w:cs="Times New Roman"/>
          <w:bCs/>
          <w:szCs w:val="24"/>
          <w:lang w:val="en-ZW"/>
        </w:rPr>
        <w:t>[</w:t>
      </w:r>
      <w:r w:rsidR="00327B93">
        <w:rPr>
          <w:rFonts w:cs="Times New Roman"/>
          <w:bCs/>
          <w:szCs w:val="24"/>
          <w:lang w:val="en-ZW"/>
        </w:rPr>
        <w:t>8</w:t>
      </w:r>
      <w:r>
        <w:rPr>
          <w:rFonts w:cs="Times New Roman"/>
          <w:bCs/>
          <w:szCs w:val="24"/>
          <w:lang w:val="en-ZW"/>
        </w:rPr>
        <w:t xml:space="preserve">] </w:t>
      </w:r>
      <w:r w:rsidRPr="00AA6E21">
        <w:rPr>
          <w:rFonts w:cs="Times New Roman"/>
          <w:bCs/>
          <w:szCs w:val="24"/>
          <w:lang w:val="en-ZW"/>
        </w:rPr>
        <w:t>Tsikira opined that as at 8 September 2020 the improvements were valued at US$250</w:t>
      </w:r>
      <w:r w:rsidR="0097343E">
        <w:rPr>
          <w:rFonts w:cs="Times New Roman"/>
          <w:bCs/>
          <w:szCs w:val="24"/>
          <w:lang w:val="en-ZW"/>
        </w:rPr>
        <w:t>,</w:t>
      </w:r>
      <w:r w:rsidRPr="00AA6E21">
        <w:rPr>
          <w:rFonts w:cs="Times New Roman"/>
          <w:bCs/>
          <w:szCs w:val="24"/>
          <w:lang w:val="en-ZW"/>
        </w:rPr>
        <w:t xml:space="preserve"> 000.00.</w:t>
      </w:r>
      <w:r w:rsidR="009A4189">
        <w:rPr>
          <w:rFonts w:cs="Times New Roman"/>
          <w:bCs/>
          <w:szCs w:val="24"/>
          <w:lang w:val="en-ZW"/>
        </w:rPr>
        <w:t xml:space="preserve"> </w:t>
      </w:r>
    </w:p>
    <w:p w14:paraId="0E00EA1F" w14:textId="34437B29" w:rsidR="00101841" w:rsidRPr="00101841" w:rsidRDefault="0097343E" w:rsidP="0033776F">
      <w:pPr>
        <w:jc w:val="both"/>
        <w:rPr>
          <w:rFonts w:cs="Times New Roman"/>
          <w:bCs/>
          <w:szCs w:val="24"/>
          <w:lang w:val="en-ZW"/>
        </w:rPr>
      </w:pPr>
      <w:r>
        <w:rPr>
          <w:rFonts w:cs="Times New Roman"/>
          <w:bCs/>
          <w:szCs w:val="24"/>
          <w:lang w:val="en-ZW"/>
        </w:rPr>
        <w:t xml:space="preserve">[9] </w:t>
      </w:r>
      <w:r w:rsidR="00476267">
        <w:rPr>
          <w:rFonts w:cs="Times New Roman"/>
          <w:bCs/>
          <w:szCs w:val="24"/>
          <w:lang w:val="en-ZW"/>
        </w:rPr>
        <w:t>The</w:t>
      </w:r>
      <w:r w:rsidR="009A4189">
        <w:rPr>
          <w:rFonts w:cs="Times New Roman"/>
          <w:bCs/>
          <w:szCs w:val="24"/>
          <w:lang w:val="en-ZW"/>
        </w:rPr>
        <w:t>re is one version before court,</w:t>
      </w:r>
      <w:r w:rsidR="00476267">
        <w:rPr>
          <w:rFonts w:cs="Times New Roman"/>
          <w:bCs/>
          <w:szCs w:val="24"/>
          <w:lang w:val="en-ZW"/>
        </w:rPr>
        <w:t xml:space="preserve"> i.e., the plaintiff’s version. There is nothing t</w:t>
      </w:r>
      <w:r>
        <w:rPr>
          <w:rFonts w:cs="Times New Roman"/>
          <w:bCs/>
          <w:szCs w:val="24"/>
          <w:lang w:val="en-ZW"/>
        </w:rPr>
        <w:t>o</w:t>
      </w:r>
      <w:r w:rsidR="009A4189">
        <w:rPr>
          <w:rFonts w:cs="Times New Roman"/>
          <w:bCs/>
          <w:szCs w:val="24"/>
          <w:lang w:val="en-ZW"/>
        </w:rPr>
        <w:t xml:space="preserve"> </w:t>
      </w:r>
      <w:r w:rsidR="00476267">
        <w:rPr>
          <w:rFonts w:cs="Times New Roman"/>
          <w:bCs/>
          <w:szCs w:val="24"/>
          <w:lang w:val="en-ZW"/>
        </w:rPr>
        <w:t xml:space="preserve">gainsay it. </w:t>
      </w:r>
      <w:r>
        <w:rPr>
          <w:rFonts w:cs="Times New Roman"/>
          <w:bCs/>
          <w:szCs w:val="24"/>
          <w:lang w:val="en-ZW"/>
        </w:rPr>
        <w:t xml:space="preserve">In general, a court may not reject an undisputed version, unless it is </w:t>
      </w:r>
      <w:r w:rsidR="00AA67BB">
        <w:rPr>
          <w:rFonts w:cs="Times New Roman"/>
          <w:bCs/>
          <w:szCs w:val="24"/>
          <w:lang w:val="en-ZW"/>
        </w:rPr>
        <w:t>so improbable that it cannot stand on its own.</w:t>
      </w:r>
      <w:r>
        <w:rPr>
          <w:rFonts w:cs="Times New Roman"/>
          <w:bCs/>
          <w:szCs w:val="24"/>
          <w:lang w:val="en-ZW"/>
        </w:rPr>
        <w:t xml:space="preserve">  On the facts of this </w:t>
      </w:r>
      <w:r w:rsidR="00AA67BB">
        <w:rPr>
          <w:rFonts w:cs="Times New Roman"/>
          <w:bCs/>
          <w:szCs w:val="24"/>
          <w:lang w:val="en-ZW"/>
        </w:rPr>
        <w:t>case,</w:t>
      </w:r>
      <w:r>
        <w:rPr>
          <w:rFonts w:cs="Times New Roman"/>
          <w:bCs/>
          <w:szCs w:val="24"/>
          <w:lang w:val="en-ZW"/>
        </w:rPr>
        <w:t xml:space="preserve"> I cannot say </w:t>
      </w:r>
      <w:r w:rsidR="00040403">
        <w:rPr>
          <w:rFonts w:cs="Times New Roman"/>
          <w:bCs/>
          <w:szCs w:val="24"/>
          <w:lang w:val="en-ZW"/>
        </w:rPr>
        <w:t xml:space="preserve">that </w:t>
      </w:r>
      <w:r>
        <w:rPr>
          <w:rFonts w:cs="Times New Roman"/>
          <w:bCs/>
          <w:szCs w:val="24"/>
          <w:lang w:val="en-ZW"/>
        </w:rPr>
        <w:t>the plaintiff’s version is</w:t>
      </w:r>
      <w:r w:rsidR="00AA67BB">
        <w:rPr>
          <w:rFonts w:cs="Times New Roman"/>
          <w:bCs/>
          <w:szCs w:val="24"/>
          <w:lang w:val="en-ZW"/>
        </w:rPr>
        <w:t xml:space="preserve"> so improbable that it cannot stand </w:t>
      </w:r>
      <w:r w:rsidR="00040403">
        <w:rPr>
          <w:rFonts w:cs="Times New Roman"/>
          <w:bCs/>
          <w:szCs w:val="24"/>
          <w:lang w:val="en-ZW"/>
        </w:rPr>
        <w:t xml:space="preserve">on </w:t>
      </w:r>
      <w:r w:rsidR="00AA67BB">
        <w:rPr>
          <w:rFonts w:cs="Times New Roman"/>
          <w:bCs/>
          <w:szCs w:val="24"/>
          <w:lang w:val="en-ZW"/>
        </w:rPr>
        <w:t xml:space="preserve">its own for me to reject it. </w:t>
      </w:r>
      <w:r>
        <w:rPr>
          <w:rFonts w:cs="Times New Roman"/>
          <w:bCs/>
          <w:szCs w:val="24"/>
          <w:lang w:val="en-ZW"/>
        </w:rPr>
        <w:t xml:space="preserve">Therefore, </w:t>
      </w:r>
      <w:r w:rsidR="00101841">
        <w:t>I am satisfied that on applicant’s version</w:t>
      </w:r>
      <w:r>
        <w:t xml:space="preserve"> standing alone</w:t>
      </w:r>
      <w:r w:rsidR="00101841">
        <w:t xml:space="preserve">, </w:t>
      </w:r>
      <w:r>
        <w:t xml:space="preserve">and </w:t>
      </w:r>
      <w:r w:rsidR="00101841">
        <w:t>based on the papers and the evidence before court, a good cause has been made for the relief sought.</w:t>
      </w:r>
    </w:p>
    <w:p w14:paraId="4774003E" w14:textId="45643D3B" w:rsidR="00101841" w:rsidRPr="00101841" w:rsidRDefault="00101841" w:rsidP="0033776F">
      <w:pPr>
        <w:jc w:val="both"/>
      </w:pPr>
      <w:r>
        <w:t xml:space="preserve"> In the result, judgment be and is hereby entered for the plaintiff in the following terms:</w:t>
      </w:r>
    </w:p>
    <w:p w14:paraId="4EFB22F9" w14:textId="2BB67F85" w:rsidR="00FA7DBF" w:rsidRDefault="00101841" w:rsidP="00FA7DBF">
      <w:pPr>
        <w:pStyle w:val="ListParagraph"/>
        <w:numPr>
          <w:ilvl w:val="0"/>
          <w:numId w:val="2"/>
        </w:numPr>
        <w:jc w:val="both"/>
        <w:rPr>
          <w:rFonts w:cs="Times New Roman"/>
          <w:bCs/>
          <w:szCs w:val="24"/>
          <w:lang w:val="en-ZW"/>
        </w:rPr>
      </w:pPr>
      <w:r>
        <w:rPr>
          <w:rFonts w:cs="Times New Roman"/>
          <w:bCs/>
          <w:szCs w:val="24"/>
          <w:lang w:val="en-ZW"/>
        </w:rPr>
        <w:t>The</w:t>
      </w:r>
      <w:r w:rsidR="00FA7DBF">
        <w:rPr>
          <w:rFonts w:cs="Times New Roman"/>
          <w:bCs/>
          <w:szCs w:val="24"/>
          <w:lang w:val="en-ZW"/>
        </w:rPr>
        <w:t xml:space="preserve"> </w:t>
      </w:r>
      <w:r>
        <w:rPr>
          <w:rFonts w:cs="Times New Roman"/>
          <w:bCs/>
          <w:szCs w:val="24"/>
          <w:lang w:val="en-ZW"/>
        </w:rPr>
        <w:t xml:space="preserve">mining </w:t>
      </w:r>
      <w:r w:rsidR="00FA7DBF">
        <w:rPr>
          <w:rFonts w:cs="Times New Roman"/>
          <w:bCs/>
          <w:szCs w:val="24"/>
          <w:lang w:val="en-ZW"/>
        </w:rPr>
        <w:t>agreement</w:t>
      </w:r>
      <w:r>
        <w:rPr>
          <w:rFonts w:cs="Times New Roman"/>
          <w:bCs/>
          <w:szCs w:val="24"/>
          <w:lang w:val="en-ZW"/>
        </w:rPr>
        <w:t xml:space="preserve"> entered between the plaintiff and the defendant in respect of Black Prince Mine, registration number 29602 be and is hereby cancelled. </w:t>
      </w:r>
    </w:p>
    <w:p w14:paraId="1379965B" w14:textId="4493A801" w:rsidR="00FA7DBF" w:rsidRDefault="00101841" w:rsidP="00FA7DBF">
      <w:pPr>
        <w:pStyle w:val="ListParagraph"/>
        <w:numPr>
          <w:ilvl w:val="0"/>
          <w:numId w:val="2"/>
        </w:numPr>
        <w:jc w:val="both"/>
        <w:rPr>
          <w:rFonts w:cs="Times New Roman"/>
          <w:bCs/>
          <w:szCs w:val="24"/>
          <w:lang w:val="en-ZW"/>
        </w:rPr>
      </w:pPr>
      <w:r>
        <w:rPr>
          <w:rFonts w:cs="Times New Roman"/>
          <w:bCs/>
          <w:szCs w:val="24"/>
          <w:lang w:val="en-ZW"/>
        </w:rPr>
        <w:t>Plaintiff to be paid damages</w:t>
      </w:r>
      <w:r w:rsidR="00FA7DBF">
        <w:rPr>
          <w:rFonts w:cs="Times New Roman"/>
          <w:bCs/>
          <w:szCs w:val="24"/>
          <w:lang w:val="en-ZW"/>
        </w:rPr>
        <w:t xml:space="preserve"> in the sum of US$250</w:t>
      </w:r>
      <w:r w:rsidR="0097343E">
        <w:rPr>
          <w:rFonts w:cs="Times New Roman"/>
          <w:bCs/>
          <w:szCs w:val="24"/>
          <w:lang w:val="en-ZW"/>
        </w:rPr>
        <w:t>,</w:t>
      </w:r>
      <w:r w:rsidR="00FA7DBF">
        <w:rPr>
          <w:rFonts w:cs="Times New Roman"/>
          <w:bCs/>
          <w:szCs w:val="24"/>
          <w:lang w:val="en-ZW"/>
        </w:rPr>
        <w:t xml:space="preserve"> 000.00 or equivalent thereof in RTGS dollars at the interbank rate applicable on the date of payment, being </w:t>
      </w:r>
      <w:r>
        <w:rPr>
          <w:rFonts w:cs="Times New Roman"/>
          <w:bCs/>
          <w:szCs w:val="24"/>
          <w:lang w:val="en-ZW"/>
        </w:rPr>
        <w:t>the money,</w:t>
      </w:r>
      <w:r w:rsidR="00FA7DBF">
        <w:rPr>
          <w:rFonts w:cs="Times New Roman"/>
          <w:bCs/>
          <w:szCs w:val="24"/>
          <w:lang w:val="en-ZW"/>
        </w:rPr>
        <w:t xml:space="preserve"> </w:t>
      </w:r>
      <w:r>
        <w:rPr>
          <w:rFonts w:cs="Times New Roman"/>
          <w:bCs/>
          <w:szCs w:val="24"/>
          <w:lang w:val="en-ZW"/>
        </w:rPr>
        <w:t xml:space="preserve">he </w:t>
      </w:r>
      <w:r w:rsidR="00FA7DBF">
        <w:rPr>
          <w:rFonts w:cs="Times New Roman"/>
          <w:bCs/>
          <w:szCs w:val="24"/>
          <w:lang w:val="en-ZW"/>
        </w:rPr>
        <w:t xml:space="preserve">expended </w:t>
      </w:r>
      <w:r>
        <w:rPr>
          <w:rFonts w:cs="Times New Roman"/>
          <w:bCs/>
          <w:szCs w:val="24"/>
          <w:lang w:val="en-ZW"/>
        </w:rPr>
        <w:t xml:space="preserve">and the value of improvements made </w:t>
      </w:r>
      <w:r w:rsidR="00FA7DBF">
        <w:rPr>
          <w:rFonts w:cs="Times New Roman"/>
          <w:bCs/>
          <w:szCs w:val="24"/>
          <w:lang w:val="en-ZW"/>
        </w:rPr>
        <w:t>on Black Prince Mine, registration 29602.</w:t>
      </w:r>
    </w:p>
    <w:p w14:paraId="3A89EA1D" w14:textId="094C0620" w:rsidR="00FA7DBF" w:rsidRPr="009847F6" w:rsidRDefault="0097343E" w:rsidP="00FA7DBF">
      <w:pPr>
        <w:pStyle w:val="ListParagraph"/>
        <w:numPr>
          <w:ilvl w:val="0"/>
          <w:numId w:val="2"/>
        </w:numPr>
        <w:jc w:val="both"/>
        <w:rPr>
          <w:rFonts w:cs="Times New Roman"/>
          <w:bCs/>
          <w:szCs w:val="24"/>
          <w:lang w:val="en-ZW"/>
        </w:rPr>
      </w:pPr>
      <w:r>
        <w:rPr>
          <w:rFonts w:cs="Times New Roman"/>
          <w:bCs/>
          <w:szCs w:val="24"/>
          <w:lang w:val="en-ZW"/>
        </w:rPr>
        <w:t>Defendant to pay i</w:t>
      </w:r>
      <w:r w:rsidR="00FA7DBF">
        <w:rPr>
          <w:rFonts w:cs="Times New Roman"/>
          <w:bCs/>
          <w:szCs w:val="24"/>
          <w:lang w:val="en-ZW"/>
        </w:rPr>
        <w:t xml:space="preserve">nterest </w:t>
      </w:r>
      <w:r>
        <w:rPr>
          <w:rFonts w:cs="Times New Roman"/>
          <w:bCs/>
          <w:szCs w:val="24"/>
          <w:lang w:val="en-ZW"/>
        </w:rPr>
        <w:t xml:space="preserve">on the US$250, 000.00 </w:t>
      </w:r>
      <w:r w:rsidR="00D824E0">
        <w:rPr>
          <w:rFonts w:cs="Times New Roman"/>
          <w:bCs/>
          <w:szCs w:val="24"/>
          <w:lang w:val="en-ZW"/>
        </w:rPr>
        <w:t>calculated at the</w:t>
      </w:r>
      <w:r w:rsidR="00FA7DBF">
        <w:rPr>
          <w:rFonts w:cs="Times New Roman"/>
          <w:bCs/>
          <w:szCs w:val="24"/>
          <w:lang w:val="en-ZW"/>
        </w:rPr>
        <w:t xml:space="preserve"> prescribed rate from the date of </w:t>
      </w:r>
      <w:r w:rsidR="00D824E0">
        <w:rPr>
          <w:rFonts w:cs="Times New Roman"/>
          <w:bCs/>
          <w:szCs w:val="24"/>
          <w:lang w:val="en-ZW"/>
        </w:rPr>
        <w:t>judgment</w:t>
      </w:r>
      <w:r w:rsidR="00FA7DBF">
        <w:rPr>
          <w:rFonts w:cs="Times New Roman"/>
          <w:bCs/>
          <w:szCs w:val="24"/>
          <w:lang w:val="en-ZW"/>
        </w:rPr>
        <w:t xml:space="preserve"> to the date of full and final payment. </w:t>
      </w:r>
    </w:p>
    <w:p w14:paraId="4867BE44" w14:textId="77777777" w:rsidR="00FA7DBF" w:rsidRDefault="00FA7DBF" w:rsidP="0033776F">
      <w:pPr>
        <w:jc w:val="both"/>
        <w:rPr>
          <w:rFonts w:cs="Times New Roman"/>
          <w:bCs/>
          <w:szCs w:val="24"/>
          <w:lang w:val="en-ZW"/>
        </w:rPr>
      </w:pPr>
    </w:p>
    <w:p w14:paraId="2EC8403C" w14:textId="77777777" w:rsidR="00D824E0" w:rsidRDefault="00D824E0" w:rsidP="0033776F">
      <w:pPr>
        <w:jc w:val="both"/>
        <w:rPr>
          <w:rFonts w:cs="Times New Roman"/>
          <w:bCs/>
          <w:szCs w:val="24"/>
          <w:lang w:val="en-ZW"/>
        </w:rPr>
      </w:pPr>
    </w:p>
    <w:p w14:paraId="76F94493" w14:textId="77777777" w:rsidR="00AA67BB" w:rsidRDefault="00AA67BB" w:rsidP="0033776F">
      <w:pPr>
        <w:jc w:val="both"/>
        <w:rPr>
          <w:rFonts w:cs="Times New Roman"/>
          <w:bCs/>
          <w:szCs w:val="24"/>
          <w:lang w:val="en-ZW"/>
        </w:rPr>
      </w:pPr>
    </w:p>
    <w:p w14:paraId="17FE4D82" w14:textId="4DC08D22" w:rsidR="0033776F" w:rsidRPr="000B235D" w:rsidRDefault="00C60AD9" w:rsidP="0033776F">
      <w:pPr>
        <w:jc w:val="both"/>
        <w:rPr>
          <w:rFonts w:cs="Times New Roman"/>
          <w:bCs/>
          <w:szCs w:val="24"/>
          <w:lang w:val="en-ZW"/>
        </w:rPr>
      </w:pPr>
      <w:r w:rsidRPr="00C60AD9">
        <w:rPr>
          <w:rFonts w:cs="Times New Roman"/>
          <w:bCs/>
          <w:i/>
          <w:iCs/>
          <w:szCs w:val="24"/>
          <w:lang w:val="en-ZW"/>
        </w:rPr>
        <w:t>Matatu and Partners,</w:t>
      </w:r>
      <w:r>
        <w:rPr>
          <w:rFonts w:cs="Times New Roman"/>
          <w:bCs/>
          <w:szCs w:val="24"/>
          <w:lang w:val="en-ZW"/>
        </w:rPr>
        <w:t xml:space="preserve"> plaintiff’s legal practitioners </w:t>
      </w:r>
    </w:p>
    <w:sectPr w:rsidR="0033776F" w:rsidRPr="000B235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CCEC88" w14:textId="77777777" w:rsidR="00D64EFD" w:rsidRDefault="00D64EFD" w:rsidP="00D64EFD">
      <w:pPr>
        <w:spacing w:before="0" w:after="0" w:line="240" w:lineRule="auto"/>
      </w:pPr>
      <w:r>
        <w:separator/>
      </w:r>
    </w:p>
  </w:endnote>
  <w:endnote w:type="continuationSeparator" w:id="0">
    <w:p w14:paraId="174BA1EB" w14:textId="77777777" w:rsidR="00D64EFD" w:rsidRDefault="00D64EFD" w:rsidP="00D64EF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24D8BE" w14:textId="77777777" w:rsidR="00D64EFD" w:rsidRDefault="00D64EFD" w:rsidP="00D64EFD">
      <w:pPr>
        <w:spacing w:before="0" w:after="0" w:line="240" w:lineRule="auto"/>
      </w:pPr>
      <w:r>
        <w:separator/>
      </w:r>
    </w:p>
  </w:footnote>
  <w:footnote w:type="continuationSeparator" w:id="0">
    <w:p w14:paraId="343C3719" w14:textId="77777777" w:rsidR="00D64EFD" w:rsidRDefault="00D64EFD" w:rsidP="00D64EF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34487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8C24599" w14:textId="77777777" w:rsidR="00D64EFD" w:rsidRDefault="00D64EFD" w:rsidP="00D64EFD">
        <w:pPr>
          <w:pStyle w:val="NoSpacing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5AC5">
          <w:rPr>
            <w:noProof/>
          </w:rPr>
          <w:t>3</w:t>
        </w:r>
        <w:r>
          <w:rPr>
            <w:noProof/>
          </w:rPr>
          <w:fldChar w:fldCharType="end"/>
        </w:r>
      </w:p>
      <w:p w14:paraId="4F2E2996" w14:textId="77777777" w:rsidR="00D64EFD" w:rsidRDefault="00D64EFD" w:rsidP="00D64EFD">
        <w:pPr>
          <w:pStyle w:val="NoSpacing"/>
          <w:jc w:val="right"/>
          <w:rPr>
            <w:noProof/>
          </w:rPr>
        </w:pPr>
        <w:r>
          <w:rPr>
            <w:noProof/>
          </w:rPr>
          <w:t>HB 176/23</w:t>
        </w:r>
      </w:p>
      <w:p w14:paraId="6F4CA0C3" w14:textId="174B8E4C" w:rsidR="00D64EFD" w:rsidRDefault="00D64EFD" w:rsidP="00D64EFD">
        <w:pPr>
          <w:pStyle w:val="NoSpacing"/>
          <w:jc w:val="right"/>
        </w:pPr>
        <w:r>
          <w:rPr>
            <w:noProof/>
          </w:rPr>
          <w:t>HC 346/21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1D299A"/>
    <w:multiLevelType w:val="hybridMultilevel"/>
    <w:tmpl w:val="7BBAF67E"/>
    <w:lvl w:ilvl="0" w:tplc="3009001B">
      <w:start w:val="1"/>
      <w:numFmt w:val="lowerRoman"/>
      <w:lvlText w:val="%1."/>
      <w:lvlJc w:val="righ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81E8E"/>
    <w:multiLevelType w:val="hybridMultilevel"/>
    <w:tmpl w:val="43661D28"/>
    <w:lvl w:ilvl="0" w:tplc="4E660EDA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82B0E"/>
    <w:multiLevelType w:val="hybridMultilevel"/>
    <w:tmpl w:val="E12AADDA"/>
    <w:lvl w:ilvl="0" w:tplc="3009001B">
      <w:start w:val="1"/>
      <w:numFmt w:val="lowerRoman"/>
      <w:lvlText w:val="%1."/>
      <w:lvlJc w:val="righ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E45"/>
    <w:rsid w:val="00040403"/>
    <w:rsid w:val="00065ABA"/>
    <w:rsid w:val="000A6730"/>
    <w:rsid w:val="000B235D"/>
    <w:rsid w:val="00101841"/>
    <w:rsid w:val="00196FBB"/>
    <w:rsid w:val="00254430"/>
    <w:rsid w:val="00280941"/>
    <w:rsid w:val="002908BD"/>
    <w:rsid w:val="002D4D52"/>
    <w:rsid w:val="00327B93"/>
    <w:rsid w:val="0033776F"/>
    <w:rsid w:val="00361E1C"/>
    <w:rsid w:val="003F2CE3"/>
    <w:rsid w:val="00425AC5"/>
    <w:rsid w:val="00450499"/>
    <w:rsid w:val="00476267"/>
    <w:rsid w:val="004810A4"/>
    <w:rsid w:val="00525E45"/>
    <w:rsid w:val="00526768"/>
    <w:rsid w:val="005678CB"/>
    <w:rsid w:val="0057239D"/>
    <w:rsid w:val="005921DE"/>
    <w:rsid w:val="005D5B08"/>
    <w:rsid w:val="00626D46"/>
    <w:rsid w:val="00637D63"/>
    <w:rsid w:val="0064108B"/>
    <w:rsid w:val="006E56A7"/>
    <w:rsid w:val="006F54A1"/>
    <w:rsid w:val="00775840"/>
    <w:rsid w:val="008755B4"/>
    <w:rsid w:val="008F0BFB"/>
    <w:rsid w:val="009267D1"/>
    <w:rsid w:val="0097343E"/>
    <w:rsid w:val="009847F6"/>
    <w:rsid w:val="009A4189"/>
    <w:rsid w:val="009B72FD"/>
    <w:rsid w:val="009C74A5"/>
    <w:rsid w:val="009D1836"/>
    <w:rsid w:val="009D2065"/>
    <w:rsid w:val="009E17DB"/>
    <w:rsid w:val="009F372D"/>
    <w:rsid w:val="00A258FE"/>
    <w:rsid w:val="00A71B22"/>
    <w:rsid w:val="00AA67BB"/>
    <w:rsid w:val="00AA6E21"/>
    <w:rsid w:val="00BA64D3"/>
    <w:rsid w:val="00C40D86"/>
    <w:rsid w:val="00C60AD9"/>
    <w:rsid w:val="00C67E12"/>
    <w:rsid w:val="00CD15BE"/>
    <w:rsid w:val="00D64EFD"/>
    <w:rsid w:val="00D824E0"/>
    <w:rsid w:val="00E11A62"/>
    <w:rsid w:val="00E47E3E"/>
    <w:rsid w:val="00EF22F3"/>
    <w:rsid w:val="00F56397"/>
    <w:rsid w:val="00F70DE4"/>
    <w:rsid w:val="00FA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DF757AE"/>
  <w15:chartTrackingRefBased/>
  <w15:docId w15:val="{BDF153D2-961D-4B33-A606-C49A203F2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W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E45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5E45"/>
    <w:pPr>
      <w:keepLines/>
      <w:spacing w:before="100" w:beforeAutospacing="1" w:after="100" w:afterAutospacing="1" w:line="240" w:lineRule="auto"/>
      <w:contextualSpacing/>
      <w:jc w:val="left"/>
    </w:pPr>
    <w:rPr>
      <w:rFonts w:ascii="Times New Roman" w:hAnsi="Times New Roman"/>
      <w:kern w:val="0"/>
      <w:sz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2D4D5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921D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64EF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EFD"/>
    <w:rPr>
      <w:rFonts w:ascii="Times New Roman" w:hAnsi="Times New Roman"/>
      <w:kern w:val="0"/>
      <w:sz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64EF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EFD"/>
    <w:rPr>
      <w:rFonts w:ascii="Times New Roman" w:hAnsi="Times New Roman"/>
      <w:kern w:val="0"/>
      <w:sz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AC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AC5"/>
    <w:rPr>
      <w:rFonts w:ascii="Segoe UI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Dube-Banda</dc:creator>
  <cp:keywords/>
  <dc:description/>
  <cp:lastModifiedBy>USR</cp:lastModifiedBy>
  <cp:revision>9</cp:revision>
  <cp:lastPrinted>2023-08-29T13:09:00Z</cp:lastPrinted>
  <dcterms:created xsi:type="dcterms:W3CDTF">2023-08-28T19:44:00Z</dcterms:created>
  <dcterms:modified xsi:type="dcterms:W3CDTF">2023-08-29T13:13:00Z</dcterms:modified>
</cp:coreProperties>
</file>