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F05" w:rsidRDefault="001F4EBE" w:rsidP="001F4EBE">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RAFTSMAN INVESTMENTS (PRIVATE) LIMITED</w:t>
      </w:r>
    </w:p>
    <w:p w:rsidR="001F4EBE" w:rsidRDefault="001F4EBE" w:rsidP="001F4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F4EBE" w:rsidRDefault="001F4EBE" w:rsidP="001F4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ROBIN FR</w:t>
      </w:r>
      <w:r w:rsidR="00EB548A">
        <w:rPr>
          <w:rFonts w:ascii="Times New Roman" w:hAnsi="Times New Roman" w:cs="Times New Roman"/>
          <w:sz w:val="24"/>
          <w:szCs w:val="24"/>
        </w:rPr>
        <w:t>ANCIS</w:t>
      </w:r>
      <w:r>
        <w:rPr>
          <w:rFonts w:ascii="Times New Roman" w:hAnsi="Times New Roman" w:cs="Times New Roman"/>
          <w:sz w:val="24"/>
          <w:szCs w:val="24"/>
        </w:rPr>
        <w:t xml:space="preserve"> H. TEBB</w:t>
      </w:r>
    </w:p>
    <w:p w:rsidR="001F4EBE" w:rsidRDefault="001F4EBE" w:rsidP="001F4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F4EBE" w:rsidRDefault="001F4EBE" w:rsidP="001F4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REGISTRAR OF DEEDS N.O</w:t>
      </w:r>
    </w:p>
    <w:p w:rsidR="001F4EBE" w:rsidRDefault="001F4EBE" w:rsidP="001F4EBE">
      <w:pPr>
        <w:spacing w:after="0" w:line="240" w:lineRule="auto"/>
        <w:jc w:val="both"/>
        <w:rPr>
          <w:rFonts w:ascii="Times New Roman" w:hAnsi="Times New Roman" w:cs="Times New Roman"/>
          <w:sz w:val="24"/>
          <w:szCs w:val="24"/>
        </w:rPr>
      </w:pPr>
    </w:p>
    <w:p w:rsidR="001F4EBE" w:rsidRDefault="001F4EBE" w:rsidP="001F4EBE">
      <w:pPr>
        <w:spacing w:after="0" w:line="240" w:lineRule="auto"/>
        <w:jc w:val="both"/>
        <w:rPr>
          <w:rFonts w:ascii="Times New Roman" w:hAnsi="Times New Roman" w:cs="Times New Roman"/>
          <w:sz w:val="24"/>
          <w:szCs w:val="24"/>
        </w:rPr>
      </w:pPr>
    </w:p>
    <w:p w:rsidR="001F4EBE" w:rsidRDefault="001F4EBE" w:rsidP="001F4EBE">
      <w:pPr>
        <w:spacing w:after="0" w:line="240" w:lineRule="auto"/>
        <w:jc w:val="both"/>
        <w:rPr>
          <w:rFonts w:ascii="Times New Roman" w:hAnsi="Times New Roman" w:cs="Times New Roman"/>
          <w:sz w:val="24"/>
          <w:szCs w:val="24"/>
        </w:rPr>
      </w:pPr>
    </w:p>
    <w:p w:rsidR="001F4EBE" w:rsidRDefault="001F4EBE" w:rsidP="001F4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EB548A">
        <w:rPr>
          <w:rFonts w:ascii="Times New Roman" w:hAnsi="Times New Roman" w:cs="Times New Roman"/>
          <w:sz w:val="24"/>
          <w:szCs w:val="24"/>
        </w:rPr>
        <w:t>I</w:t>
      </w:r>
      <w:r>
        <w:rPr>
          <w:rFonts w:ascii="Times New Roman" w:hAnsi="Times New Roman" w:cs="Times New Roman"/>
          <w:sz w:val="24"/>
          <w:szCs w:val="24"/>
        </w:rPr>
        <w:t>GH COURT OF ZIMBABWE</w:t>
      </w:r>
    </w:p>
    <w:p w:rsidR="001F4EBE" w:rsidRDefault="001F4EBE" w:rsidP="001F4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KWENDA J</w:t>
      </w:r>
    </w:p>
    <w:p w:rsidR="001F4EBE" w:rsidRDefault="001F4EBE" w:rsidP="001F4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B70F15">
        <w:rPr>
          <w:rFonts w:ascii="Times New Roman" w:hAnsi="Times New Roman" w:cs="Times New Roman"/>
          <w:sz w:val="24"/>
          <w:szCs w:val="24"/>
        </w:rPr>
        <w:t xml:space="preserve"> 25</w:t>
      </w:r>
      <w:r w:rsidR="00481DA1">
        <w:rPr>
          <w:rFonts w:ascii="Times New Roman" w:hAnsi="Times New Roman" w:cs="Times New Roman"/>
          <w:sz w:val="24"/>
          <w:szCs w:val="24"/>
        </w:rPr>
        <w:t xml:space="preserve"> July </w:t>
      </w:r>
      <w:r w:rsidR="008D6630">
        <w:rPr>
          <w:rFonts w:ascii="Times New Roman" w:hAnsi="Times New Roman" w:cs="Times New Roman"/>
          <w:sz w:val="24"/>
          <w:szCs w:val="24"/>
        </w:rPr>
        <w:t xml:space="preserve">2018 </w:t>
      </w:r>
      <w:r w:rsidR="00481DA1">
        <w:rPr>
          <w:rFonts w:ascii="Times New Roman" w:hAnsi="Times New Roman" w:cs="Times New Roman"/>
          <w:sz w:val="24"/>
          <w:szCs w:val="24"/>
        </w:rPr>
        <w:t xml:space="preserve">&amp; </w:t>
      </w:r>
      <w:r w:rsidR="00B70F15">
        <w:rPr>
          <w:rFonts w:ascii="Times New Roman" w:hAnsi="Times New Roman" w:cs="Times New Roman"/>
          <w:sz w:val="24"/>
          <w:szCs w:val="24"/>
        </w:rPr>
        <w:t>19</w:t>
      </w:r>
      <w:r w:rsidR="00481DA1">
        <w:rPr>
          <w:rFonts w:ascii="Times New Roman" w:hAnsi="Times New Roman" w:cs="Times New Roman"/>
          <w:sz w:val="24"/>
          <w:szCs w:val="24"/>
        </w:rPr>
        <w:t xml:space="preserve"> September 2018</w:t>
      </w:r>
    </w:p>
    <w:p w:rsidR="001F4EBE" w:rsidRDefault="001F4EBE" w:rsidP="001F4EBE">
      <w:pPr>
        <w:spacing w:after="0" w:line="240" w:lineRule="auto"/>
        <w:jc w:val="both"/>
        <w:rPr>
          <w:rFonts w:ascii="Times New Roman" w:hAnsi="Times New Roman" w:cs="Times New Roman"/>
          <w:sz w:val="24"/>
          <w:szCs w:val="24"/>
        </w:rPr>
      </w:pPr>
    </w:p>
    <w:p w:rsidR="001F4EBE" w:rsidRDefault="001F4EBE" w:rsidP="001F4EBE">
      <w:pPr>
        <w:spacing w:after="0" w:line="240" w:lineRule="auto"/>
        <w:jc w:val="both"/>
        <w:rPr>
          <w:rFonts w:ascii="Times New Roman" w:hAnsi="Times New Roman" w:cs="Times New Roman"/>
          <w:sz w:val="24"/>
          <w:szCs w:val="24"/>
        </w:rPr>
      </w:pPr>
    </w:p>
    <w:p w:rsidR="001F4EBE" w:rsidRDefault="001F4EBE" w:rsidP="001F4EB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Opposed Matter</w:t>
      </w:r>
    </w:p>
    <w:p w:rsidR="001F4EBE" w:rsidRDefault="001F4EBE" w:rsidP="001F4EBE">
      <w:pPr>
        <w:spacing w:after="0" w:line="240" w:lineRule="auto"/>
        <w:jc w:val="both"/>
        <w:rPr>
          <w:rFonts w:ascii="Times New Roman" w:hAnsi="Times New Roman" w:cs="Times New Roman"/>
          <w:b/>
          <w:sz w:val="24"/>
          <w:szCs w:val="24"/>
        </w:rPr>
      </w:pPr>
    </w:p>
    <w:p w:rsidR="001F4EBE" w:rsidRDefault="001F4EBE" w:rsidP="001F4EBE">
      <w:pPr>
        <w:spacing w:after="0" w:line="240" w:lineRule="auto"/>
        <w:jc w:val="both"/>
        <w:rPr>
          <w:rFonts w:ascii="Times New Roman" w:hAnsi="Times New Roman" w:cs="Times New Roman"/>
          <w:b/>
          <w:sz w:val="24"/>
          <w:szCs w:val="24"/>
        </w:rPr>
      </w:pPr>
    </w:p>
    <w:p w:rsidR="001F4EBE" w:rsidRDefault="001F4EBE" w:rsidP="001F4EBE">
      <w:pPr>
        <w:spacing w:after="0" w:line="240" w:lineRule="auto"/>
        <w:jc w:val="both"/>
        <w:rPr>
          <w:rFonts w:ascii="Times New Roman" w:hAnsi="Times New Roman" w:cs="Times New Roman"/>
          <w:b/>
          <w:sz w:val="24"/>
          <w:szCs w:val="24"/>
        </w:rPr>
      </w:pPr>
    </w:p>
    <w:p w:rsidR="001F4EBE" w:rsidRDefault="001F4EBE" w:rsidP="001F4EB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T. Zhuwarara, </w:t>
      </w:r>
      <w:r>
        <w:rPr>
          <w:rFonts w:ascii="Times New Roman" w:hAnsi="Times New Roman" w:cs="Times New Roman"/>
          <w:sz w:val="24"/>
          <w:szCs w:val="24"/>
        </w:rPr>
        <w:t>for the applicant</w:t>
      </w:r>
    </w:p>
    <w:p w:rsidR="001F4EBE" w:rsidRDefault="001F4EBE" w:rsidP="001F4EBE">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F. </w:t>
      </w:r>
      <w:r w:rsidR="00EB548A">
        <w:rPr>
          <w:rFonts w:ascii="Times New Roman" w:hAnsi="Times New Roman" w:cs="Times New Roman"/>
          <w:i/>
          <w:sz w:val="24"/>
          <w:szCs w:val="24"/>
        </w:rPr>
        <w:t>M</w:t>
      </w:r>
      <w:r>
        <w:rPr>
          <w:rFonts w:ascii="Times New Roman" w:hAnsi="Times New Roman" w:cs="Times New Roman"/>
          <w:i/>
          <w:sz w:val="24"/>
          <w:szCs w:val="24"/>
        </w:rPr>
        <w:t xml:space="preserve">ahere, </w:t>
      </w:r>
      <w:r>
        <w:rPr>
          <w:rFonts w:ascii="Times New Roman" w:hAnsi="Times New Roman" w:cs="Times New Roman"/>
          <w:sz w:val="24"/>
          <w:szCs w:val="24"/>
        </w:rPr>
        <w:t>for the 1</w:t>
      </w:r>
      <w:r w:rsidRPr="001F4EBE">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1F4EBE" w:rsidRDefault="001F4EBE" w:rsidP="001F4E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 appearance for 2</w:t>
      </w:r>
      <w:r w:rsidRPr="001F4EBE">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1F4EBE" w:rsidRDefault="001F4EBE" w:rsidP="001F4EBE">
      <w:pPr>
        <w:spacing w:after="0" w:line="240" w:lineRule="auto"/>
        <w:jc w:val="both"/>
        <w:rPr>
          <w:rFonts w:ascii="Times New Roman" w:hAnsi="Times New Roman" w:cs="Times New Roman"/>
          <w:sz w:val="24"/>
          <w:szCs w:val="24"/>
        </w:rPr>
      </w:pPr>
    </w:p>
    <w:p w:rsidR="001F4EBE" w:rsidRDefault="001F4EBE" w:rsidP="001F4EBE">
      <w:pPr>
        <w:spacing w:after="0" w:line="240" w:lineRule="auto"/>
        <w:jc w:val="both"/>
        <w:rPr>
          <w:rFonts w:ascii="Times New Roman" w:hAnsi="Times New Roman" w:cs="Times New Roman"/>
          <w:sz w:val="24"/>
          <w:szCs w:val="24"/>
        </w:rPr>
      </w:pPr>
    </w:p>
    <w:p w:rsidR="004F3328" w:rsidRDefault="001F4EBE" w:rsidP="00C261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KW</w:t>
      </w:r>
      <w:r w:rsidR="00BD1B27">
        <w:rPr>
          <w:rFonts w:ascii="Times New Roman" w:hAnsi="Times New Roman" w:cs="Times New Roman"/>
          <w:sz w:val="24"/>
          <w:szCs w:val="24"/>
        </w:rPr>
        <w:t>ENDA</w:t>
      </w:r>
      <w:r>
        <w:rPr>
          <w:rFonts w:ascii="Times New Roman" w:hAnsi="Times New Roman" w:cs="Times New Roman"/>
          <w:sz w:val="24"/>
          <w:szCs w:val="24"/>
        </w:rPr>
        <w:t xml:space="preserve"> J:</w:t>
      </w:r>
      <w:r w:rsidR="00C261D0">
        <w:rPr>
          <w:rFonts w:ascii="Times New Roman" w:hAnsi="Times New Roman" w:cs="Times New Roman"/>
          <w:sz w:val="24"/>
          <w:szCs w:val="24"/>
        </w:rPr>
        <w:t xml:space="preserve"> The applicant </w:t>
      </w:r>
      <w:r w:rsidR="00BD1B27">
        <w:rPr>
          <w:rFonts w:ascii="Times New Roman" w:hAnsi="Times New Roman" w:cs="Times New Roman"/>
          <w:sz w:val="24"/>
          <w:szCs w:val="24"/>
        </w:rPr>
        <w:t>has applied for leave to amend its</w:t>
      </w:r>
      <w:r w:rsidR="00C261D0">
        <w:rPr>
          <w:rFonts w:ascii="Times New Roman" w:hAnsi="Times New Roman" w:cs="Times New Roman"/>
          <w:sz w:val="24"/>
          <w:szCs w:val="24"/>
        </w:rPr>
        <w:t xml:space="preserve"> summons </w:t>
      </w:r>
      <w:r w:rsidR="00BD1B27">
        <w:rPr>
          <w:rFonts w:ascii="Times New Roman" w:hAnsi="Times New Roman" w:cs="Times New Roman"/>
          <w:sz w:val="24"/>
          <w:szCs w:val="24"/>
        </w:rPr>
        <w:t>and declaration</w:t>
      </w:r>
      <w:r w:rsidR="00A2532C">
        <w:rPr>
          <w:rFonts w:ascii="Times New Roman" w:hAnsi="Times New Roman" w:cs="Times New Roman"/>
          <w:sz w:val="24"/>
          <w:szCs w:val="24"/>
        </w:rPr>
        <w:t xml:space="preserve"> issued</w:t>
      </w:r>
      <w:r w:rsidR="00BD1B27">
        <w:rPr>
          <w:rFonts w:ascii="Times New Roman" w:hAnsi="Times New Roman" w:cs="Times New Roman"/>
          <w:sz w:val="24"/>
          <w:szCs w:val="24"/>
        </w:rPr>
        <w:t xml:space="preserve"> </w:t>
      </w:r>
      <w:r w:rsidR="00C261D0">
        <w:rPr>
          <w:rFonts w:ascii="Times New Roman" w:hAnsi="Times New Roman" w:cs="Times New Roman"/>
          <w:sz w:val="24"/>
          <w:szCs w:val="24"/>
        </w:rPr>
        <w:t xml:space="preserve">out of this court in case no HC 9631/16 </w:t>
      </w:r>
      <w:r w:rsidR="00BD1B27">
        <w:rPr>
          <w:rFonts w:ascii="Times New Roman" w:hAnsi="Times New Roman" w:cs="Times New Roman"/>
          <w:sz w:val="24"/>
          <w:szCs w:val="24"/>
        </w:rPr>
        <w:t xml:space="preserve">on an undisclosed date in the year 2016. </w:t>
      </w:r>
      <w:r w:rsidR="00A2532C">
        <w:rPr>
          <w:rFonts w:ascii="Times New Roman" w:hAnsi="Times New Roman" w:cs="Times New Roman"/>
          <w:sz w:val="24"/>
          <w:szCs w:val="24"/>
        </w:rPr>
        <w:t xml:space="preserve">The original summons and declaration were not submitted with this application. The Court can only rely on what the applicant says is contained in the summons and declaration to be amended. Applicant says </w:t>
      </w:r>
      <w:r w:rsidR="008602C0">
        <w:rPr>
          <w:rFonts w:ascii="Times New Roman" w:hAnsi="Times New Roman" w:cs="Times New Roman"/>
          <w:sz w:val="24"/>
          <w:szCs w:val="24"/>
        </w:rPr>
        <w:t xml:space="preserve">in </w:t>
      </w:r>
      <w:r w:rsidR="00A2532C">
        <w:rPr>
          <w:rFonts w:ascii="Times New Roman" w:hAnsi="Times New Roman" w:cs="Times New Roman"/>
          <w:sz w:val="24"/>
          <w:szCs w:val="24"/>
        </w:rPr>
        <w:t>the year 2016 it sued for</w:t>
      </w:r>
      <w:r w:rsidR="00C261D0">
        <w:rPr>
          <w:rFonts w:ascii="Times New Roman" w:hAnsi="Times New Roman" w:cs="Times New Roman"/>
          <w:sz w:val="24"/>
          <w:szCs w:val="24"/>
        </w:rPr>
        <w:t xml:space="preserve"> an order setting aside a certain Surety Bond No. 4250/11 registered against its immovable property </w:t>
      </w:r>
      <w:r w:rsidR="00BD1B27">
        <w:rPr>
          <w:rFonts w:ascii="Times New Roman" w:hAnsi="Times New Roman" w:cs="Times New Roman"/>
          <w:sz w:val="24"/>
          <w:szCs w:val="24"/>
        </w:rPr>
        <w:t>held</w:t>
      </w:r>
      <w:r w:rsidR="00C261D0">
        <w:rPr>
          <w:rFonts w:ascii="Times New Roman" w:hAnsi="Times New Roman" w:cs="Times New Roman"/>
          <w:sz w:val="24"/>
          <w:szCs w:val="24"/>
        </w:rPr>
        <w:t xml:space="preserve"> under</w:t>
      </w:r>
      <w:r w:rsidR="00A2532C">
        <w:rPr>
          <w:rFonts w:ascii="Times New Roman" w:hAnsi="Times New Roman" w:cs="Times New Roman"/>
          <w:sz w:val="24"/>
          <w:szCs w:val="24"/>
        </w:rPr>
        <w:t xml:space="preserve"> D</w:t>
      </w:r>
      <w:r w:rsidR="00C261D0">
        <w:rPr>
          <w:rFonts w:ascii="Times New Roman" w:hAnsi="Times New Roman" w:cs="Times New Roman"/>
          <w:sz w:val="24"/>
          <w:szCs w:val="24"/>
        </w:rPr>
        <w:t xml:space="preserve">eed of </w:t>
      </w:r>
      <w:r w:rsidR="00A2532C">
        <w:rPr>
          <w:rFonts w:ascii="Times New Roman" w:hAnsi="Times New Roman" w:cs="Times New Roman"/>
          <w:sz w:val="24"/>
          <w:szCs w:val="24"/>
        </w:rPr>
        <w:t>T</w:t>
      </w:r>
      <w:r w:rsidR="00C261D0">
        <w:rPr>
          <w:rFonts w:ascii="Times New Roman" w:hAnsi="Times New Roman" w:cs="Times New Roman"/>
          <w:sz w:val="24"/>
          <w:szCs w:val="24"/>
        </w:rPr>
        <w:t>ransfer no. 6844/2004</w:t>
      </w:r>
      <w:r w:rsidR="00A2532C">
        <w:rPr>
          <w:rFonts w:ascii="Times New Roman" w:hAnsi="Times New Roman" w:cs="Times New Roman"/>
          <w:sz w:val="24"/>
          <w:szCs w:val="24"/>
        </w:rPr>
        <w:t xml:space="preserve"> on the grounds that the bond</w:t>
      </w:r>
      <w:r w:rsidR="00C261D0">
        <w:rPr>
          <w:rFonts w:ascii="Times New Roman" w:hAnsi="Times New Roman" w:cs="Times New Roman"/>
          <w:sz w:val="24"/>
          <w:szCs w:val="24"/>
        </w:rPr>
        <w:t xml:space="preserve"> is</w:t>
      </w:r>
      <w:r w:rsidR="004F3328">
        <w:rPr>
          <w:rFonts w:ascii="Times New Roman" w:hAnsi="Times New Roman" w:cs="Times New Roman"/>
          <w:sz w:val="24"/>
          <w:szCs w:val="24"/>
        </w:rPr>
        <w:t xml:space="preserve"> invalid and irregular.</w:t>
      </w:r>
      <w:r w:rsidR="00BD1B27" w:rsidRPr="00BD1B27">
        <w:rPr>
          <w:rFonts w:ascii="Times New Roman" w:hAnsi="Times New Roman" w:cs="Times New Roman"/>
          <w:sz w:val="24"/>
          <w:szCs w:val="24"/>
        </w:rPr>
        <w:t xml:space="preserve"> </w:t>
      </w:r>
      <w:r w:rsidR="00BD1B27">
        <w:rPr>
          <w:rFonts w:ascii="Times New Roman" w:hAnsi="Times New Roman" w:cs="Times New Roman"/>
          <w:sz w:val="24"/>
          <w:szCs w:val="24"/>
        </w:rPr>
        <w:t>Pleadings in case no HC 9631/16 having closed, the matter has reached pre-trial conference stage.</w:t>
      </w:r>
    </w:p>
    <w:p w:rsidR="00994AA5" w:rsidRPr="00481DA1" w:rsidRDefault="004F3328" w:rsidP="00481DA1">
      <w:pPr>
        <w:spacing w:after="0" w:line="360" w:lineRule="auto"/>
        <w:ind w:firstLine="720"/>
        <w:jc w:val="both"/>
        <w:rPr>
          <w:rFonts w:ascii="Times New Roman" w:hAnsi="Times New Roman" w:cs="Times New Roman"/>
          <w:sz w:val="24"/>
          <w:szCs w:val="24"/>
        </w:rPr>
      </w:pPr>
      <w:r w:rsidRPr="00685DB2">
        <w:rPr>
          <w:rFonts w:ascii="Times New Roman" w:hAnsi="Times New Roman" w:cs="Times New Roman"/>
          <w:sz w:val="24"/>
          <w:szCs w:val="24"/>
        </w:rPr>
        <w:t>The</w:t>
      </w:r>
      <w:r w:rsidR="00A2532C" w:rsidRPr="00685DB2">
        <w:rPr>
          <w:rFonts w:ascii="Times New Roman" w:hAnsi="Times New Roman" w:cs="Times New Roman"/>
          <w:sz w:val="24"/>
          <w:szCs w:val="24"/>
        </w:rPr>
        <w:t xml:space="preserve"> notice given of the amendment is that,</w:t>
      </w:r>
      <w:r w:rsidR="00BD1B27" w:rsidRPr="00685DB2">
        <w:rPr>
          <w:rFonts w:ascii="Times New Roman" w:hAnsi="Times New Roman" w:cs="Times New Roman"/>
          <w:sz w:val="24"/>
          <w:szCs w:val="24"/>
        </w:rPr>
        <w:t xml:space="preserve"> at the </w:t>
      </w:r>
      <w:r w:rsidR="00A2532C" w:rsidRPr="00685DB2">
        <w:rPr>
          <w:rFonts w:ascii="Times New Roman" w:hAnsi="Times New Roman" w:cs="Times New Roman"/>
          <w:sz w:val="24"/>
          <w:szCs w:val="24"/>
        </w:rPr>
        <w:t>pre-trial</w:t>
      </w:r>
      <w:r w:rsidR="00BD1B27" w:rsidRPr="00685DB2">
        <w:rPr>
          <w:rFonts w:ascii="Times New Roman" w:hAnsi="Times New Roman" w:cs="Times New Roman"/>
          <w:sz w:val="24"/>
          <w:szCs w:val="24"/>
        </w:rPr>
        <w:t xml:space="preserve"> </w:t>
      </w:r>
      <w:r w:rsidR="00A2532C" w:rsidRPr="00685DB2">
        <w:rPr>
          <w:rFonts w:ascii="Times New Roman" w:hAnsi="Times New Roman" w:cs="Times New Roman"/>
          <w:sz w:val="24"/>
          <w:szCs w:val="24"/>
        </w:rPr>
        <w:t xml:space="preserve">conference, the applicant will amend the summons and declaration by inserting paragraph (a) (i) between paragraphs (a) and (b) of the summons. The effect is to introduce a new prayer </w:t>
      </w:r>
      <w:r w:rsidR="00685DB2" w:rsidRPr="00685DB2">
        <w:rPr>
          <w:rFonts w:ascii="Times New Roman" w:hAnsi="Times New Roman" w:cs="Times New Roman"/>
          <w:sz w:val="24"/>
          <w:szCs w:val="24"/>
        </w:rPr>
        <w:t>for the cancellation of another</w:t>
      </w:r>
      <w:r w:rsidRPr="00685DB2">
        <w:rPr>
          <w:rFonts w:ascii="Times New Roman" w:hAnsi="Times New Roman" w:cs="Times New Roman"/>
          <w:sz w:val="24"/>
          <w:szCs w:val="24"/>
        </w:rPr>
        <w:t xml:space="preserve"> Surety Mortgage bond No. 2163/</w:t>
      </w:r>
      <w:r w:rsidR="00685DB2" w:rsidRPr="00685DB2">
        <w:rPr>
          <w:rFonts w:ascii="Times New Roman" w:hAnsi="Times New Roman" w:cs="Times New Roman"/>
          <w:sz w:val="24"/>
          <w:szCs w:val="24"/>
        </w:rPr>
        <w:t>2009 registered</w:t>
      </w:r>
      <w:r w:rsidRPr="00685DB2">
        <w:rPr>
          <w:rFonts w:ascii="Times New Roman" w:hAnsi="Times New Roman" w:cs="Times New Roman"/>
          <w:sz w:val="24"/>
          <w:szCs w:val="24"/>
        </w:rPr>
        <w:t xml:space="preserve"> against the plaintiff’s </w:t>
      </w:r>
      <w:r w:rsidR="00685DB2" w:rsidRPr="00685DB2">
        <w:rPr>
          <w:rFonts w:ascii="Times New Roman" w:hAnsi="Times New Roman" w:cs="Times New Roman"/>
          <w:sz w:val="24"/>
          <w:szCs w:val="24"/>
        </w:rPr>
        <w:t xml:space="preserve">immovable property </w:t>
      </w:r>
      <w:r w:rsidR="00685DB2" w:rsidRPr="00481DA1">
        <w:rPr>
          <w:rFonts w:ascii="Times New Roman" w:hAnsi="Times New Roman" w:cs="Times New Roman"/>
          <w:sz w:val="24"/>
          <w:szCs w:val="24"/>
        </w:rPr>
        <w:t>situate</w:t>
      </w:r>
      <w:r w:rsidR="00A2532C" w:rsidRPr="00481DA1">
        <w:rPr>
          <w:rFonts w:ascii="Times New Roman" w:hAnsi="Times New Roman" w:cs="Times New Roman"/>
          <w:sz w:val="24"/>
          <w:szCs w:val="24"/>
        </w:rPr>
        <w:t xml:space="preserve"> in the district of Umtali </w:t>
      </w:r>
      <w:r w:rsidR="00685DB2" w:rsidRPr="00481DA1">
        <w:rPr>
          <w:rFonts w:ascii="Times New Roman" w:hAnsi="Times New Roman" w:cs="Times New Roman"/>
          <w:sz w:val="24"/>
          <w:szCs w:val="24"/>
        </w:rPr>
        <w:t>‘</w:t>
      </w:r>
      <w:r w:rsidRPr="00481DA1">
        <w:rPr>
          <w:rFonts w:ascii="Times New Roman" w:hAnsi="Times New Roman" w:cs="Times New Roman"/>
          <w:sz w:val="24"/>
          <w:szCs w:val="24"/>
        </w:rPr>
        <w:t>….. which mortgage bond was cancelled on the 20</w:t>
      </w:r>
      <w:r w:rsidRPr="00481DA1">
        <w:rPr>
          <w:rFonts w:ascii="Times New Roman" w:hAnsi="Times New Roman" w:cs="Times New Roman"/>
          <w:sz w:val="24"/>
          <w:szCs w:val="24"/>
          <w:vertAlign w:val="superscript"/>
        </w:rPr>
        <w:t>th</w:t>
      </w:r>
      <w:r w:rsidRPr="00481DA1">
        <w:rPr>
          <w:rFonts w:ascii="Times New Roman" w:hAnsi="Times New Roman" w:cs="Times New Roman"/>
          <w:sz w:val="24"/>
          <w:szCs w:val="24"/>
        </w:rPr>
        <w:t xml:space="preserve"> April 2011.”</w:t>
      </w:r>
      <w:r w:rsidR="00685DB2" w:rsidRPr="00481DA1">
        <w:rPr>
          <w:rFonts w:ascii="Times New Roman" w:hAnsi="Times New Roman" w:cs="Times New Roman"/>
          <w:sz w:val="24"/>
          <w:szCs w:val="24"/>
        </w:rPr>
        <w:t xml:space="preserve"> </w:t>
      </w:r>
      <w:r w:rsidR="00481DA1">
        <w:rPr>
          <w:rFonts w:ascii="Times New Roman" w:hAnsi="Times New Roman" w:cs="Times New Roman"/>
          <w:sz w:val="24"/>
          <w:szCs w:val="24"/>
        </w:rPr>
        <w:t>The a</w:t>
      </w:r>
      <w:r w:rsidR="00685DB2" w:rsidRPr="00481DA1">
        <w:rPr>
          <w:rFonts w:ascii="Times New Roman" w:hAnsi="Times New Roman" w:cs="Times New Roman"/>
          <w:sz w:val="24"/>
          <w:szCs w:val="24"/>
        </w:rPr>
        <w:t>pplicant intends to make a similar amendment to the declaration.</w:t>
      </w:r>
      <w:r w:rsidR="00994AA5" w:rsidRPr="00481DA1">
        <w:rPr>
          <w:rFonts w:ascii="Times New Roman" w:hAnsi="Times New Roman" w:cs="Times New Roman"/>
          <w:sz w:val="24"/>
          <w:szCs w:val="24"/>
        </w:rPr>
        <w:t xml:space="preserve"> </w:t>
      </w:r>
      <w:r w:rsidR="00BE7703" w:rsidRPr="00481DA1">
        <w:rPr>
          <w:rFonts w:ascii="Times New Roman" w:hAnsi="Times New Roman" w:cs="Times New Roman"/>
          <w:sz w:val="24"/>
          <w:szCs w:val="24"/>
        </w:rPr>
        <w:t>The applicant says the invalidity of bond No. 2163/09 was established following an audit by Baker Tilly auditors</w:t>
      </w:r>
      <w:r w:rsidR="00994AA5" w:rsidRPr="00481DA1">
        <w:rPr>
          <w:rFonts w:ascii="Times New Roman" w:hAnsi="Times New Roman" w:cs="Times New Roman"/>
          <w:sz w:val="24"/>
          <w:szCs w:val="24"/>
        </w:rPr>
        <w:t xml:space="preserve"> on an undisclosed date</w:t>
      </w:r>
      <w:r w:rsidR="00BE7703" w:rsidRPr="00481DA1">
        <w:rPr>
          <w:rFonts w:ascii="Times New Roman" w:hAnsi="Times New Roman" w:cs="Times New Roman"/>
          <w:sz w:val="24"/>
          <w:szCs w:val="24"/>
        </w:rPr>
        <w:t xml:space="preserve">. </w:t>
      </w:r>
      <w:r w:rsidR="00994AA5" w:rsidRPr="00481DA1">
        <w:rPr>
          <w:rFonts w:ascii="Times New Roman" w:hAnsi="Times New Roman" w:cs="Times New Roman"/>
          <w:sz w:val="24"/>
          <w:szCs w:val="24"/>
        </w:rPr>
        <w:t xml:space="preserve">The founding affidavit is very brief, consisting only of seven </w:t>
      </w:r>
      <w:r w:rsidR="00355DCC" w:rsidRPr="00481DA1">
        <w:rPr>
          <w:rFonts w:ascii="Times New Roman" w:hAnsi="Times New Roman" w:cs="Times New Roman"/>
          <w:sz w:val="24"/>
          <w:szCs w:val="24"/>
        </w:rPr>
        <w:t>paragraphs</w:t>
      </w:r>
      <w:r w:rsidR="00994AA5" w:rsidRPr="00481DA1">
        <w:rPr>
          <w:rFonts w:ascii="Times New Roman" w:hAnsi="Times New Roman" w:cs="Times New Roman"/>
          <w:sz w:val="24"/>
          <w:szCs w:val="24"/>
        </w:rPr>
        <w:t xml:space="preserve"> which </w:t>
      </w:r>
      <w:r w:rsidR="00355DCC" w:rsidRPr="00481DA1">
        <w:rPr>
          <w:rFonts w:ascii="Times New Roman" w:hAnsi="Times New Roman" w:cs="Times New Roman"/>
          <w:sz w:val="24"/>
          <w:szCs w:val="24"/>
        </w:rPr>
        <w:t>essentially restate</w:t>
      </w:r>
      <w:r w:rsidR="00994AA5" w:rsidRPr="00481DA1">
        <w:rPr>
          <w:rFonts w:ascii="Times New Roman" w:hAnsi="Times New Roman" w:cs="Times New Roman"/>
          <w:sz w:val="24"/>
          <w:szCs w:val="24"/>
        </w:rPr>
        <w:t xml:space="preserve"> what is contained in the Notice of Amendment. </w:t>
      </w:r>
    </w:p>
    <w:p w:rsidR="00FC3C21" w:rsidRPr="00481DA1" w:rsidRDefault="00481DA1" w:rsidP="00994AA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first </w:t>
      </w:r>
      <w:r w:rsidR="00F550AE" w:rsidRPr="00481DA1">
        <w:rPr>
          <w:rFonts w:ascii="Times New Roman" w:hAnsi="Times New Roman" w:cs="Times New Roman"/>
          <w:sz w:val="24"/>
          <w:szCs w:val="24"/>
        </w:rPr>
        <w:t>r</w:t>
      </w:r>
      <w:r w:rsidR="00994AA5" w:rsidRPr="00481DA1">
        <w:rPr>
          <w:rFonts w:ascii="Times New Roman" w:hAnsi="Times New Roman" w:cs="Times New Roman"/>
          <w:sz w:val="24"/>
          <w:szCs w:val="24"/>
        </w:rPr>
        <w:t>espondent opposes the</w:t>
      </w:r>
      <w:r w:rsidR="00BE7703" w:rsidRPr="00481DA1">
        <w:rPr>
          <w:rFonts w:ascii="Times New Roman" w:hAnsi="Times New Roman" w:cs="Times New Roman"/>
          <w:sz w:val="24"/>
          <w:szCs w:val="24"/>
        </w:rPr>
        <w:t xml:space="preserve"> application on various grounds. </w:t>
      </w:r>
      <w:r w:rsidR="00994AA5" w:rsidRPr="00481DA1">
        <w:rPr>
          <w:rFonts w:ascii="Times New Roman" w:hAnsi="Times New Roman" w:cs="Times New Roman"/>
          <w:sz w:val="24"/>
          <w:szCs w:val="24"/>
        </w:rPr>
        <w:t xml:space="preserve">Among other things, </w:t>
      </w:r>
      <w:r>
        <w:rPr>
          <w:rFonts w:ascii="Times New Roman" w:hAnsi="Times New Roman" w:cs="Times New Roman"/>
          <w:sz w:val="24"/>
          <w:szCs w:val="24"/>
        </w:rPr>
        <w:t>the first</w:t>
      </w:r>
      <w:r w:rsidR="00F550AE" w:rsidRPr="00481DA1">
        <w:rPr>
          <w:rFonts w:ascii="Times New Roman" w:hAnsi="Times New Roman" w:cs="Times New Roman"/>
          <w:sz w:val="24"/>
          <w:szCs w:val="24"/>
        </w:rPr>
        <w:t xml:space="preserve"> </w:t>
      </w:r>
      <w:r w:rsidR="00994AA5" w:rsidRPr="00481DA1">
        <w:rPr>
          <w:rFonts w:ascii="Times New Roman" w:hAnsi="Times New Roman" w:cs="Times New Roman"/>
          <w:sz w:val="24"/>
          <w:szCs w:val="24"/>
        </w:rPr>
        <w:t xml:space="preserve">respondent submitted and argued that the application is not motivated by a genuine desire </w:t>
      </w:r>
      <w:r w:rsidR="008602C0" w:rsidRPr="00481DA1">
        <w:rPr>
          <w:rFonts w:ascii="Times New Roman" w:hAnsi="Times New Roman" w:cs="Times New Roman"/>
          <w:sz w:val="24"/>
          <w:szCs w:val="24"/>
        </w:rPr>
        <w:t xml:space="preserve">to </w:t>
      </w:r>
      <w:r w:rsidR="00994AA5" w:rsidRPr="00481DA1">
        <w:rPr>
          <w:rFonts w:ascii="Times New Roman" w:hAnsi="Times New Roman" w:cs="Times New Roman"/>
          <w:sz w:val="24"/>
          <w:szCs w:val="24"/>
        </w:rPr>
        <w:t xml:space="preserve">assist the Court </w:t>
      </w:r>
      <w:r w:rsidR="008C6398" w:rsidRPr="00481DA1">
        <w:rPr>
          <w:rFonts w:ascii="Times New Roman" w:hAnsi="Times New Roman" w:cs="Times New Roman"/>
          <w:sz w:val="24"/>
          <w:szCs w:val="24"/>
        </w:rPr>
        <w:t>in determin</w:t>
      </w:r>
      <w:r w:rsidR="008602C0" w:rsidRPr="00481DA1">
        <w:rPr>
          <w:rFonts w:ascii="Times New Roman" w:hAnsi="Times New Roman" w:cs="Times New Roman"/>
          <w:sz w:val="24"/>
          <w:szCs w:val="24"/>
        </w:rPr>
        <w:t>ing</w:t>
      </w:r>
      <w:r w:rsidR="00994AA5" w:rsidRPr="00481DA1">
        <w:rPr>
          <w:rFonts w:ascii="Times New Roman" w:hAnsi="Times New Roman" w:cs="Times New Roman"/>
          <w:sz w:val="24"/>
          <w:szCs w:val="24"/>
        </w:rPr>
        <w:t xml:space="preserve"> the issues at hand but just to delay the day of reckoning. </w:t>
      </w:r>
      <w:r>
        <w:rPr>
          <w:rFonts w:ascii="Times New Roman" w:hAnsi="Times New Roman" w:cs="Times New Roman"/>
          <w:sz w:val="24"/>
          <w:szCs w:val="24"/>
        </w:rPr>
        <w:t xml:space="preserve">The first </w:t>
      </w:r>
      <w:r w:rsidR="00F550AE" w:rsidRPr="00481DA1">
        <w:rPr>
          <w:rFonts w:ascii="Times New Roman" w:hAnsi="Times New Roman" w:cs="Times New Roman"/>
          <w:sz w:val="24"/>
          <w:szCs w:val="24"/>
        </w:rPr>
        <w:t>r</w:t>
      </w:r>
      <w:r w:rsidR="008C6398" w:rsidRPr="00481DA1">
        <w:rPr>
          <w:rFonts w:ascii="Times New Roman" w:hAnsi="Times New Roman" w:cs="Times New Roman"/>
          <w:sz w:val="24"/>
          <w:szCs w:val="24"/>
        </w:rPr>
        <w:t xml:space="preserve">espondent avers that the applicant deliberately </w:t>
      </w:r>
      <w:r w:rsidR="00F550AE" w:rsidRPr="00481DA1">
        <w:rPr>
          <w:rFonts w:ascii="Times New Roman" w:hAnsi="Times New Roman" w:cs="Times New Roman"/>
          <w:sz w:val="24"/>
          <w:szCs w:val="24"/>
        </w:rPr>
        <w:t>concealed</w:t>
      </w:r>
      <w:r w:rsidR="008C6398" w:rsidRPr="00481DA1">
        <w:rPr>
          <w:rFonts w:ascii="Times New Roman" w:hAnsi="Times New Roman" w:cs="Times New Roman"/>
          <w:sz w:val="24"/>
          <w:szCs w:val="24"/>
        </w:rPr>
        <w:t xml:space="preserve"> the background to the dispute in case No HC 9631/16 </w:t>
      </w:r>
      <w:r w:rsidR="00F550AE" w:rsidRPr="00481DA1">
        <w:rPr>
          <w:rFonts w:ascii="Times New Roman" w:hAnsi="Times New Roman" w:cs="Times New Roman"/>
          <w:sz w:val="24"/>
          <w:szCs w:val="24"/>
        </w:rPr>
        <w:t xml:space="preserve">so that it does not become clear that </w:t>
      </w:r>
      <w:r w:rsidR="008C6398" w:rsidRPr="00481DA1">
        <w:rPr>
          <w:rFonts w:ascii="Times New Roman" w:hAnsi="Times New Roman" w:cs="Times New Roman"/>
          <w:sz w:val="24"/>
          <w:szCs w:val="24"/>
        </w:rPr>
        <w:t xml:space="preserve">the application </w:t>
      </w:r>
      <w:r w:rsidR="00F550AE" w:rsidRPr="00481DA1">
        <w:rPr>
          <w:rFonts w:ascii="Times New Roman" w:hAnsi="Times New Roman" w:cs="Times New Roman"/>
          <w:sz w:val="24"/>
          <w:szCs w:val="24"/>
        </w:rPr>
        <w:t>lacks merit</w:t>
      </w:r>
      <w:r w:rsidR="008C6398" w:rsidRPr="00481DA1">
        <w:rPr>
          <w:rFonts w:ascii="Times New Roman" w:hAnsi="Times New Roman" w:cs="Times New Roman"/>
          <w:sz w:val="24"/>
          <w:szCs w:val="24"/>
        </w:rPr>
        <w:t>.</w:t>
      </w:r>
    </w:p>
    <w:p w:rsidR="00FC3C21" w:rsidRDefault="00FC3C21" w:rsidP="0045758E">
      <w:pPr>
        <w:spacing w:after="0" w:line="360" w:lineRule="auto"/>
        <w:jc w:val="both"/>
        <w:rPr>
          <w:rFonts w:ascii="Times New Roman" w:hAnsi="Times New Roman" w:cs="Times New Roman"/>
        </w:rPr>
      </w:pPr>
      <w:r>
        <w:rPr>
          <w:rFonts w:ascii="Times New Roman" w:hAnsi="Times New Roman" w:cs="Times New Roman"/>
        </w:rPr>
        <w:tab/>
      </w:r>
      <w:r w:rsidR="008C6398">
        <w:rPr>
          <w:rFonts w:ascii="Times New Roman" w:hAnsi="Times New Roman" w:cs="Times New Roman"/>
        </w:rPr>
        <w:t>Having considered all the papers and hearing argument the Court makes the following observations:-</w:t>
      </w:r>
    </w:p>
    <w:p w:rsidR="00D425F3" w:rsidRDefault="00110DC3" w:rsidP="008C639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rPr>
        <w:t>A</w:t>
      </w:r>
      <w:r w:rsidR="008C6398" w:rsidRPr="008C6398">
        <w:rPr>
          <w:rFonts w:ascii="Times New Roman" w:hAnsi="Times New Roman" w:cs="Times New Roman"/>
        </w:rPr>
        <w:t>pplicant</w:t>
      </w:r>
      <w:r>
        <w:rPr>
          <w:rFonts w:ascii="Times New Roman" w:hAnsi="Times New Roman" w:cs="Times New Roman"/>
        </w:rPr>
        <w:t>’s failure</w:t>
      </w:r>
      <w:r w:rsidR="008C6398" w:rsidRPr="008C6398">
        <w:rPr>
          <w:rFonts w:ascii="Times New Roman" w:hAnsi="Times New Roman" w:cs="Times New Roman"/>
        </w:rPr>
        <w:t xml:space="preserve"> to </w:t>
      </w:r>
      <w:r w:rsidR="00FC3C21" w:rsidRPr="008C6398">
        <w:rPr>
          <w:rFonts w:ascii="Times New Roman" w:hAnsi="Times New Roman" w:cs="Times New Roman"/>
        </w:rPr>
        <w:t>attach the summons and declaration to be amended</w:t>
      </w:r>
      <w:r>
        <w:rPr>
          <w:rFonts w:ascii="Times New Roman" w:hAnsi="Times New Roman" w:cs="Times New Roman"/>
        </w:rPr>
        <w:t xml:space="preserve"> is a deficiency in the application</w:t>
      </w:r>
      <w:r w:rsidR="00FC3C21" w:rsidRPr="008C6398">
        <w:rPr>
          <w:rFonts w:ascii="Times New Roman" w:hAnsi="Times New Roman" w:cs="Times New Roman"/>
        </w:rPr>
        <w:t>.</w:t>
      </w:r>
      <w:r w:rsidR="008C6398" w:rsidRPr="008C6398">
        <w:rPr>
          <w:rFonts w:ascii="Times New Roman" w:hAnsi="Times New Roman" w:cs="Times New Roman"/>
        </w:rPr>
        <w:t xml:space="preserve"> Where</w:t>
      </w:r>
      <w:r w:rsidR="00FC3C21" w:rsidRPr="008C6398">
        <w:rPr>
          <w:rFonts w:ascii="Times New Roman" w:hAnsi="Times New Roman" w:cs="Times New Roman"/>
          <w:sz w:val="24"/>
          <w:szCs w:val="24"/>
        </w:rPr>
        <w:t xml:space="preserve"> the applicant says, for example, the amendment is by insertion of certain of para(a) (i) between para(s) (a) and (b) of the summons</w:t>
      </w:r>
      <w:r w:rsidR="008C6398" w:rsidRPr="008C6398">
        <w:rPr>
          <w:rFonts w:ascii="Times New Roman" w:hAnsi="Times New Roman" w:cs="Times New Roman"/>
          <w:sz w:val="24"/>
          <w:szCs w:val="24"/>
        </w:rPr>
        <w:t>,</w:t>
      </w:r>
      <w:r w:rsidR="00FC3C21" w:rsidRPr="008C6398">
        <w:rPr>
          <w:rFonts w:ascii="Times New Roman" w:hAnsi="Times New Roman" w:cs="Times New Roman"/>
          <w:sz w:val="24"/>
          <w:szCs w:val="24"/>
        </w:rPr>
        <w:t xml:space="preserve"> the court is unable to relate to the substance of the request made</w:t>
      </w:r>
    </w:p>
    <w:p w:rsidR="00D425F3" w:rsidRDefault="00110DC3" w:rsidP="008C6398">
      <w:pPr>
        <w:pStyle w:val="ListParagraph"/>
        <w:numPr>
          <w:ilvl w:val="0"/>
          <w:numId w:val="5"/>
        </w:numPr>
        <w:spacing w:after="0" w:line="360" w:lineRule="auto"/>
        <w:jc w:val="both"/>
        <w:rPr>
          <w:rFonts w:ascii="Times New Roman" w:hAnsi="Times New Roman" w:cs="Times New Roman"/>
          <w:sz w:val="24"/>
          <w:szCs w:val="24"/>
        </w:rPr>
      </w:pPr>
      <w:r w:rsidRPr="00110DC3">
        <w:rPr>
          <w:rFonts w:ascii="Times New Roman" w:hAnsi="Times New Roman" w:cs="Times New Roman"/>
          <w:sz w:val="24"/>
          <w:szCs w:val="24"/>
        </w:rPr>
        <w:t>Applicant’s failure to</w:t>
      </w:r>
      <w:r w:rsidR="00D425F3" w:rsidRPr="00110DC3">
        <w:rPr>
          <w:rFonts w:ascii="Times New Roman" w:hAnsi="Times New Roman" w:cs="Times New Roman"/>
          <w:sz w:val="24"/>
          <w:szCs w:val="24"/>
        </w:rPr>
        <w:t xml:space="preserve"> give a background to the matter</w:t>
      </w:r>
      <w:r>
        <w:rPr>
          <w:rFonts w:ascii="Times New Roman" w:hAnsi="Times New Roman" w:cs="Times New Roman"/>
          <w:sz w:val="24"/>
          <w:szCs w:val="24"/>
        </w:rPr>
        <w:t xml:space="preserve"> is another deficiency in the application</w:t>
      </w:r>
      <w:r w:rsidR="00D425F3" w:rsidRPr="00110DC3">
        <w:rPr>
          <w:rFonts w:ascii="Times New Roman" w:hAnsi="Times New Roman" w:cs="Times New Roman"/>
          <w:sz w:val="24"/>
          <w:szCs w:val="24"/>
        </w:rPr>
        <w:t xml:space="preserve">. This court is unable to ascertain the basis for the alleged irregularity or invalidity inflicting the registration of bond No. 4250/2011 </w:t>
      </w:r>
      <w:r>
        <w:rPr>
          <w:rFonts w:ascii="Times New Roman" w:hAnsi="Times New Roman" w:cs="Times New Roman"/>
          <w:sz w:val="24"/>
          <w:szCs w:val="24"/>
        </w:rPr>
        <w:t>(being</w:t>
      </w:r>
      <w:r w:rsidR="00D425F3" w:rsidRPr="00110DC3">
        <w:rPr>
          <w:rFonts w:ascii="Times New Roman" w:hAnsi="Times New Roman" w:cs="Times New Roman"/>
          <w:sz w:val="24"/>
          <w:szCs w:val="24"/>
        </w:rPr>
        <w:t xml:space="preserve"> the subject matter of case No. HC 9631/16</w:t>
      </w:r>
      <w:r>
        <w:rPr>
          <w:rFonts w:ascii="Times New Roman" w:hAnsi="Times New Roman" w:cs="Times New Roman"/>
          <w:sz w:val="24"/>
          <w:szCs w:val="24"/>
        </w:rPr>
        <w:t>)</w:t>
      </w:r>
      <w:r w:rsidR="003042B0">
        <w:rPr>
          <w:rFonts w:ascii="Times New Roman" w:hAnsi="Times New Roman" w:cs="Times New Roman"/>
          <w:sz w:val="24"/>
          <w:szCs w:val="24"/>
        </w:rPr>
        <w:t xml:space="preserve"> and how it</w:t>
      </w:r>
      <w:r>
        <w:rPr>
          <w:rFonts w:ascii="Times New Roman" w:hAnsi="Times New Roman" w:cs="Times New Roman"/>
          <w:sz w:val="24"/>
          <w:szCs w:val="24"/>
        </w:rPr>
        <w:t xml:space="preserve"> is connected in any way to the</w:t>
      </w:r>
      <w:r w:rsidR="00D425F3" w:rsidRPr="00110DC3">
        <w:rPr>
          <w:rFonts w:ascii="Times New Roman" w:hAnsi="Times New Roman" w:cs="Times New Roman"/>
          <w:sz w:val="24"/>
          <w:szCs w:val="24"/>
        </w:rPr>
        <w:t xml:space="preserve"> earlier registration of bond No. 2163/09</w:t>
      </w:r>
      <w:r>
        <w:rPr>
          <w:rFonts w:ascii="Times New Roman" w:hAnsi="Times New Roman" w:cs="Times New Roman"/>
          <w:sz w:val="24"/>
          <w:szCs w:val="24"/>
        </w:rPr>
        <w:t>.</w:t>
      </w:r>
    </w:p>
    <w:p w:rsidR="00D425F3" w:rsidRDefault="00110DC3" w:rsidP="008C6398">
      <w:pPr>
        <w:pStyle w:val="ListParagraph"/>
        <w:numPr>
          <w:ilvl w:val="0"/>
          <w:numId w:val="5"/>
        </w:numPr>
        <w:spacing w:after="0" w:line="360" w:lineRule="auto"/>
        <w:jc w:val="both"/>
        <w:rPr>
          <w:rFonts w:ascii="Times New Roman" w:hAnsi="Times New Roman" w:cs="Times New Roman"/>
          <w:sz w:val="24"/>
          <w:szCs w:val="24"/>
        </w:rPr>
      </w:pPr>
      <w:r w:rsidRPr="00110DC3">
        <w:rPr>
          <w:rFonts w:ascii="Times New Roman" w:hAnsi="Times New Roman" w:cs="Times New Roman"/>
          <w:sz w:val="24"/>
          <w:szCs w:val="24"/>
        </w:rPr>
        <w:t xml:space="preserve">The </w:t>
      </w:r>
      <w:r w:rsidR="00D425F3" w:rsidRPr="00110DC3">
        <w:rPr>
          <w:rFonts w:ascii="Times New Roman" w:hAnsi="Times New Roman" w:cs="Times New Roman"/>
          <w:sz w:val="24"/>
          <w:szCs w:val="24"/>
        </w:rPr>
        <w:t xml:space="preserve">applicant </w:t>
      </w:r>
      <w:r>
        <w:rPr>
          <w:rFonts w:ascii="Times New Roman" w:hAnsi="Times New Roman" w:cs="Times New Roman"/>
          <w:sz w:val="24"/>
          <w:szCs w:val="24"/>
        </w:rPr>
        <w:t>failed to</w:t>
      </w:r>
      <w:r w:rsidR="00D425F3" w:rsidRPr="00110DC3">
        <w:rPr>
          <w:rFonts w:ascii="Times New Roman" w:hAnsi="Times New Roman" w:cs="Times New Roman"/>
          <w:sz w:val="24"/>
          <w:szCs w:val="24"/>
        </w:rPr>
        <w:t xml:space="preserve"> attach </w:t>
      </w:r>
      <w:r>
        <w:rPr>
          <w:rFonts w:ascii="Times New Roman" w:hAnsi="Times New Roman" w:cs="Times New Roman"/>
          <w:sz w:val="24"/>
          <w:szCs w:val="24"/>
        </w:rPr>
        <w:t xml:space="preserve">or refer to relevant </w:t>
      </w:r>
      <w:r w:rsidR="00D425F3" w:rsidRPr="00110DC3">
        <w:rPr>
          <w:rFonts w:ascii="Times New Roman" w:hAnsi="Times New Roman" w:cs="Times New Roman"/>
          <w:sz w:val="24"/>
          <w:szCs w:val="24"/>
        </w:rPr>
        <w:t>pleading</w:t>
      </w:r>
      <w:r>
        <w:rPr>
          <w:rFonts w:ascii="Times New Roman" w:hAnsi="Times New Roman" w:cs="Times New Roman"/>
          <w:sz w:val="24"/>
          <w:szCs w:val="24"/>
        </w:rPr>
        <w:t>s</w:t>
      </w:r>
      <w:r w:rsidR="00D425F3" w:rsidRPr="00110DC3">
        <w:rPr>
          <w:rFonts w:ascii="Times New Roman" w:hAnsi="Times New Roman" w:cs="Times New Roman"/>
          <w:sz w:val="24"/>
          <w:szCs w:val="24"/>
        </w:rPr>
        <w:t xml:space="preserve"> and/or pre-trial papers in case No. HC 9631/16</w:t>
      </w:r>
      <w:r>
        <w:rPr>
          <w:rFonts w:ascii="Times New Roman" w:hAnsi="Times New Roman" w:cs="Times New Roman"/>
          <w:sz w:val="24"/>
          <w:szCs w:val="24"/>
        </w:rPr>
        <w:t xml:space="preserve"> to enable this Court to</w:t>
      </w:r>
      <w:r w:rsidRPr="00110DC3">
        <w:rPr>
          <w:rFonts w:ascii="Times New Roman" w:hAnsi="Times New Roman" w:cs="Times New Roman"/>
          <w:sz w:val="24"/>
          <w:szCs w:val="24"/>
        </w:rPr>
        <w:t xml:space="preserve"> appreciate</w:t>
      </w:r>
      <w:r w:rsidR="00D425F3" w:rsidRPr="00110DC3">
        <w:rPr>
          <w:rFonts w:ascii="Times New Roman" w:hAnsi="Times New Roman" w:cs="Times New Roman"/>
          <w:sz w:val="24"/>
          <w:szCs w:val="24"/>
        </w:rPr>
        <w:t xml:space="preserve"> what the issues are and whether the registration of bond No. 2163/2009 is </w:t>
      </w:r>
      <w:r>
        <w:rPr>
          <w:rFonts w:ascii="Times New Roman" w:hAnsi="Times New Roman" w:cs="Times New Roman"/>
          <w:sz w:val="24"/>
          <w:szCs w:val="24"/>
        </w:rPr>
        <w:t xml:space="preserve">of any </w:t>
      </w:r>
      <w:r w:rsidR="00D425F3" w:rsidRPr="00110DC3">
        <w:rPr>
          <w:rFonts w:ascii="Times New Roman" w:hAnsi="Times New Roman" w:cs="Times New Roman"/>
          <w:sz w:val="24"/>
          <w:szCs w:val="24"/>
        </w:rPr>
        <w:t>relevan</w:t>
      </w:r>
      <w:r>
        <w:rPr>
          <w:rFonts w:ascii="Times New Roman" w:hAnsi="Times New Roman" w:cs="Times New Roman"/>
          <w:sz w:val="24"/>
          <w:szCs w:val="24"/>
        </w:rPr>
        <w:t>ce</w:t>
      </w:r>
      <w:r w:rsidR="00D425F3" w:rsidRPr="00110DC3">
        <w:rPr>
          <w:rFonts w:ascii="Times New Roman" w:hAnsi="Times New Roman" w:cs="Times New Roman"/>
          <w:sz w:val="24"/>
          <w:szCs w:val="24"/>
        </w:rPr>
        <w:t xml:space="preserve"> to the determination of whether or not bond no. 4250/2011 is valid or regular.</w:t>
      </w:r>
    </w:p>
    <w:p w:rsidR="00110DC3" w:rsidRPr="00110DC3" w:rsidRDefault="00110DC3" w:rsidP="008C6398">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circumstances under which the respective bonds were registered are not disclosed.</w:t>
      </w:r>
    </w:p>
    <w:p w:rsidR="00D425F3" w:rsidRPr="00110DC3" w:rsidRDefault="00D425F3" w:rsidP="00F550AE">
      <w:pPr>
        <w:spacing w:after="0" w:line="360" w:lineRule="auto"/>
        <w:ind w:firstLine="720"/>
        <w:jc w:val="both"/>
        <w:rPr>
          <w:rFonts w:ascii="Times New Roman" w:hAnsi="Times New Roman" w:cs="Times New Roman"/>
          <w:sz w:val="24"/>
          <w:szCs w:val="24"/>
        </w:rPr>
      </w:pPr>
      <w:r w:rsidRPr="00110DC3">
        <w:rPr>
          <w:rFonts w:ascii="Times New Roman" w:hAnsi="Times New Roman" w:cs="Times New Roman"/>
          <w:sz w:val="24"/>
          <w:szCs w:val="24"/>
        </w:rPr>
        <w:t>It is trite that he who avers must prove</w:t>
      </w:r>
      <w:r w:rsidR="00110DC3">
        <w:rPr>
          <w:rFonts w:ascii="Times New Roman" w:hAnsi="Times New Roman" w:cs="Times New Roman"/>
          <w:sz w:val="24"/>
          <w:szCs w:val="24"/>
        </w:rPr>
        <w:t>. The Court</w:t>
      </w:r>
      <w:r w:rsidRPr="00110DC3">
        <w:rPr>
          <w:rFonts w:ascii="Times New Roman" w:hAnsi="Times New Roman" w:cs="Times New Roman"/>
          <w:sz w:val="24"/>
          <w:szCs w:val="24"/>
        </w:rPr>
        <w:t xml:space="preserve"> must be satisfied after reading applicant’s papers that the relief sought is merited. Sadly the applicant’s papers fall short.</w:t>
      </w:r>
    </w:p>
    <w:p w:rsidR="00D425F3" w:rsidRDefault="00D425F3" w:rsidP="00F550AE">
      <w:pPr>
        <w:spacing w:after="0" w:line="360" w:lineRule="auto"/>
        <w:ind w:firstLine="720"/>
        <w:jc w:val="both"/>
        <w:rPr>
          <w:rFonts w:ascii="Times New Roman" w:hAnsi="Times New Roman" w:cs="Times New Roman"/>
          <w:sz w:val="24"/>
          <w:szCs w:val="24"/>
        </w:rPr>
      </w:pPr>
      <w:r w:rsidRPr="00F550AE">
        <w:rPr>
          <w:rFonts w:ascii="Times New Roman" w:hAnsi="Times New Roman" w:cs="Times New Roman"/>
          <w:sz w:val="24"/>
          <w:szCs w:val="24"/>
        </w:rPr>
        <w:t xml:space="preserve">In </w:t>
      </w:r>
      <w:r w:rsidR="00B64BB4" w:rsidRPr="00F550AE">
        <w:rPr>
          <w:rFonts w:ascii="Times New Roman" w:hAnsi="Times New Roman" w:cs="Times New Roman"/>
          <w:sz w:val="24"/>
          <w:szCs w:val="24"/>
        </w:rPr>
        <w:t>oppos</w:t>
      </w:r>
      <w:r w:rsidR="00B64BB4">
        <w:rPr>
          <w:rFonts w:ascii="Times New Roman" w:hAnsi="Times New Roman" w:cs="Times New Roman"/>
          <w:sz w:val="24"/>
          <w:szCs w:val="24"/>
        </w:rPr>
        <w:t>ing</w:t>
      </w:r>
      <w:r w:rsidRPr="00F550AE">
        <w:rPr>
          <w:rFonts w:ascii="Times New Roman" w:hAnsi="Times New Roman" w:cs="Times New Roman"/>
          <w:sz w:val="24"/>
          <w:szCs w:val="24"/>
        </w:rPr>
        <w:t xml:space="preserve"> the application the first respondent </w:t>
      </w:r>
      <w:r w:rsidR="00F550AE">
        <w:rPr>
          <w:rFonts w:ascii="Times New Roman" w:hAnsi="Times New Roman" w:cs="Times New Roman"/>
          <w:sz w:val="24"/>
          <w:szCs w:val="24"/>
        </w:rPr>
        <w:t>volunteered the background to the dispute</w:t>
      </w:r>
      <w:r w:rsidR="00F550AE" w:rsidRPr="00F550AE">
        <w:rPr>
          <w:rFonts w:ascii="Times New Roman" w:hAnsi="Times New Roman" w:cs="Times New Roman"/>
          <w:sz w:val="24"/>
          <w:szCs w:val="24"/>
        </w:rPr>
        <w:t>.</w:t>
      </w:r>
      <w:r w:rsidR="00F550AE">
        <w:rPr>
          <w:rFonts w:ascii="Times New Roman" w:hAnsi="Times New Roman" w:cs="Times New Roman"/>
          <w:sz w:val="24"/>
          <w:szCs w:val="24"/>
        </w:rPr>
        <w:t xml:space="preserve"> He</w:t>
      </w:r>
      <w:r>
        <w:rPr>
          <w:rFonts w:ascii="Times New Roman" w:hAnsi="Times New Roman" w:cs="Times New Roman"/>
          <w:sz w:val="24"/>
          <w:szCs w:val="24"/>
        </w:rPr>
        <w:t xml:space="preserve"> gives the background to the registration of bond No. 4250/11 </w:t>
      </w:r>
      <w:r w:rsidR="00F550AE">
        <w:rPr>
          <w:rFonts w:ascii="Times New Roman" w:hAnsi="Times New Roman" w:cs="Times New Roman"/>
          <w:sz w:val="24"/>
          <w:szCs w:val="24"/>
        </w:rPr>
        <w:t>as being that:</w:t>
      </w:r>
    </w:p>
    <w:p w:rsidR="00D425F3" w:rsidRPr="00F550AE" w:rsidRDefault="00D425F3" w:rsidP="00F550AE">
      <w:pPr>
        <w:pStyle w:val="ListParagraph"/>
        <w:numPr>
          <w:ilvl w:val="0"/>
          <w:numId w:val="6"/>
        </w:numPr>
        <w:spacing w:after="0" w:line="360" w:lineRule="auto"/>
        <w:jc w:val="both"/>
        <w:rPr>
          <w:rFonts w:ascii="Times New Roman" w:hAnsi="Times New Roman" w:cs="Times New Roman"/>
          <w:sz w:val="24"/>
          <w:szCs w:val="24"/>
        </w:rPr>
      </w:pPr>
      <w:r w:rsidRPr="00F550AE">
        <w:rPr>
          <w:rFonts w:ascii="Times New Roman" w:hAnsi="Times New Roman" w:cs="Times New Roman"/>
          <w:sz w:val="24"/>
          <w:szCs w:val="24"/>
        </w:rPr>
        <w:t xml:space="preserve">He lend $110 000 to </w:t>
      </w:r>
      <w:r w:rsidR="00F550AE" w:rsidRPr="00F550AE">
        <w:rPr>
          <w:rFonts w:ascii="Times New Roman" w:hAnsi="Times New Roman" w:cs="Times New Roman"/>
          <w:sz w:val="24"/>
          <w:szCs w:val="24"/>
        </w:rPr>
        <w:t xml:space="preserve">a certain company known as </w:t>
      </w:r>
      <w:r w:rsidRPr="00F550AE">
        <w:rPr>
          <w:rFonts w:ascii="Times New Roman" w:hAnsi="Times New Roman" w:cs="Times New Roman"/>
          <w:sz w:val="24"/>
          <w:szCs w:val="24"/>
        </w:rPr>
        <w:t>Whitebedge Enterprises P/L</w:t>
      </w:r>
      <w:r w:rsidR="009F77D8">
        <w:rPr>
          <w:rFonts w:ascii="Times New Roman" w:hAnsi="Times New Roman" w:cs="Times New Roman"/>
          <w:sz w:val="24"/>
          <w:szCs w:val="24"/>
        </w:rPr>
        <w:t>( Whitebedge)</w:t>
      </w:r>
    </w:p>
    <w:p w:rsidR="009F77D8" w:rsidRDefault="009F77D8" w:rsidP="00F550AE">
      <w:pPr>
        <w:pStyle w:val="ListParagraph"/>
        <w:numPr>
          <w:ilvl w:val="0"/>
          <w:numId w:val="6"/>
        </w:numPr>
        <w:spacing w:after="0" w:line="360" w:lineRule="auto"/>
        <w:jc w:val="both"/>
        <w:rPr>
          <w:rFonts w:ascii="Times New Roman" w:hAnsi="Times New Roman" w:cs="Times New Roman"/>
          <w:sz w:val="24"/>
          <w:szCs w:val="24"/>
        </w:rPr>
      </w:pPr>
      <w:r w:rsidRPr="009F77D8">
        <w:rPr>
          <w:rFonts w:ascii="Times New Roman" w:hAnsi="Times New Roman" w:cs="Times New Roman"/>
          <w:sz w:val="24"/>
          <w:szCs w:val="24"/>
        </w:rPr>
        <w:t>He advanced the loan to enable</w:t>
      </w:r>
      <w:r>
        <w:rPr>
          <w:rFonts w:ascii="Times New Roman" w:hAnsi="Times New Roman" w:cs="Times New Roman"/>
          <w:sz w:val="24"/>
          <w:szCs w:val="24"/>
        </w:rPr>
        <w:t xml:space="preserve"> Wh</w:t>
      </w:r>
      <w:r w:rsidR="00F550AE" w:rsidRPr="009F77D8">
        <w:rPr>
          <w:rFonts w:ascii="Times New Roman" w:hAnsi="Times New Roman" w:cs="Times New Roman"/>
          <w:sz w:val="24"/>
          <w:szCs w:val="24"/>
        </w:rPr>
        <w:t xml:space="preserve">itebedge to repay an </w:t>
      </w:r>
      <w:r>
        <w:rPr>
          <w:rFonts w:ascii="Times New Roman" w:hAnsi="Times New Roman" w:cs="Times New Roman"/>
          <w:sz w:val="24"/>
          <w:szCs w:val="24"/>
        </w:rPr>
        <w:t>lo</w:t>
      </w:r>
      <w:r w:rsidR="00F550AE" w:rsidRPr="009F77D8">
        <w:rPr>
          <w:rFonts w:ascii="Times New Roman" w:hAnsi="Times New Roman" w:cs="Times New Roman"/>
          <w:sz w:val="24"/>
          <w:szCs w:val="24"/>
        </w:rPr>
        <w:t xml:space="preserve">an </w:t>
      </w:r>
      <w:r>
        <w:rPr>
          <w:rFonts w:ascii="Times New Roman" w:hAnsi="Times New Roman" w:cs="Times New Roman"/>
          <w:sz w:val="24"/>
          <w:szCs w:val="24"/>
        </w:rPr>
        <w:t>owed t</w:t>
      </w:r>
      <w:r w:rsidR="00F550AE" w:rsidRPr="009F77D8">
        <w:rPr>
          <w:rFonts w:ascii="Times New Roman" w:hAnsi="Times New Roman" w:cs="Times New Roman"/>
          <w:sz w:val="24"/>
          <w:szCs w:val="24"/>
        </w:rPr>
        <w:t xml:space="preserve">o MBCA Bank </w:t>
      </w:r>
      <w:r>
        <w:rPr>
          <w:rFonts w:ascii="Times New Roman" w:hAnsi="Times New Roman" w:cs="Times New Roman"/>
          <w:sz w:val="24"/>
          <w:szCs w:val="24"/>
        </w:rPr>
        <w:t>which had become overdue.</w:t>
      </w:r>
    </w:p>
    <w:p w:rsidR="00F550AE" w:rsidRPr="009F77D8" w:rsidRDefault="009F77D8" w:rsidP="00F550A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had stood as stood</w:t>
      </w:r>
      <w:r w:rsidR="00F550AE" w:rsidRPr="009F77D8">
        <w:rPr>
          <w:rFonts w:ascii="Times New Roman" w:hAnsi="Times New Roman" w:cs="Times New Roman"/>
          <w:sz w:val="24"/>
          <w:szCs w:val="24"/>
        </w:rPr>
        <w:t xml:space="preserve"> surety and co-principal debtor</w:t>
      </w:r>
      <w:r>
        <w:rPr>
          <w:rFonts w:ascii="Times New Roman" w:hAnsi="Times New Roman" w:cs="Times New Roman"/>
          <w:sz w:val="24"/>
          <w:szCs w:val="24"/>
        </w:rPr>
        <w:t xml:space="preserve"> for the loan owed to the MBCA bank</w:t>
      </w:r>
      <w:r w:rsidR="00F550AE" w:rsidRPr="009F77D8">
        <w:rPr>
          <w:rFonts w:ascii="Times New Roman" w:hAnsi="Times New Roman" w:cs="Times New Roman"/>
          <w:sz w:val="24"/>
          <w:szCs w:val="24"/>
        </w:rPr>
        <w:t>.</w:t>
      </w:r>
    </w:p>
    <w:p w:rsidR="009F77D8" w:rsidRDefault="00481DA1" w:rsidP="00F550A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Accordingly when first </w:t>
      </w:r>
      <w:r w:rsidR="009F77D8">
        <w:rPr>
          <w:rFonts w:ascii="Times New Roman" w:hAnsi="Times New Roman" w:cs="Times New Roman"/>
          <w:sz w:val="24"/>
          <w:szCs w:val="24"/>
        </w:rPr>
        <w:t>respondent advanced a loan to the Whitebedge, applicant provided the necessary security for the repayment of the loan.</w:t>
      </w:r>
    </w:p>
    <w:p w:rsidR="009F77D8" w:rsidRDefault="009F77D8" w:rsidP="00F550A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is how </w:t>
      </w:r>
      <w:r w:rsidRPr="00F550AE">
        <w:rPr>
          <w:rFonts w:ascii="Times New Roman" w:hAnsi="Times New Roman" w:cs="Times New Roman"/>
          <w:sz w:val="24"/>
          <w:szCs w:val="24"/>
        </w:rPr>
        <w:t xml:space="preserve">surety bond no. 4250/11 </w:t>
      </w:r>
      <w:r>
        <w:rPr>
          <w:rFonts w:ascii="Times New Roman" w:hAnsi="Times New Roman" w:cs="Times New Roman"/>
          <w:sz w:val="24"/>
          <w:szCs w:val="24"/>
        </w:rPr>
        <w:t>was registered against applicant’s property.</w:t>
      </w:r>
    </w:p>
    <w:p w:rsidR="00D425F3" w:rsidRPr="00F550AE" w:rsidRDefault="009F77D8" w:rsidP="00F550AE">
      <w:pPr>
        <w:pStyle w:val="ListParagraph"/>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other words, </w:t>
      </w:r>
      <w:r w:rsidR="00D425F3" w:rsidRPr="00F550AE">
        <w:rPr>
          <w:rFonts w:ascii="Times New Roman" w:hAnsi="Times New Roman" w:cs="Times New Roman"/>
          <w:sz w:val="24"/>
          <w:szCs w:val="24"/>
        </w:rPr>
        <w:t xml:space="preserve">applicant </w:t>
      </w:r>
      <w:r w:rsidR="00F550AE">
        <w:rPr>
          <w:rFonts w:ascii="Times New Roman" w:hAnsi="Times New Roman" w:cs="Times New Roman"/>
          <w:sz w:val="24"/>
          <w:szCs w:val="24"/>
        </w:rPr>
        <w:t>stoo</w:t>
      </w:r>
      <w:r w:rsidR="00D425F3" w:rsidRPr="00F550AE">
        <w:rPr>
          <w:rFonts w:ascii="Times New Roman" w:hAnsi="Times New Roman" w:cs="Times New Roman"/>
          <w:sz w:val="24"/>
          <w:szCs w:val="24"/>
        </w:rPr>
        <w:t xml:space="preserve">d as surety and co-principal debtor </w:t>
      </w:r>
      <w:r>
        <w:rPr>
          <w:rFonts w:ascii="Times New Roman" w:hAnsi="Times New Roman" w:cs="Times New Roman"/>
          <w:sz w:val="24"/>
          <w:szCs w:val="24"/>
        </w:rPr>
        <w:t xml:space="preserve">for the repayment of the loan advance to Whitebedge, </w:t>
      </w:r>
      <w:r w:rsidR="00D425F3" w:rsidRPr="00F550AE">
        <w:rPr>
          <w:rFonts w:ascii="Times New Roman" w:hAnsi="Times New Roman" w:cs="Times New Roman"/>
          <w:sz w:val="24"/>
          <w:szCs w:val="24"/>
        </w:rPr>
        <w:t>hence the registration of the bond.</w:t>
      </w:r>
    </w:p>
    <w:p w:rsidR="00D425F3" w:rsidRPr="00F550AE" w:rsidRDefault="00D425F3" w:rsidP="00F550AE">
      <w:pPr>
        <w:pStyle w:val="ListParagraph"/>
        <w:numPr>
          <w:ilvl w:val="0"/>
          <w:numId w:val="6"/>
        </w:numPr>
        <w:spacing w:after="0" w:line="360" w:lineRule="auto"/>
        <w:jc w:val="both"/>
        <w:rPr>
          <w:rFonts w:ascii="Times New Roman" w:hAnsi="Times New Roman" w:cs="Times New Roman"/>
          <w:sz w:val="24"/>
          <w:szCs w:val="24"/>
        </w:rPr>
      </w:pPr>
      <w:r w:rsidRPr="00F550AE">
        <w:rPr>
          <w:rFonts w:ascii="Times New Roman" w:hAnsi="Times New Roman" w:cs="Times New Roman"/>
          <w:sz w:val="24"/>
          <w:szCs w:val="24"/>
        </w:rPr>
        <w:t xml:space="preserve">When applicant sued for the cancellation of surety bond no. 4250/11 he defended </w:t>
      </w:r>
      <w:r w:rsidR="00F550AE" w:rsidRPr="00F550AE">
        <w:rPr>
          <w:rFonts w:ascii="Times New Roman" w:hAnsi="Times New Roman" w:cs="Times New Roman"/>
          <w:sz w:val="24"/>
          <w:szCs w:val="24"/>
        </w:rPr>
        <w:t xml:space="preserve">the matter and counterclaimed for the payment </w:t>
      </w:r>
      <w:r w:rsidR="00F550AE">
        <w:rPr>
          <w:rFonts w:ascii="Times New Roman" w:hAnsi="Times New Roman" w:cs="Times New Roman"/>
          <w:sz w:val="24"/>
          <w:szCs w:val="24"/>
        </w:rPr>
        <w:t>o</w:t>
      </w:r>
      <w:r w:rsidRPr="00F550AE">
        <w:rPr>
          <w:rFonts w:ascii="Times New Roman" w:hAnsi="Times New Roman" w:cs="Times New Roman"/>
          <w:sz w:val="24"/>
          <w:szCs w:val="24"/>
        </w:rPr>
        <w:t>f the sum of $110 000 for which the applicant stood as surety and co-principal debtor.</w:t>
      </w:r>
    </w:p>
    <w:p w:rsidR="001F4EBE" w:rsidRDefault="00266612" w:rsidP="009F77D8">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The rules of this Court provide for amendment of pleadings and matters arising pending action.</w:t>
      </w:r>
      <w:r>
        <w:rPr>
          <w:rStyle w:val="FootnoteReference"/>
          <w:rFonts w:ascii="Times New Roman" w:hAnsi="Times New Roman" w:cs="Times New Roman"/>
          <w:sz w:val="24"/>
          <w:szCs w:val="24"/>
        </w:rPr>
        <w:footnoteReference w:id="1"/>
      </w:r>
      <w:r w:rsidR="009F77D8">
        <w:rPr>
          <w:rFonts w:ascii="Times New Roman" w:hAnsi="Times New Roman" w:cs="Times New Roman"/>
          <w:sz w:val="24"/>
          <w:szCs w:val="24"/>
        </w:rPr>
        <w:t xml:space="preserve">Order </w:t>
      </w:r>
      <w:r>
        <w:rPr>
          <w:rFonts w:ascii="Times New Roman" w:hAnsi="Times New Roman" w:cs="Times New Roman"/>
          <w:sz w:val="24"/>
          <w:szCs w:val="24"/>
        </w:rPr>
        <w:t>20</w:t>
      </w:r>
      <w:r w:rsidR="0025155A">
        <w:rPr>
          <w:rFonts w:ascii="Times New Roman" w:hAnsi="Times New Roman" w:cs="Times New Roman"/>
          <w:sz w:val="24"/>
          <w:szCs w:val="24"/>
        </w:rPr>
        <w:t xml:space="preserve"> </w:t>
      </w:r>
      <w:r w:rsidR="001F4EBE">
        <w:rPr>
          <w:rFonts w:ascii="Times New Roman" w:hAnsi="Times New Roman" w:cs="Times New Roman"/>
          <w:sz w:val="24"/>
          <w:szCs w:val="24"/>
        </w:rPr>
        <w:t>The rules provides as follows</w:t>
      </w:r>
      <w:r w:rsidR="00D425F3">
        <w:rPr>
          <w:rFonts w:ascii="Times New Roman" w:hAnsi="Times New Roman" w:cs="Times New Roman"/>
          <w:sz w:val="24"/>
          <w:szCs w:val="24"/>
        </w:rPr>
        <w:t>:</w:t>
      </w:r>
    </w:p>
    <w:p w:rsidR="001F4EBE" w:rsidRDefault="00266612" w:rsidP="001F4EBE">
      <w:pPr>
        <w:spacing w:after="0" w:line="240" w:lineRule="auto"/>
        <w:ind w:left="720"/>
        <w:jc w:val="both"/>
        <w:rPr>
          <w:rFonts w:ascii="Times New Roman" w:hAnsi="Times New Roman" w:cs="Times New Roman"/>
        </w:rPr>
      </w:pPr>
      <w:r>
        <w:rPr>
          <w:rFonts w:ascii="Times New Roman" w:hAnsi="Times New Roman" w:cs="Times New Roman"/>
        </w:rPr>
        <w:t xml:space="preserve">“Subject </w:t>
      </w:r>
      <w:r w:rsidR="001F4EBE">
        <w:rPr>
          <w:rFonts w:ascii="Times New Roman" w:hAnsi="Times New Roman" w:cs="Times New Roman"/>
        </w:rPr>
        <w:t>to 134 and 151</w:t>
      </w:r>
      <w:r>
        <w:rPr>
          <w:rFonts w:ascii="Times New Roman" w:hAnsi="Times New Roman" w:cs="Times New Roman"/>
        </w:rPr>
        <w:t>,</w:t>
      </w:r>
      <w:r w:rsidR="001F4EBE">
        <w:rPr>
          <w:rFonts w:ascii="Times New Roman" w:hAnsi="Times New Roman" w:cs="Times New Roman"/>
        </w:rPr>
        <w:t xml:space="preserve"> failing consent by all parties, the court or a judge may, allow either party to alter or amend pleadings, in such a manner and on such terms as may be just and all such amendments shall be made as may be necessary for the purpose of determining the real question in controversy between the parties.”</w:t>
      </w:r>
      <w:r>
        <w:rPr>
          <w:rStyle w:val="FootnoteReference"/>
          <w:rFonts w:ascii="Times New Roman" w:hAnsi="Times New Roman" w:cs="Times New Roman"/>
        </w:rPr>
        <w:footnoteReference w:id="2"/>
      </w:r>
    </w:p>
    <w:p w:rsidR="001F4EBE" w:rsidRDefault="001F4EBE" w:rsidP="001F4EBE">
      <w:pPr>
        <w:spacing w:after="0" w:line="240" w:lineRule="auto"/>
        <w:ind w:left="720"/>
        <w:jc w:val="both"/>
        <w:rPr>
          <w:rFonts w:ascii="Times New Roman" w:hAnsi="Times New Roman" w:cs="Times New Roman"/>
        </w:rPr>
      </w:pPr>
    </w:p>
    <w:p w:rsidR="001F4EBE" w:rsidRDefault="001F4EBE" w:rsidP="002515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My understanding is that </w:t>
      </w:r>
      <w:r w:rsidR="00266612">
        <w:rPr>
          <w:rFonts w:ascii="Times New Roman" w:hAnsi="Times New Roman" w:cs="Times New Roman"/>
          <w:sz w:val="24"/>
          <w:szCs w:val="24"/>
        </w:rPr>
        <w:t>a</w:t>
      </w:r>
      <w:r>
        <w:rPr>
          <w:rFonts w:ascii="Times New Roman" w:hAnsi="Times New Roman" w:cs="Times New Roman"/>
          <w:sz w:val="24"/>
          <w:szCs w:val="24"/>
        </w:rPr>
        <w:t xml:space="preserve"> court can only allow a </w:t>
      </w:r>
      <w:r w:rsidR="00266612">
        <w:rPr>
          <w:rFonts w:ascii="Times New Roman" w:hAnsi="Times New Roman" w:cs="Times New Roman"/>
          <w:sz w:val="24"/>
          <w:szCs w:val="24"/>
        </w:rPr>
        <w:t>p</w:t>
      </w:r>
      <w:r>
        <w:rPr>
          <w:rFonts w:ascii="Times New Roman" w:hAnsi="Times New Roman" w:cs="Times New Roman"/>
          <w:sz w:val="24"/>
          <w:szCs w:val="24"/>
        </w:rPr>
        <w:t>arty</w:t>
      </w:r>
      <w:r w:rsidR="00D425F3">
        <w:rPr>
          <w:rFonts w:ascii="Times New Roman" w:hAnsi="Times New Roman" w:cs="Times New Roman"/>
          <w:sz w:val="24"/>
          <w:szCs w:val="24"/>
        </w:rPr>
        <w:t xml:space="preserve"> </w:t>
      </w:r>
      <w:r>
        <w:rPr>
          <w:rFonts w:ascii="Times New Roman" w:hAnsi="Times New Roman" w:cs="Times New Roman"/>
          <w:sz w:val="24"/>
          <w:szCs w:val="24"/>
        </w:rPr>
        <w:t>to amend</w:t>
      </w:r>
      <w:r w:rsidR="00266612">
        <w:rPr>
          <w:rFonts w:ascii="Times New Roman" w:hAnsi="Times New Roman" w:cs="Times New Roman"/>
          <w:sz w:val="24"/>
          <w:szCs w:val="24"/>
        </w:rPr>
        <w:t xml:space="preserve"> pleadings</w:t>
      </w:r>
      <w:r>
        <w:rPr>
          <w:rFonts w:ascii="Times New Roman" w:hAnsi="Times New Roman" w:cs="Times New Roman"/>
          <w:sz w:val="24"/>
          <w:szCs w:val="24"/>
        </w:rPr>
        <w:t xml:space="preserve"> if the amendment sought is necessary for the purpose of determining the real question in controversy.</w:t>
      </w:r>
      <w:r w:rsidR="00266612">
        <w:rPr>
          <w:rFonts w:ascii="Times New Roman" w:hAnsi="Times New Roman" w:cs="Times New Roman"/>
          <w:sz w:val="24"/>
          <w:szCs w:val="24"/>
        </w:rPr>
        <w:t xml:space="preserve"> </w:t>
      </w:r>
      <w:r>
        <w:rPr>
          <w:rFonts w:ascii="Times New Roman" w:hAnsi="Times New Roman" w:cs="Times New Roman"/>
          <w:sz w:val="24"/>
          <w:szCs w:val="24"/>
        </w:rPr>
        <w:t xml:space="preserve">The registration of bond No. 4250/11 is a juridical act </w:t>
      </w:r>
      <w:r w:rsidR="00E92899">
        <w:rPr>
          <w:rFonts w:ascii="Times New Roman" w:hAnsi="Times New Roman" w:cs="Times New Roman"/>
          <w:sz w:val="24"/>
          <w:szCs w:val="24"/>
        </w:rPr>
        <w:t>separate and distinct from the earlier</w:t>
      </w:r>
      <w:r>
        <w:rPr>
          <w:rFonts w:ascii="Times New Roman" w:hAnsi="Times New Roman" w:cs="Times New Roman"/>
          <w:sz w:val="24"/>
          <w:szCs w:val="24"/>
        </w:rPr>
        <w:t xml:space="preserve"> registration of </w:t>
      </w:r>
      <w:r w:rsidR="00E92899">
        <w:rPr>
          <w:rFonts w:ascii="Times New Roman" w:hAnsi="Times New Roman" w:cs="Times New Roman"/>
          <w:sz w:val="24"/>
          <w:szCs w:val="24"/>
        </w:rPr>
        <w:t>bond 2163/</w:t>
      </w:r>
      <w:r>
        <w:rPr>
          <w:rFonts w:ascii="Times New Roman" w:hAnsi="Times New Roman" w:cs="Times New Roman"/>
          <w:sz w:val="24"/>
          <w:szCs w:val="24"/>
        </w:rPr>
        <w:t>2009.</w:t>
      </w:r>
      <w:r w:rsidR="00E92899">
        <w:rPr>
          <w:rFonts w:ascii="Times New Roman" w:hAnsi="Times New Roman" w:cs="Times New Roman"/>
          <w:sz w:val="24"/>
          <w:szCs w:val="24"/>
        </w:rPr>
        <w:t xml:space="preserve"> There is no connection emerging in</w:t>
      </w:r>
      <w:r>
        <w:rPr>
          <w:rFonts w:ascii="Times New Roman" w:hAnsi="Times New Roman" w:cs="Times New Roman"/>
          <w:sz w:val="24"/>
          <w:szCs w:val="24"/>
        </w:rPr>
        <w:t xml:space="preserve"> applicant</w:t>
      </w:r>
      <w:r w:rsidR="00E92899">
        <w:rPr>
          <w:rFonts w:ascii="Times New Roman" w:hAnsi="Times New Roman" w:cs="Times New Roman"/>
          <w:sz w:val="24"/>
          <w:szCs w:val="24"/>
        </w:rPr>
        <w:t>’</w:t>
      </w:r>
      <w:r>
        <w:rPr>
          <w:rFonts w:ascii="Times New Roman" w:hAnsi="Times New Roman" w:cs="Times New Roman"/>
          <w:sz w:val="24"/>
          <w:szCs w:val="24"/>
        </w:rPr>
        <w:t>s papers.</w:t>
      </w:r>
      <w:r w:rsidR="00E92899">
        <w:rPr>
          <w:rFonts w:ascii="Times New Roman" w:hAnsi="Times New Roman" w:cs="Times New Roman"/>
          <w:sz w:val="24"/>
          <w:szCs w:val="24"/>
        </w:rPr>
        <w:t xml:space="preserve"> </w:t>
      </w:r>
      <w:r>
        <w:rPr>
          <w:rFonts w:ascii="Times New Roman" w:hAnsi="Times New Roman" w:cs="Times New Roman"/>
          <w:sz w:val="24"/>
          <w:szCs w:val="24"/>
        </w:rPr>
        <w:t>Rule 132 is subject to r 134</w:t>
      </w:r>
    </w:p>
    <w:p w:rsidR="001F4EBE" w:rsidRDefault="001F4EBE" w:rsidP="008602C0">
      <w:pPr>
        <w:spacing w:after="0" w:line="240" w:lineRule="auto"/>
        <w:ind w:left="720"/>
        <w:jc w:val="both"/>
        <w:rPr>
          <w:rFonts w:ascii="Times New Roman" w:hAnsi="Times New Roman" w:cs="Times New Roman"/>
        </w:rPr>
      </w:pPr>
      <w:r>
        <w:rPr>
          <w:rFonts w:ascii="Times New Roman" w:hAnsi="Times New Roman" w:cs="Times New Roman"/>
        </w:rPr>
        <w:t>“</w:t>
      </w:r>
      <w:r w:rsidRPr="00E92899">
        <w:rPr>
          <w:rFonts w:ascii="Times New Roman" w:hAnsi="Times New Roman" w:cs="Times New Roman"/>
          <w:b/>
        </w:rPr>
        <w:t xml:space="preserve">Amendment of summons </w:t>
      </w:r>
      <w:r w:rsidR="008602C0">
        <w:rPr>
          <w:rFonts w:ascii="Times New Roman" w:hAnsi="Times New Roman" w:cs="Times New Roman"/>
          <w:b/>
        </w:rPr>
        <w:t>or</w:t>
      </w:r>
      <w:r w:rsidRPr="00E92899">
        <w:rPr>
          <w:rFonts w:ascii="Times New Roman" w:hAnsi="Times New Roman" w:cs="Times New Roman"/>
          <w:b/>
        </w:rPr>
        <w:t xml:space="preserve"> declaration</w:t>
      </w:r>
      <w:r w:rsidR="008602C0">
        <w:rPr>
          <w:rFonts w:ascii="Times New Roman" w:hAnsi="Times New Roman" w:cs="Times New Roman"/>
          <w:b/>
        </w:rPr>
        <w:t>:</w:t>
      </w:r>
      <w:r w:rsidRPr="00E92899">
        <w:rPr>
          <w:rFonts w:ascii="Times New Roman" w:hAnsi="Times New Roman" w:cs="Times New Roman"/>
          <w:b/>
        </w:rPr>
        <w:t xml:space="preserve"> cause of action arising after issue of summons.</w:t>
      </w:r>
    </w:p>
    <w:p w:rsidR="001F4EBE" w:rsidRDefault="001F4EBE" w:rsidP="001F4EBE">
      <w:pPr>
        <w:spacing w:after="0" w:line="240" w:lineRule="auto"/>
        <w:jc w:val="both"/>
        <w:rPr>
          <w:rFonts w:ascii="Times New Roman" w:hAnsi="Times New Roman" w:cs="Times New Roman"/>
        </w:rPr>
      </w:pPr>
    </w:p>
    <w:p w:rsidR="001F4EBE" w:rsidRDefault="001F4EBE" w:rsidP="001F4EBE">
      <w:pPr>
        <w:spacing w:after="0" w:line="240" w:lineRule="auto"/>
        <w:ind w:left="720"/>
        <w:jc w:val="both"/>
        <w:rPr>
          <w:rFonts w:ascii="Times New Roman" w:hAnsi="Times New Roman" w:cs="Times New Roman"/>
        </w:rPr>
      </w:pPr>
      <w:r>
        <w:rPr>
          <w:rFonts w:ascii="Times New Roman" w:hAnsi="Times New Roman" w:cs="Times New Roman"/>
        </w:rPr>
        <w:t>A summons or declaration may with the leave of the court or a judge be amended to substitute or to include a cause of action arising after the issue of the summons.</w:t>
      </w:r>
    </w:p>
    <w:p w:rsidR="001F4EBE" w:rsidRDefault="001F4EBE" w:rsidP="001F4EBE">
      <w:pPr>
        <w:spacing w:after="0" w:line="240" w:lineRule="auto"/>
        <w:ind w:left="720"/>
        <w:jc w:val="both"/>
        <w:rPr>
          <w:rFonts w:ascii="Times New Roman" w:hAnsi="Times New Roman" w:cs="Times New Roman"/>
        </w:rPr>
      </w:pPr>
    </w:p>
    <w:p w:rsidR="001F4EBE" w:rsidRDefault="001F4EBE" w:rsidP="001F4EBE">
      <w:pPr>
        <w:spacing w:after="0" w:line="240" w:lineRule="auto"/>
        <w:ind w:left="720"/>
        <w:jc w:val="both"/>
        <w:rPr>
          <w:rFonts w:ascii="Times New Roman" w:hAnsi="Times New Roman" w:cs="Times New Roman"/>
        </w:rPr>
      </w:pPr>
      <w:r>
        <w:rPr>
          <w:rFonts w:ascii="Times New Roman" w:hAnsi="Times New Roman" w:cs="Times New Roman"/>
        </w:rPr>
        <w:t xml:space="preserve">Provided that in the opinion of the court or a judge such an amendment does not change the action into or add to it, an action of a substantially different character which would …….. </w:t>
      </w:r>
      <w:r w:rsidR="00C57041">
        <w:rPr>
          <w:rFonts w:ascii="Times New Roman" w:hAnsi="Times New Roman" w:cs="Times New Roman"/>
        </w:rPr>
        <w:t xml:space="preserve">conveniently </w:t>
      </w:r>
      <w:r>
        <w:rPr>
          <w:rFonts w:ascii="Times New Roman" w:hAnsi="Times New Roman" w:cs="Times New Roman"/>
        </w:rPr>
        <w:t>be the subject of a fresh action.”</w:t>
      </w:r>
      <w:r w:rsidR="00E92899">
        <w:rPr>
          <w:rStyle w:val="FootnoteReference"/>
          <w:rFonts w:ascii="Times New Roman" w:hAnsi="Times New Roman" w:cs="Times New Roman"/>
        </w:rPr>
        <w:footnoteReference w:id="3"/>
      </w:r>
    </w:p>
    <w:p w:rsidR="001F4EBE" w:rsidRDefault="001F4EBE" w:rsidP="001F4EBE">
      <w:pPr>
        <w:spacing w:after="0" w:line="240" w:lineRule="auto"/>
        <w:ind w:left="720"/>
        <w:jc w:val="both"/>
        <w:rPr>
          <w:rFonts w:ascii="Times New Roman" w:hAnsi="Times New Roman" w:cs="Times New Roman"/>
        </w:rPr>
      </w:pPr>
    </w:p>
    <w:p w:rsidR="001F4EBE" w:rsidRDefault="00E92899" w:rsidP="002515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Any</w:t>
      </w:r>
      <w:r w:rsidR="001F4EBE">
        <w:rPr>
          <w:rFonts w:ascii="Times New Roman" w:hAnsi="Times New Roman" w:cs="Times New Roman"/>
          <w:sz w:val="24"/>
          <w:szCs w:val="24"/>
        </w:rPr>
        <w:t xml:space="preserve"> alleged irregularity or invalidity in the registration of bond 2163/09 </w:t>
      </w:r>
      <w:r>
        <w:rPr>
          <w:rFonts w:ascii="Times New Roman" w:hAnsi="Times New Roman" w:cs="Times New Roman"/>
          <w:sz w:val="24"/>
          <w:szCs w:val="24"/>
        </w:rPr>
        <w:t>would not be an occurrence s</w:t>
      </w:r>
      <w:r w:rsidR="001F4EBE">
        <w:rPr>
          <w:rFonts w:ascii="Times New Roman" w:hAnsi="Times New Roman" w:cs="Times New Roman"/>
          <w:sz w:val="24"/>
          <w:szCs w:val="24"/>
        </w:rPr>
        <w:t>ubsequent to the summons in case No. HC 9631/16.</w:t>
      </w:r>
      <w:r>
        <w:rPr>
          <w:rFonts w:ascii="Times New Roman" w:hAnsi="Times New Roman" w:cs="Times New Roman"/>
          <w:sz w:val="24"/>
          <w:szCs w:val="24"/>
        </w:rPr>
        <w:t xml:space="preserve"> While t</w:t>
      </w:r>
      <w:r w:rsidR="001F4EBE">
        <w:rPr>
          <w:rFonts w:ascii="Times New Roman" w:hAnsi="Times New Roman" w:cs="Times New Roman"/>
          <w:sz w:val="24"/>
          <w:szCs w:val="24"/>
        </w:rPr>
        <w:t xml:space="preserve">he applicant </w:t>
      </w:r>
      <w:r w:rsidR="001F4EBE">
        <w:rPr>
          <w:rFonts w:ascii="Times New Roman" w:hAnsi="Times New Roman" w:cs="Times New Roman"/>
          <w:sz w:val="24"/>
          <w:szCs w:val="24"/>
        </w:rPr>
        <w:lastRenderedPageBreak/>
        <w:t>suggests that the invalidity or irregularity was discovered following an audit</w:t>
      </w:r>
      <w:r>
        <w:rPr>
          <w:rFonts w:ascii="Times New Roman" w:hAnsi="Times New Roman" w:cs="Times New Roman"/>
          <w:sz w:val="24"/>
          <w:szCs w:val="24"/>
        </w:rPr>
        <w:t>, t</w:t>
      </w:r>
      <w:r w:rsidR="001F4EBE">
        <w:rPr>
          <w:rFonts w:ascii="Times New Roman" w:hAnsi="Times New Roman" w:cs="Times New Roman"/>
          <w:sz w:val="24"/>
          <w:szCs w:val="24"/>
        </w:rPr>
        <w:t xml:space="preserve">he date of the audit is not stated. Actually according to the </w:t>
      </w:r>
      <w:r w:rsidR="00C57041">
        <w:rPr>
          <w:rFonts w:ascii="Times New Roman" w:hAnsi="Times New Roman" w:cs="Times New Roman"/>
          <w:sz w:val="24"/>
          <w:szCs w:val="24"/>
        </w:rPr>
        <w:t xml:space="preserve">evidence </w:t>
      </w:r>
      <w:r w:rsidR="001F4EBE">
        <w:rPr>
          <w:rFonts w:ascii="Times New Roman" w:hAnsi="Times New Roman" w:cs="Times New Roman"/>
          <w:sz w:val="24"/>
          <w:szCs w:val="24"/>
        </w:rPr>
        <w:t>submitted by first respondent in</w:t>
      </w:r>
      <w:r w:rsidR="003042B0">
        <w:rPr>
          <w:rFonts w:ascii="Times New Roman" w:hAnsi="Times New Roman" w:cs="Times New Roman"/>
          <w:sz w:val="24"/>
          <w:szCs w:val="24"/>
        </w:rPr>
        <w:t xml:space="preserve"> his opposing affidavit </w:t>
      </w:r>
      <w:r w:rsidR="001F4EBE">
        <w:rPr>
          <w:rFonts w:ascii="Times New Roman" w:hAnsi="Times New Roman" w:cs="Times New Roman"/>
          <w:sz w:val="24"/>
          <w:szCs w:val="24"/>
        </w:rPr>
        <w:t>evidence the alleged audit was prior to the summons.</w:t>
      </w:r>
    </w:p>
    <w:p w:rsidR="001F4EBE" w:rsidRDefault="001F4EBE" w:rsidP="001F4E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any event the juridical acts giving rise to the two bonds are separate and distinct can best </w:t>
      </w:r>
      <w:r w:rsidR="008602C0">
        <w:rPr>
          <w:rFonts w:ascii="Times New Roman" w:hAnsi="Times New Roman" w:cs="Times New Roman"/>
          <w:sz w:val="24"/>
          <w:szCs w:val="24"/>
        </w:rPr>
        <w:t xml:space="preserve">be </w:t>
      </w:r>
      <w:r>
        <w:rPr>
          <w:rFonts w:ascii="Times New Roman" w:hAnsi="Times New Roman" w:cs="Times New Roman"/>
          <w:sz w:val="24"/>
          <w:szCs w:val="24"/>
        </w:rPr>
        <w:t>dealt with separately as separate actions</w:t>
      </w:r>
      <w:r w:rsidR="00A17309">
        <w:rPr>
          <w:rFonts w:ascii="Times New Roman" w:hAnsi="Times New Roman" w:cs="Times New Roman"/>
          <w:sz w:val="24"/>
          <w:szCs w:val="24"/>
        </w:rPr>
        <w:t xml:space="preserve"> and </w:t>
      </w:r>
      <w:r>
        <w:rPr>
          <w:rFonts w:ascii="Times New Roman" w:hAnsi="Times New Roman" w:cs="Times New Roman"/>
          <w:sz w:val="24"/>
          <w:szCs w:val="24"/>
        </w:rPr>
        <w:t xml:space="preserve">there is no basis for </w:t>
      </w:r>
      <w:r w:rsidR="00FF5716">
        <w:rPr>
          <w:rFonts w:ascii="Times New Roman" w:hAnsi="Times New Roman" w:cs="Times New Roman"/>
          <w:sz w:val="24"/>
          <w:szCs w:val="24"/>
        </w:rPr>
        <w:t>confl</w:t>
      </w:r>
      <w:r w:rsidR="00A17309">
        <w:rPr>
          <w:rFonts w:ascii="Times New Roman" w:hAnsi="Times New Roman" w:cs="Times New Roman"/>
          <w:sz w:val="24"/>
          <w:szCs w:val="24"/>
        </w:rPr>
        <w:t>ating</w:t>
      </w:r>
      <w:r>
        <w:rPr>
          <w:rFonts w:ascii="Times New Roman" w:hAnsi="Times New Roman" w:cs="Times New Roman"/>
          <w:sz w:val="24"/>
          <w:szCs w:val="24"/>
        </w:rPr>
        <w:t xml:space="preserve"> the </w:t>
      </w:r>
      <w:r w:rsidR="00A17309">
        <w:rPr>
          <w:rFonts w:ascii="Times New Roman" w:hAnsi="Times New Roman" w:cs="Times New Roman"/>
          <w:sz w:val="24"/>
          <w:szCs w:val="24"/>
        </w:rPr>
        <w:t>two</w:t>
      </w:r>
      <w:r>
        <w:rPr>
          <w:rFonts w:ascii="Times New Roman" w:hAnsi="Times New Roman" w:cs="Times New Roman"/>
          <w:sz w:val="24"/>
          <w:szCs w:val="24"/>
        </w:rPr>
        <w:t xml:space="preserve">. It was up to the applicant if it had been </w:t>
      </w:r>
      <w:r w:rsidR="00FF5716">
        <w:rPr>
          <w:rFonts w:ascii="Times New Roman" w:hAnsi="Times New Roman" w:cs="Times New Roman"/>
          <w:sz w:val="24"/>
          <w:szCs w:val="24"/>
        </w:rPr>
        <w:t>diligent</w:t>
      </w:r>
      <w:r>
        <w:rPr>
          <w:rFonts w:ascii="Times New Roman" w:hAnsi="Times New Roman" w:cs="Times New Roman"/>
          <w:sz w:val="24"/>
          <w:szCs w:val="24"/>
        </w:rPr>
        <w:t xml:space="preserve"> to bring both claims stated separately and distinctly</w:t>
      </w:r>
      <w:r w:rsidRPr="00A17309">
        <w:rPr>
          <w:rFonts w:ascii="Times New Roman" w:hAnsi="Times New Roman" w:cs="Times New Roman"/>
          <w:i/>
          <w:sz w:val="24"/>
          <w:szCs w:val="24"/>
        </w:rPr>
        <w:t xml:space="preserve"> albeit </w:t>
      </w:r>
      <w:r>
        <w:rPr>
          <w:rFonts w:ascii="Times New Roman" w:hAnsi="Times New Roman" w:cs="Times New Roman"/>
          <w:sz w:val="24"/>
          <w:szCs w:val="24"/>
        </w:rPr>
        <w:t>in the same summons. However</w:t>
      </w:r>
      <w:r w:rsidR="00A17309">
        <w:rPr>
          <w:rFonts w:ascii="Times New Roman" w:hAnsi="Times New Roman" w:cs="Times New Roman"/>
          <w:sz w:val="24"/>
          <w:szCs w:val="24"/>
        </w:rPr>
        <w:t>,</w:t>
      </w:r>
      <w:r>
        <w:rPr>
          <w:rFonts w:ascii="Times New Roman" w:hAnsi="Times New Roman" w:cs="Times New Roman"/>
          <w:sz w:val="24"/>
          <w:szCs w:val="24"/>
        </w:rPr>
        <w:t xml:space="preserve"> now that the claim in case No. HC 9631/16 was brought separately</w:t>
      </w:r>
      <w:r w:rsidR="00A17309">
        <w:rPr>
          <w:rFonts w:ascii="Times New Roman" w:hAnsi="Times New Roman" w:cs="Times New Roman"/>
          <w:sz w:val="24"/>
          <w:szCs w:val="24"/>
        </w:rPr>
        <w:t>,</w:t>
      </w:r>
      <w:r>
        <w:rPr>
          <w:rFonts w:ascii="Times New Roman" w:hAnsi="Times New Roman" w:cs="Times New Roman"/>
          <w:sz w:val="24"/>
          <w:szCs w:val="24"/>
        </w:rPr>
        <w:t xml:space="preserve"> there is nothing preventing that claim from being determined</w:t>
      </w:r>
      <w:r w:rsidR="00A17309">
        <w:rPr>
          <w:rFonts w:ascii="Times New Roman" w:hAnsi="Times New Roman" w:cs="Times New Roman"/>
          <w:sz w:val="24"/>
          <w:szCs w:val="24"/>
        </w:rPr>
        <w:t xml:space="preserve"> on its own</w:t>
      </w:r>
      <w:r>
        <w:rPr>
          <w:rFonts w:ascii="Times New Roman" w:hAnsi="Times New Roman" w:cs="Times New Roman"/>
          <w:sz w:val="24"/>
          <w:szCs w:val="24"/>
        </w:rPr>
        <w:t>.</w:t>
      </w:r>
    </w:p>
    <w:p w:rsidR="001F4EBE" w:rsidRDefault="001F4EBE" w:rsidP="001F4E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What the applicant intends to </w:t>
      </w:r>
      <w:r w:rsidR="00A17309">
        <w:rPr>
          <w:rFonts w:ascii="Times New Roman" w:hAnsi="Times New Roman" w:cs="Times New Roman"/>
          <w:sz w:val="24"/>
          <w:szCs w:val="24"/>
        </w:rPr>
        <w:t>achieve</w:t>
      </w:r>
      <w:r>
        <w:rPr>
          <w:rFonts w:ascii="Times New Roman" w:hAnsi="Times New Roman" w:cs="Times New Roman"/>
          <w:sz w:val="24"/>
          <w:szCs w:val="24"/>
        </w:rPr>
        <w:t xml:space="preserve"> is revealed by the notice of amendment itself. There is no correction or alteration soug</w:t>
      </w:r>
      <w:r w:rsidR="008602C0">
        <w:rPr>
          <w:rFonts w:ascii="Times New Roman" w:hAnsi="Times New Roman" w:cs="Times New Roman"/>
          <w:sz w:val="24"/>
          <w:szCs w:val="24"/>
        </w:rPr>
        <w:t>ht in the notice of amendment but</w:t>
      </w:r>
      <w:r>
        <w:rPr>
          <w:rFonts w:ascii="Times New Roman" w:hAnsi="Times New Roman" w:cs="Times New Roman"/>
          <w:sz w:val="24"/>
          <w:szCs w:val="24"/>
        </w:rPr>
        <w:t xml:space="preserve"> to </w:t>
      </w:r>
      <w:r w:rsidRPr="00E24D5C">
        <w:rPr>
          <w:rFonts w:ascii="Times New Roman" w:hAnsi="Times New Roman" w:cs="Times New Roman"/>
          <w:sz w:val="24"/>
          <w:szCs w:val="24"/>
          <w:u w:val="single"/>
        </w:rPr>
        <w:t>add</w:t>
      </w:r>
      <w:r w:rsidR="00A17309">
        <w:rPr>
          <w:rFonts w:ascii="Times New Roman" w:hAnsi="Times New Roman" w:cs="Times New Roman"/>
          <w:sz w:val="24"/>
          <w:szCs w:val="24"/>
          <w:u w:val="single"/>
        </w:rPr>
        <w:t xml:space="preserve"> </w:t>
      </w:r>
      <w:r w:rsidR="00A17309" w:rsidRPr="00A17309">
        <w:rPr>
          <w:rFonts w:ascii="Times New Roman" w:hAnsi="Times New Roman" w:cs="Times New Roman"/>
          <w:sz w:val="24"/>
          <w:szCs w:val="24"/>
        </w:rPr>
        <w:t>a new action.</w:t>
      </w:r>
    </w:p>
    <w:p w:rsidR="001F4EBE" w:rsidRDefault="001F4EBE" w:rsidP="0025155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w:t>
      </w:r>
      <w:r w:rsidR="00A17309">
        <w:rPr>
          <w:rFonts w:ascii="Times New Roman" w:hAnsi="Times New Roman" w:cs="Times New Roman"/>
          <w:sz w:val="24"/>
          <w:szCs w:val="24"/>
        </w:rPr>
        <w:t>, it is difficult</w:t>
      </w:r>
      <w:r>
        <w:rPr>
          <w:rFonts w:ascii="Times New Roman" w:hAnsi="Times New Roman" w:cs="Times New Roman"/>
          <w:sz w:val="24"/>
          <w:szCs w:val="24"/>
        </w:rPr>
        <w:t xml:space="preserve"> to appreciate how a court can be called upon to make a </w:t>
      </w:r>
      <w:r w:rsidR="00A17309">
        <w:rPr>
          <w:rFonts w:ascii="Times New Roman" w:hAnsi="Times New Roman" w:cs="Times New Roman"/>
          <w:sz w:val="24"/>
          <w:szCs w:val="24"/>
        </w:rPr>
        <w:t>pronouncement</w:t>
      </w:r>
      <w:r>
        <w:rPr>
          <w:rFonts w:ascii="Times New Roman" w:hAnsi="Times New Roman" w:cs="Times New Roman"/>
          <w:sz w:val="24"/>
          <w:szCs w:val="24"/>
        </w:rPr>
        <w:t xml:space="preserve"> on a bond that has already been cancelled. The bond which is 2163/09 </w:t>
      </w:r>
      <w:r w:rsidR="00A17309">
        <w:rPr>
          <w:rFonts w:ascii="Times New Roman" w:hAnsi="Times New Roman" w:cs="Times New Roman"/>
          <w:sz w:val="24"/>
          <w:szCs w:val="24"/>
        </w:rPr>
        <w:t xml:space="preserve">is, in applicant’s own words, </w:t>
      </w:r>
      <w:r>
        <w:rPr>
          <w:rFonts w:ascii="Times New Roman" w:hAnsi="Times New Roman" w:cs="Times New Roman"/>
          <w:sz w:val="24"/>
          <w:szCs w:val="24"/>
        </w:rPr>
        <w:t xml:space="preserve">no longer </w:t>
      </w:r>
      <w:r w:rsidR="00FF5716">
        <w:rPr>
          <w:rFonts w:ascii="Times New Roman" w:hAnsi="Times New Roman" w:cs="Times New Roman"/>
          <w:sz w:val="24"/>
          <w:szCs w:val="24"/>
        </w:rPr>
        <w:t>ext</w:t>
      </w:r>
      <w:r w:rsidR="00A17309">
        <w:rPr>
          <w:rFonts w:ascii="Times New Roman" w:hAnsi="Times New Roman" w:cs="Times New Roman"/>
          <w:sz w:val="24"/>
          <w:szCs w:val="24"/>
        </w:rPr>
        <w:t>ant</w:t>
      </w:r>
      <w:r>
        <w:rPr>
          <w:rFonts w:ascii="Times New Roman" w:hAnsi="Times New Roman" w:cs="Times New Roman"/>
          <w:sz w:val="24"/>
          <w:szCs w:val="24"/>
        </w:rPr>
        <w:t xml:space="preserve">. </w:t>
      </w:r>
    </w:p>
    <w:p w:rsidR="001F4EBE" w:rsidRDefault="001F4EBE" w:rsidP="001F4E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Leave to amend pleadings is granted </w:t>
      </w:r>
      <w:r w:rsidR="00B64BB4">
        <w:rPr>
          <w:rFonts w:ascii="Times New Roman" w:hAnsi="Times New Roman" w:cs="Times New Roman"/>
          <w:sz w:val="24"/>
          <w:szCs w:val="24"/>
        </w:rPr>
        <w:t>as an</w:t>
      </w:r>
      <w:r>
        <w:rPr>
          <w:rFonts w:ascii="Times New Roman" w:hAnsi="Times New Roman" w:cs="Times New Roman"/>
          <w:sz w:val="24"/>
          <w:szCs w:val="24"/>
        </w:rPr>
        <w:t xml:space="preserve"> exercise of judicial discretion. </w:t>
      </w:r>
      <w:r w:rsidR="00B64BB4">
        <w:rPr>
          <w:rFonts w:ascii="Times New Roman" w:hAnsi="Times New Roman" w:cs="Times New Roman"/>
          <w:sz w:val="24"/>
          <w:szCs w:val="24"/>
        </w:rPr>
        <w:t>This court</w:t>
      </w:r>
      <w:r>
        <w:rPr>
          <w:rFonts w:ascii="Times New Roman" w:hAnsi="Times New Roman" w:cs="Times New Roman"/>
          <w:sz w:val="24"/>
          <w:szCs w:val="24"/>
        </w:rPr>
        <w:t xml:space="preserve"> will not allow the applicant to introduce a new claim at pre-trial conference stage</w:t>
      </w:r>
      <w:r w:rsidR="00B64BB4">
        <w:rPr>
          <w:rFonts w:ascii="Times New Roman" w:hAnsi="Times New Roman" w:cs="Times New Roman"/>
          <w:sz w:val="24"/>
          <w:szCs w:val="24"/>
        </w:rPr>
        <w:t xml:space="preserve"> under the guise of amending pleadings</w:t>
      </w:r>
      <w:r>
        <w:rPr>
          <w:rFonts w:ascii="Times New Roman" w:hAnsi="Times New Roman" w:cs="Times New Roman"/>
          <w:sz w:val="24"/>
          <w:szCs w:val="24"/>
        </w:rPr>
        <w:t xml:space="preserve">. It can </w:t>
      </w:r>
      <w:r w:rsidR="00FF5716">
        <w:rPr>
          <w:rFonts w:ascii="Times New Roman" w:hAnsi="Times New Roman" w:cs="Times New Roman"/>
          <w:sz w:val="24"/>
          <w:szCs w:val="24"/>
        </w:rPr>
        <w:t>commence</w:t>
      </w:r>
      <w:r>
        <w:rPr>
          <w:rFonts w:ascii="Times New Roman" w:hAnsi="Times New Roman" w:cs="Times New Roman"/>
          <w:sz w:val="24"/>
          <w:szCs w:val="24"/>
        </w:rPr>
        <w:t xml:space="preserve"> fresh and separate proceedings.</w:t>
      </w:r>
    </w:p>
    <w:p w:rsidR="001F4EBE" w:rsidRDefault="001F4EBE" w:rsidP="001F4E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find that the applicant’s application is an abuse of process. It lacks merit and was filed just to harass the first respondent. It also failed to prosecute it diligently. It filed an answering affidavit after heads of argument</w:t>
      </w:r>
      <w:r w:rsidR="003042B0">
        <w:rPr>
          <w:rFonts w:ascii="Times New Roman" w:hAnsi="Times New Roman" w:cs="Times New Roman"/>
          <w:sz w:val="24"/>
          <w:szCs w:val="24"/>
        </w:rPr>
        <w:t xml:space="preserve"> had been filed. </w:t>
      </w:r>
      <w:r w:rsidR="00A17309">
        <w:rPr>
          <w:rFonts w:ascii="Times New Roman" w:hAnsi="Times New Roman" w:cs="Times New Roman"/>
          <w:sz w:val="24"/>
          <w:szCs w:val="24"/>
        </w:rPr>
        <w:t xml:space="preserve">Following resistance by the </w:t>
      </w:r>
      <w:r w:rsidR="0023662E">
        <w:rPr>
          <w:rFonts w:ascii="Times New Roman" w:hAnsi="Times New Roman" w:cs="Times New Roman"/>
          <w:sz w:val="24"/>
          <w:szCs w:val="24"/>
        </w:rPr>
        <w:t>first</w:t>
      </w:r>
      <w:r w:rsidR="00A17309">
        <w:rPr>
          <w:rFonts w:ascii="Times New Roman" w:hAnsi="Times New Roman" w:cs="Times New Roman"/>
          <w:sz w:val="24"/>
          <w:szCs w:val="24"/>
        </w:rPr>
        <w:t xml:space="preserve"> respondent applicant’s counsel </w:t>
      </w:r>
      <w:r w:rsidR="00B64BB4">
        <w:rPr>
          <w:rFonts w:ascii="Times New Roman" w:hAnsi="Times New Roman" w:cs="Times New Roman"/>
          <w:sz w:val="24"/>
          <w:szCs w:val="24"/>
        </w:rPr>
        <w:t xml:space="preserve">conceded that the answering affidavit could be disregarded since it had been filed unprocedurally. That left </w:t>
      </w:r>
      <w:r w:rsidR="0025155A">
        <w:rPr>
          <w:rFonts w:ascii="Times New Roman" w:hAnsi="Times New Roman" w:cs="Times New Roman"/>
          <w:sz w:val="24"/>
          <w:szCs w:val="24"/>
        </w:rPr>
        <w:t xml:space="preserve">the first </w:t>
      </w:r>
      <w:r w:rsidR="00B64BB4">
        <w:rPr>
          <w:rFonts w:ascii="Times New Roman" w:hAnsi="Times New Roman" w:cs="Times New Roman"/>
          <w:sz w:val="24"/>
          <w:szCs w:val="24"/>
        </w:rPr>
        <w:t xml:space="preserve">respondent’s averments in the opposing affidavit uncontroverted. </w:t>
      </w:r>
      <w:r w:rsidR="0023662E">
        <w:rPr>
          <w:rFonts w:ascii="Times New Roman" w:hAnsi="Times New Roman" w:cs="Times New Roman"/>
          <w:sz w:val="24"/>
          <w:szCs w:val="24"/>
        </w:rPr>
        <w:t>As it turned out, t</w:t>
      </w:r>
      <w:r w:rsidR="00B64BB4">
        <w:rPr>
          <w:rFonts w:ascii="Times New Roman" w:hAnsi="Times New Roman" w:cs="Times New Roman"/>
          <w:sz w:val="24"/>
          <w:szCs w:val="24"/>
        </w:rPr>
        <w:t xml:space="preserve">he applicant </w:t>
      </w:r>
      <w:r w:rsidR="0023662E">
        <w:rPr>
          <w:rFonts w:ascii="Times New Roman" w:hAnsi="Times New Roman" w:cs="Times New Roman"/>
          <w:sz w:val="24"/>
          <w:szCs w:val="24"/>
        </w:rPr>
        <w:t xml:space="preserve">had </w:t>
      </w:r>
      <w:r w:rsidR="00B64BB4">
        <w:rPr>
          <w:rFonts w:ascii="Times New Roman" w:hAnsi="Times New Roman" w:cs="Times New Roman"/>
          <w:sz w:val="24"/>
          <w:szCs w:val="24"/>
        </w:rPr>
        <w:t xml:space="preserve">also filed its heads of argument out of time. The Court uplifted the automatic bar operating against the applicant following an oral application by counsel. The tardiness reveals that this application was filed as a dilatory tactic. If the applicant was serious it would </w:t>
      </w:r>
      <w:r w:rsidR="008602C0">
        <w:rPr>
          <w:rFonts w:ascii="Times New Roman" w:hAnsi="Times New Roman" w:cs="Times New Roman"/>
          <w:sz w:val="24"/>
          <w:szCs w:val="24"/>
        </w:rPr>
        <w:t xml:space="preserve">have </w:t>
      </w:r>
      <w:r w:rsidR="00B64BB4">
        <w:rPr>
          <w:rFonts w:ascii="Times New Roman" w:hAnsi="Times New Roman" w:cs="Times New Roman"/>
          <w:sz w:val="24"/>
          <w:szCs w:val="24"/>
        </w:rPr>
        <w:t>pursued it</w:t>
      </w:r>
      <w:r w:rsidR="008602C0">
        <w:rPr>
          <w:rFonts w:ascii="Times New Roman" w:hAnsi="Times New Roman" w:cs="Times New Roman"/>
          <w:sz w:val="24"/>
          <w:szCs w:val="24"/>
        </w:rPr>
        <w:t>s application</w:t>
      </w:r>
      <w:r w:rsidR="00B64BB4">
        <w:rPr>
          <w:rFonts w:ascii="Times New Roman" w:hAnsi="Times New Roman" w:cs="Times New Roman"/>
          <w:sz w:val="24"/>
          <w:szCs w:val="24"/>
        </w:rPr>
        <w:t xml:space="preserve"> vigorously.</w:t>
      </w:r>
    </w:p>
    <w:p w:rsidR="001F4EBE" w:rsidRDefault="001F4EBE" w:rsidP="001F4E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I order as follows</w:t>
      </w:r>
    </w:p>
    <w:p w:rsidR="001F4EBE" w:rsidRDefault="001F4EBE" w:rsidP="001F4EB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Application is dismissed with costs on the legal practitioner client scale.</w:t>
      </w:r>
    </w:p>
    <w:p w:rsidR="00D55587" w:rsidRDefault="00D55587" w:rsidP="001F4EBE">
      <w:pPr>
        <w:spacing w:after="0" w:line="360" w:lineRule="auto"/>
        <w:jc w:val="both"/>
        <w:rPr>
          <w:rFonts w:ascii="Times New Roman" w:hAnsi="Times New Roman" w:cs="Times New Roman"/>
          <w:sz w:val="24"/>
          <w:szCs w:val="24"/>
        </w:rPr>
      </w:pPr>
    </w:p>
    <w:p w:rsidR="00D55587" w:rsidRDefault="00D55587" w:rsidP="001F4EBE">
      <w:pPr>
        <w:spacing w:after="0" w:line="360" w:lineRule="auto"/>
        <w:jc w:val="both"/>
        <w:rPr>
          <w:rFonts w:ascii="Times New Roman" w:hAnsi="Times New Roman" w:cs="Times New Roman"/>
          <w:sz w:val="24"/>
          <w:szCs w:val="24"/>
        </w:rPr>
      </w:pPr>
    </w:p>
    <w:p w:rsidR="00D55587" w:rsidRDefault="00D55587" w:rsidP="001F4EBE">
      <w:pPr>
        <w:spacing w:after="0" w:line="360" w:lineRule="auto"/>
        <w:jc w:val="both"/>
        <w:rPr>
          <w:rFonts w:ascii="Times New Roman" w:hAnsi="Times New Roman" w:cs="Times New Roman"/>
          <w:sz w:val="24"/>
          <w:szCs w:val="24"/>
        </w:rPr>
      </w:pPr>
    </w:p>
    <w:p w:rsidR="00D55587" w:rsidRDefault="00D55587" w:rsidP="00D555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Atherstone &amp; Cook</w:t>
      </w:r>
      <w:r>
        <w:rPr>
          <w:rFonts w:ascii="Times New Roman" w:hAnsi="Times New Roman" w:cs="Times New Roman"/>
          <w:sz w:val="24"/>
          <w:szCs w:val="24"/>
        </w:rPr>
        <w:t>, applicant’s legal practitioners</w:t>
      </w:r>
    </w:p>
    <w:p w:rsidR="00D55587" w:rsidRPr="00D55587" w:rsidRDefault="00D55587" w:rsidP="00D5558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Gill, Godlonton &amp; Gerrans</w:t>
      </w:r>
      <w:r>
        <w:rPr>
          <w:rFonts w:ascii="Times New Roman" w:hAnsi="Times New Roman" w:cs="Times New Roman"/>
          <w:sz w:val="24"/>
          <w:szCs w:val="24"/>
        </w:rPr>
        <w:t>, 1</w:t>
      </w:r>
      <w:r w:rsidRPr="00D55587">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1F4EBE" w:rsidRDefault="001F4EBE" w:rsidP="00D5558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sectPr w:rsidR="001F4EBE">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3F07" w:rsidRDefault="00BB3F07" w:rsidP="006813BD">
      <w:pPr>
        <w:spacing w:after="0" w:line="240" w:lineRule="auto"/>
      </w:pPr>
      <w:r>
        <w:separator/>
      </w:r>
    </w:p>
  </w:endnote>
  <w:endnote w:type="continuationSeparator" w:id="0">
    <w:p w:rsidR="00BB3F07" w:rsidRDefault="00BB3F07" w:rsidP="0068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3F07" w:rsidRDefault="00BB3F07" w:rsidP="006813BD">
      <w:pPr>
        <w:spacing w:after="0" w:line="240" w:lineRule="auto"/>
      </w:pPr>
      <w:r>
        <w:separator/>
      </w:r>
    </w:p>
  </w:footnote>
  <w:footnote w:type="continuationSeparator" w:id="0">
    <w:p w:rsidR="00BB3F07" w:rsidRDefault="00BB3F07" w:rsidP="006813BD">
      <w:pPr>
        <w:spacing w:after="0" w:line="240" w:lineRule="auto"/>
      </w:pPr>
      <w:r>
        <w:continuationSeparator/>
      </w:r>
    </w:p>
  </w:footnote>
  <w:footnote w:id="1">
    <w:p w:rsidR="00266612" w:rsidRDefault="00266612">
      <w:pPr>
        <w:pStyle w:val="FootnoteText"/>
      </w:pPr>
      <w:r>
        <w:rPr>
          <w:rStyle w:val="FootnoteReference"/>
        </w:rPr>
        <w:footnoteRef/>
      </w:r>
      <w:r>
        <w:t xml:space="preserve"> Order 20</w:t>
      </w:r>
    </w:p>
  </w:footnote>
  <w:footnote w:id="2">
    <w:p w:rsidR="00266612" w:rsidRDefault="00266612">
      <w:pPr>
        <w:pStyle w:val="FootnoteText"/>
      </w:pPr>
      <w:r>
        <w:rPr>
          <w:rStyle w:val="FootnoteReference"/>
        </w:rPr>
        <w:footnoteRef/>
      </w:r>
      <w:r>
        <w:t xml:space="preserve"> Rule 132</w:t>
      </w:r>
    </w:p>
  </w:footnote>
  <w:footnote w:id="3">
    <w:p w:rsidR="00E92899" w:rsidRDefault="00E92899">
      <w:pPr>
        <w:pStyle w:val="FootnoteText"/>
      </w:pPr>
      <w:r>
        <w:rPr>
          <w:rStyle w:val="FootnoteReference"/>
        </w:rPr>
        <w:footnoteRef/>
      </w:r>
      <w:r>
        <w:t xml:space="preserve"> Rule 134</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7823792"/>
      <w:docPartObj>
        <w:docPartGallery w:val="Page Numbers (Top of Page)"/>
        <w:docPartUnique/>
      </w:docPartObj>
    </w:sdtPr>
    <w:sdtEndPr>
      <w:rPr>
        <w:noProof/>
      </w:rPr>
    </w:sdtEndPr>
    <w:sdtContent>
      <w:p w:rsidR="006813BD" w:rsidRDefault="006813BD">
        <w:pPr>
          <w:pStyle w:val="Header"/>
          <w:jc w:val="right"/>
          <w:rPr>
            <w:noProof/>
          </w:rPr>
        </w:pPr>
        <w:r>
          <w:fldChar w:fldCharType="begin"/>
        </w:r>
        <w:r>
          <w:instrText xml:space="preserve"> PAGE   \* MERGEFORMAT </w:instrText>
        </w:r>
        <w:r>
          <w:fldChar w:fldCharType="separate"/>
        </w:r>
        <w:r w:rsidR="0099252A">
          <w:rPr>
            <w:noProof/>
          </w:rPr>
          <w:t>1</w:t>
        </w:r>
        <w:r>
          <w:rPr>
            <w:noProof/>
          </w:rPr>
          <w:fldChar w:fldCharType="end"/>
        </w:r>
      </w:p>
      <w:p w:rsidR="006813BD" w:rsidRDefault="00481DA1">
        <w:pPr>
          <w:pStyle w:val="Header"/>
          <w:jc w:val="right"/>
          <w:rPr>
            <w:noProof/>
          </w:rPr>
        </w:pPr>
        <w:r>
          <w:rPr>
            <w:noProof/>
          </w:rPr>
          <w:t>HH</w:t>
        </w:r>
        <w:r w:rsidR="008D6630">
          <w:rPr>
            <w:noProof/>
          </w:rPr>
          <w:t xml:space="preserve"> 533-18</w:t>
        </w:r>
      </w:p>
      <w:p w:rsidR="006813BD" w:rsidRDefault="006813BD">
        <w:pPr>
          <w:pStyle w:val="Header"/>
          <w:jc w:val="right"/>
          <w:rPr>
            <w:noProof/>
          </w:rPr>
        </w:pPr>
        <w:r>
          <w:rPr>
            <w:noProof/>
          </w:rPr>
          <w:t>HC 11213/17</w:t>
        </w:r>
      </w:p>
      <w:p w:rsidR="006813BD" w:rsidRDefault="006813BD">
        <w:pPr>
          <w:pStyle w:val="Header"/>
          <w:jc w:val="right"/>
        </w:pPr>
        <w:r>
          <w:rPr>
            <w:noProof/>
          </w:rPr>
          <w:t>Ref HC 9631/16</w:t>
        </w:r>
      </w:p>
    </w:sdtContent>
  </w:sdt>
  <w:p w:rsidR="006813BD" w:rsidRDefault="006813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2497D"/>
    <w:multiLevelType w:val="hybridMultilevel"/>
    <w:tmpl w:val="BF9654B6"/>
    <w:lvl w:ilvl="0" w:tplc="78D4F00C">
      <w:start w:val="1"/>
      <w:numFmt w:val="lowerRoman"/>
      <w:lvlText w:val="(%1)"/>
      <w:lvlJc w:val="left"/>
      <w:pPr>
        <w:ind w:left="1080" w:hanging="720"/>
      </w:pPr>
      <w:rPr>
        <w:rFonts w:hint="default"/>
        <w:sz w:val="22"/>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BEF76EF"/>
    <w:multiLevelType w:val="hybridMultilevel"/>
    <w:tmpl w:val="3BB6303C"/>
    <w:lvl w:ilvl="0" w:tplc="8B8E341A">
      <w:start w:val="1"/>
      <w:numFmt w:val="lowerRoman"/>
      <w:lvlText w:val="(%1)"/>
      <w:lvlJc w:val="left"/>
      <w:pPr>
        <w:ind w:left="1440" w:hanging="72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0F8C1D77"/>
    <w:multiLevelType w:val="hybridMultilevel"/>
    <w:tmpl w:val="2A4291A2"/>
    <w:lvl w:ilvl="0" w:tplc="1964644C">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22553EB5"/>
    <w:multiLevelType w:val="hybridMultilevel"/>
    <w:tmpl w:val="75A6DA20"/>
    <w:lvl w:ilvl="0" w:tplc="18BEB3AC">
      <w:start w:val="1"/>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4" w15:restartNumberingAfterBreak="0">
    <w:nsid w:val="53A34FB2"/>
    <w:multiLevelType w:val="hybridMultilevel"/>
    <w:tmpl w:val="33C227D0"/>
    <w:lvl w:ilvl="0" w:tplc="F50EBA1C">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73890CA2"/>
    <w:multiLevelType w:val="hybridMultilevel"/>
    <w:tmpl w:val="B628AB42"/>
    <w:lvl w:ilvl="0" w:tplc="4B9AD79A">
      <w:start w:val="1"/>
      <w:numFmt w:val="lowerLetter"/>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5"/>
  </w:num>
  <w:num w:numId="2">
    <w:abstractNumId w:val="1"/>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EBE"/>
    <w:rsid w:val="000538C6"/>
    <w:rsid w:val="000F3CF4"/>
    <w:rsid w:val="00110DC3"/>
    <w:rsid w:val="001F4EBE"/>
    <w:rsid w:val="0023662E"/>
    <w:rsid w:val="0025155A"/>
    <w:rsid w:val="00266612"/>
    <w:rsid w:val="002E7A9B"/>
    <w:rsid w:val="003042B0"/>
    <w:rsid w:val="00330AFC"/>
    <w:rsid w:val="00355DCC"/>
    <w:rsid w:val="003B5615"/>
    <w:rsid w:val="003F1B6C"/>
    <w:rsid w:val="0045758E"/>
    <w:rsid w:val="00481DA1"/>
    <w:rsid w:val="004F3328"/>
    <w:rsid w:val="006813BD"/>
    <w:rsid w:val="00685DB2"/>
    <w:rsid w:val="006A686F"/>
    <w:rsid w:val="007B17E1"/>
    <w:rsid w:val="007E52C4"/>
    <w:rsid w:val="008602C0"/>
    <w:rsid w:val="008C6398"/>
    <w:rsid w:val="008D6630"/>
    <w:rsid w:val="0099252A"/>
    <w:rsid w:val="00994AA5"/>
    <w:rsid w:val="009F77D8"/>
    <w:rsid w:val="00A17309"/>
    <w:rsid w:val="00A2532C"/>
    <w:rsid w:val="00A66F05"/>
    <w:rsid w:val="00B64BB4"/>
    <w:rsid w:val="00B70F15"/>
    <w:rsid w:val="00BB3F07"/>
    <w:rsid w:val="00BD1B27"/>
    <w:rsid w:val="00BE7703"/>
    <w:rsid w:val="00C261D0"/>
    <w:rsid w:val="00C57041"/>
    <w:rsid w:val="00C57C02"/>
    <w:rsid w:val="00D425F3"/>
    <w:rsid w:val="00D55587"/>
    <w:rsid w:val="00E646D9"/>
    <w:rsid w:val="00E92899"/>
    <w:rsid w:val="00EB548A"/>
    <w:rsid w:val="00F4604A"/>
    <w:rsid w:val="00F550AE"/>
    <w:rsid w:val="00FC3C21"/>
    <w:rsid w:val="00FF571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718553-D443-4704-A56F-A45731FA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04A"/>
    <w:pPr>
      <w:ind w:left="720"/>
      <w:contextualSpacing/>
    </w:pPr>
  </w:style>
  <w:style w:type="paragraph" w:styleId="Header">
    <w:name w:val="header"/>
    <w:basedOn w:val="Normal"/>
    <w:link w:val="HeaderChar"/>
    <w:uiPriority w:val="99"/>
    <w:unhideWhenUsed/>
    <w:rsid w:val="006813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13BD"/>
  </w:style>
  <w:style w:type="paragraph" w:styleId="Footer">
    <w:name w:val="footer"/>
    <w:basedOn w:val="Normal"/>
    <w:link w:val="FooterChar"/>
    <w:uiPriority w:val="99"/>
    <w:unhideWhenUsed/>
    <w:rsid w:val="006813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13BD"/>
  </w:style>
  <w:style w:type="paragraph" w:styleId="FootnoteText">
    <w:name w:val="footnote text"/>
    <w:basedOn w:val="Normal"/>
    <w:link w:val="FootnoteTextChar"/>
    <w:uiPriority w:val="99"/>
    <w:semiHidden/>
    <w:unhideWhenUsed/>
    <w:rsid w:val="002666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6612"/>
    <w:rPr>
      <w:sz w:val="20"/>
      <w:szCs w:val="20"/>
    </w:rPr>
  </w:style>
  <w:style w:type="character" w:styleId="FootnoteReference">
    <w:name w:val="footnote reference"/>
    <w:basedOn w:val="DefaultParagraphFont"/>
    <w:uiPriority w:val="99"/>
    <w:semiHidden/>
    <w:unhideWhenUsed/>
    <w:rsid w:val="00266612"/>
    <w:rPr>
      <w:vertAlign w:val="superscript"/>
    </w:rPr>
  </w:style>
  <w:style w:type="paragraph" w:styleId="BalloonText">
    <w:name w:val="Balloon Text"/>
    <w:basedOn w:val="Normal"/>
    <w:link w:val="BalloonTextChar"/>
    <w:uiPriority w:val="99"/>
    <w:semiHidden/>
    <w:unhideWhenUsed/>
    <w:rsid w:val="00355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5D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595C7-1103-44AB-835A-F22B7B63D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1291</Words>
  <Characters>7359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2018-09-11T14:43:00Z</cp:lastPrinted>
  <dcterms:created xsi:type="dcterms:W3CDTF">2018-09-27T12:41:00Z</dcterms:created>
  <dcterms:modified xsi:type="dcterms:W3CDTF">2018-09-27T12:41:00Z</dcterms:modified>
</cp:coreProperties>
</file>