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F033" w14:textId="77777777" w:rsidR="00AD376F" w:rsidRDefault="00AA2E77">
      <w:pPr>
        <w:spacing w:before="63" w:line="360" w:lineRule="auto"/>
        <w:ind w:left="201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ZIMBABWE HELD AT HARARE, 26 OCTOBER, 2023</w:t>
      </w:r>
    </w:p>
    <w:p w14:paraId="19E5A142" w14:textId="77777777" w:rsidR="00AD376F" w:rsidRDefault="00AA2E77">
      <w:pPr>
        <w:spacing w:before="60"/>
        <w:ind w:left="201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FEBRUARY,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2023</w:t>
      </w:r>
    </w:p>
    <w:p w14:paraId="19681474" w14:textId="77777777" w:rsidR="00AD376F" w:rsidRDefault="00AD376F">
      <w:pPr>
        <w:pStyle w:val="BodyText"/>
        <w:spacing w:before="137"/>
        <w:ind w:left="0"/>
        <w:rPr>
          <w:b/>
        </w:rPr>
      </w:pPr>
    </w:p>
    <w:p w14:paraId="48E577D0" w14:textId="77777777" w:rsidR="00AD376F" w:rsidRDefault="00AA2E77">
      <w:pPr>
        <w:pStyle w:val="BodyText"/>
        <w:ind w:left="201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between: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26323FF4" w14:textId="77777777" w:rsidR="00AD376F" w:rsidRDefault="00AA2E77">
      <w:pPr>
        <w:spacing w:before="64" w:line="360" w:lineRule="auto"/>
        <w:ind w:left="201" w:right="594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 xml:space="preserve">JUDGEMENTNO.LC/H/38/2024 </w:t>
      </w:r>
      <w:r>
        <w:rPr>
          <w:b/>
          <w:sz w:val="24"/>
        </w:rPr>
        <w:t>CASE NO. LC/H/684/23</w:t>
      </w:r>
    </w:p>
    <w:p w14:paraId="70CC41DD" w14:textId="77777777" w:rsidR="00AD376F" w:rsidRDefault="00AD376F">
      <w:pPr>
        <w:spacing w:line="360" w:lineRule="auto"/>
        <w:rPr>
          <w:sz w:val="24"/>
        </w:rPr>
        <w:sectPr w:rsidR="00AD376F">
          <w:type w:val="continuous"/>
          <w:pgSz w:w="11910" w:h="16840"/>
          <w:pgMar w:top="1420" w:right="1340" w:bottom="280" w:left="1340" w:header="720" w:footer="720" w:gutter="0"/>
          <w:cols w:num="2" w:space="720" w:equalWidth="0">
            <w:col w:w="4911" w:space="124"/>
            <w:col w:w="4195"/>
          </w:cols>
        </w:sectPr>
      </w:pPr>
    </w:p>
    <w:p w14:paraId="6707AD66" w14:textId="2B62CE5E" w:rsidR="00AD376F" w:rsidRDefault="00AD376F">
      <w:pPr>
        <w:pStyle w:val="BodyText"/>
        <w:ind w:left="0"/>
        <w:rPr>
          <w:b/>
        </w:rPr>
      </w:pPr>
    </w:p>
    <w:p w14:paraId="2C941479" w14:textId="77777777" w:rsidR="00AD376F" w:rsidRDefault="00AA2E77">
      <w:pPr>
        <w:tabs>
          <w:tab w:val="left" w:pos="6384"/>
        </w:tabs>
        <w:spacing w:line="480" w:lineRule="auto"/>
        <w:ind w:left="201" w:right="1386"/>
        <w:rPr>
          <w:b/>
          <w:sz w:val="24"/>
        </w:rPr>
      </w:pPr>
      <w:r>
        <w:rPr>
          <w:b/>
          <w:sz w:val="24"/>
        </w:rPr>
        <w:t>RADISYS ENTERPRISES (PVT) LTD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APPELLANT </w:t>
      </w:r>
      <w:r>
        <w:rPr>
          <w:b/>
          <w:spacing w:val="-10"/>
          <w:sz w:val="24"/>
        </w:rPr>
        <w:t>V</w:t>
      </w:r>
    </w:p>
    <w:p w14:paraId="47E22772" w14:textId="77777777" w:rsidR="00AD376F" w:rsidRDefault="00AA2E77">
      <w:pPr>
        <w:tabs>
          <w:tab w:val="left" w:pos="6324"/>
        </w:tabs>
        <w:spacing w:before="3"/>
        <w:ind w:left="201"/>
        <w:rPr>
          <w:b/>
          <w:sz w:val="24"/>
        </w:rPr>
      </w:pPr>
      <w:r>
        <w:rPr>
          <w:b/>
          <w:sz w:val="24"/>
        </w:rPr>
        <w:t>NANCY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CHIONESO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NJOPERA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4A1010D0" w14:textId="77777777" w:rsidR="00AD376F" w:rsidRDefault="00AD376F">
      <w:pPr>
        <w:pStyle w:val="BodyText"/>
        <w:ind w:left="0"/>
        <w:rPr>
          <w:b/>
        </w:rPr>
      </w:pPr>
    </w:p>
    <w:p w14:paraId="6561D194" w14:textId="77777777" w:rsidR="00AD376F" w:rsidRDefault="00AD376F">
      <w:pPr>
        <w:pStyle w:val="BodyText"/>
        <w:spacing w:before="7"/>
        <w:ind w:left="0"/>
        <w:rPr>
          <w:b/>
        </w:rPr>
      </w:pPr>
    </w:p>
    <w:p w14:paraId="74B208AF" w14:textId="77777777" w:rsidR="00AD376F" w:rsidRDefault="00AA2E77">
      <w:pPr>
        <w:pStyle w:val="BodyText"/>
        <w:spacing w:before="1" w:line="480" w:lineRule="auto"/>
        <w:ind w:left="201" w:right="5289"/>
      </w:pP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Honourable</w:t>
      </w:r>
      <w:r>
        <w:rPr>
          <w:spacing w:val="-11"/>
        </w:rPr>
        <w:t xml:space="preserve"> </w:t>
      </w:r>
      <w:r>
        <w:t>CHIVIZHE,</w:t>
      </w:r>
      <w:r>
        <w:rPr>
          <w:spacing w:val="-10"/>
        </w:rPr>
        <w:t xml:space="preserve"> </w:t>
      </w:r>
      <w:r>
        <w:t>J In Chambers</w:t>
      </w:r>
    </w:p>
    <w:p w14:paraId="6D040D52" w14:textId="77777777" w:rsidR="00AD376F" w:rsidRDefault="00AD376F">
      <w:pPr>
        <w:pStyle w:val="BodyText"/>
        <w:ind w:left="0"/>
      </w:pPr>
    </w:p>
    <w:p w14:paraId="4F7FE46C" w14:textId="77777777" w:rsidR="00AD376F" w:rsidRDefault="00AD376F">
      <w:pPr>
        <w:pStyle w:val="BodyText"/>
        <w:spacing w:before="189"/>
        <w:ind w:left="0"/>
      </w:pPr>
    </w:p>
    <w:p w14:paraId="786AD0C8" w14:textId="77777777" w:rsidR="00AD376F" w:rsidRDefault="00AA2E77">
      <w:pPr>
        <w:spacing w:line="532" w:lineRule="auto"/>
        <w:ind w:left="100" w:right="5289"/>
        <w:rPr>
          <w:b/>
          <w:sz w:val="24"/>
        </w:rPr>
      </w:pPr>
      <w:r>
        <w:rPr>
          <w:b/>
          <w:sz w:val="24"/>
        </w:rPr>
        <w:t>REASONS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JUDGEMENT CHIVIZHE, J;</w:t>
      </w:r>
    </w:p>
    <w:p w14:paraId="34D888C9" w14:textId="77777777" w:rsidR="00AD376F" w:rsidRDefault="00AA2E77">
      <w:pPr>
        <w:spacing w:before="2" w:line="360" w:lineRule="auto"/>
        <w:ind w:left="100" w:right="135"/>
        <w:rPr>
          <w:sz w:val="24"/>
        </w:rPr>
      </w:pPr>
      <w:r>
        <w:rPr>
          <w:sz w:val="24"/>
        </w:rPr>
        <w:t xml:space="preserve">The matter was placed before me as an appeal against a draft ruling handed down by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Officer Madziya J on the 29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March 2023. The appeal was as indicated filed on the basis 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128(1)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[Chap 28:01]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amended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Amendment Act, No.11 of 2023 </w:t>
      </w:r>
      <w:r>
        <w:rPr>
          <w:sz w:val="24"/>
        </w:rPr>
        <w:t xml:space="preserve">as also read with </w:t>
      </w:r>
      <w:r>
        <w:rPr>
          <w:b/>
          <w:sz w:val="24"/>
        </w:rPr>
        <w:t xml:space="preserve">rule 19 </w:t>
      </w:r>
      <w:r>
        <w:rPr>
          <w:sz w:val="24"/>
        </w:rPr>
        <w:t xml:space="preserve">of the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z w:val="24"/>
        </w:rPr>
        <w:t xml:space="preserve"> Court Rules, 2017. </w:t>
      </w:r>
      <w:r>
        <w:rPr>
          <w:sz w:val="24"/>
        </w:rPr>
        <w:t>The appeal was filed on the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September 2023.</w:t>
      </w:r>
    </w:p>
    <w:p w14:paraId="720451DF" w14:textId="77777777" w:rsidR="00AD376F" w:rsidRDefault="00AA2E77">
      <w:pPr>
        <w:pStyle w:val="BodyText"/>
        <w:spacing w:before="200" w:line="360" w:lineRule="auto"/>
      </w:pPr>
      <w:r>
        <w:t xml:space="preserve">The Respondent was opposed to the granting of the appeal. In her Notice of </w:t>
      </w:r>
      <w:proofErr w:type="gramStart"/>
      <w:r>
        <w:t>Response</w:t>
      </w:r>
      <w:proofErr w:type="gramEnd"/>
      <w:r>
        <w:t xml:space="preserve"> she indicated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Appellant’s</w:t>
      </w:r>
      <w:r>
        <w:rPr>
          <w:spacing w:val="-3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ruling as</w:t>
      </w:r>
      <w:r>
        <w:rPr>
          <w:spacing w:val="-3"/>
        </w:rPr>
        <w:t xml:space="preserve"> </w:t>
      </w:r>
      <w:r>
        <w:t>captured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grounds of appeal. She</w:t>
      </w:r>
      <w:r>
        <w:rPr>
          <w:spacing w:val="-1"/>
        </w:rPr>
        <w:t xml:space="preserve"> </w:t>
      </w:r>
      <w:r>
        <w:t>was in agreement with all the</w:t>
      </w:r>
      <w:r>
        <w:rPr>
          <w:spacing w:val="-1"/>
        </w:rPr>
        <w:t xml:space="preserve"> </w:t>
      </w:r>
      <w:r>
        <w:t>findings as made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Officer on the merits. She did not address the issue of the propriety of the appeal before the court.</w:t>
      </w:r>
    </w:p>
    <w:p w14:paraId="2AC5C376" w14:textId="77777777" w:rsidR="00AD376F" w:rsidRDefault="00AA2E77">
      <w:pPr>
        <w:pStyle w:val="BodyText"/>
        <w:spacing w:before="1"/>
      </w:pPr>
      <w:r>
        <w:t>Sufficient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self-</w:t>
      </w:r>
      <w:r>
        <w:rPr>
          <w:spacing w:val="-2"/>
        </w:rPr>
        <w:t>actor.</w:t>
      </w:r>
    </w:p>
    <w:p w14:paraId="7FE84B9F" w14:textId="77777777" w:rsidR="00AD376F" w:rsidRDefault="00AD376F">
      <w:pPr>
        <w:pStyle w:val="BodyText"/>
        <w:spacing w:before="62"/>
        <w:ind w:left="0"/>
      </w:pPr>
    </w:p>
    <w:p w14:paraId="0DAA1717" w14:textId="77777777" w:rsidR="00AD376F" w:rsidRDefault="00AA2E77">
      <w:pPr>
        <w:pStyle w:val="BodyText"/>
        <w:spacing w:before="1" w:line="360" w:lineRule="auto"/>
        <w:ind w:right="206"/>
        <w:rPr>
          <w:b/>
        </w:rPr>
      </w:pPr>
      <w:r>
        <w:t>After perusal of the file, I noted that indeed all the necessary documents had been filed and the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down.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have been improperly placed before the court. It was clear that although the Appellant had outlined the basis of approaching this court as being </w:t>
      </w:r>
      <w:r>
        <w:rPr>
          <w:b/>
        </w:rPr>
        <w:t xml:space="preserve">section 128(1) </w:t>
      </w:r>
      <w:r>
        <w:t xml:space="preserve">of the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Act</w:t>
      </w:r>
    </w:p>
    <w:p w14:paraId="51447870" w14:textId="77777777" w:rsidR="00AD376F" w:rsidRDefault="00AD376F">
      <w:pPr>
        <w:spacing w:line="360" w:lineRule="auto"/>
        <w:sectPr w:rsidR="00AD376F">
          <w:type w:val="continuous"/>
          <w:pgSz w:w="11910" w:h="16840"/>
          <w:pgMar w:top="1420" w:right="1340" w:bottom="280" w:left="1340" w:header="720" w:footer="720" w:gutter="0"/>
          <w:cols w:space="720"/>
        </w:sectPr>
      </w:pPr>
    </w:p>
    <w:p w14:paraId="4ACD4B89" w14:textId="77777777" w:rsidR="00AD376F" w:rsidRDefault="00AA2E77">
      <w:pPr>
        <w:spacing w:before="60" w:line="360" w:lineRule="auto"/>
        <w:ind w:left="100" w:right="206"/>
        <w:rPr>
          <w:sz w:val="24"/>
        </w:rPr>
      </w:pPr>
      <w:r>
        <w:rPr>
          <w:b/>
          <w:sz w:val="24"/>
        </w:rPr>
        <w:lastRenderedPageBreak/>
        <w:t>[Chap28:01]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Amendment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however</w:t>
      </w:r>
      <w:r>
        <w:rPr>
          <w:spacing w:val="-3"/>
          <w:sz w:val="24"/>
        </w:rPr>
        <w:t xml:space="preserve"> </w:t>
      </w:r>
      <w:r>
        <w:rPr>
          <w:sz w:val="24"/>
        </w:rPr>
        <w:t>did not comply with the tenets of that provision.</w:t>
      </w:r>
    </w:p>
    <w:p w14:paraId="40D7A15C" w14:textId="77777777" w:rsidR="00AD376F" w:rsidRDefault="00AA2E77">
      <w:pPr>
        <w:spacing w:before="200" w:line="360" w:lineRule="auto"/>
        <w:ind w:left="100" w:right="135"/>
        <w:rPr>
          <w:sz w:val="24"/>
        </w:rPr>
      </w:pPr>
      <w:r>
        <w:rPr>
          <w:sz w:val="24"/>
        </w:rPr>
        <w:t>To elaborate it was clear that the Appellant was hinging its appeal on the basis of the transitional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Amendment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128(1)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event reads as follows;</w:t>
      </w:r>
    </w:p>
    <w:p w14:paraId="2B56110D" w14:textId="77777777" w:rsidR="00AD376F" w:rsidRDefault="00AA2E77">
      <w:pPr>
        <w:spacing w:before="201"/>
        <w:ind w:left="100"/>
        <w:rPr>
          <w:b/>
          <w:sz w:val="24"/>
        </w:rPr>
      </w:pPr>
      <w:r>
        <w:rPr>
          <w:sz w:val="24"/>
        </w:rPr>
        <w:t>“</w:t>
      </w:r>
      <w:r>
        <w:rPr>
          <w:b/>
          <w:sz w:val="24"/>
        </w:rPr>
        <w:t>128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Transitional </w:t>
      </w:r>
      <w:r>
        <w:rPr>
          <w:b/>
          <w:spacing w:val="-2"/>
          <w:sz w:val="24"/>
        </w:rPr>
        <w:t>provisions</w:t>
      </w:r>
    </w:p>
    <w:p w14:paraId="1FD8F644" w14:textId="77777777" w:rsidR="00AD376F" w:rsidRDefault="00AD376F">
      <w:pPr>
        <w:pStyle w:val="BodyText"/>
        <w:spacing w:before="62"/>
        <w:ind w:left="0"/>
        <w:rPr>
          <w:b/>
        </w:rPr>
      </w:pPr>
    </w:p>
    <w:p w14:paraId="616C60AC" w14:textId="77777777" w:rsidR="00AD376F" w:rsidRDefault="00AA2E77">
      <w:pPr>
        <w:pStyle w:val="BodyText"/>
        <w:spacing w:line="360" w:lineRule="auto"/>
        <w:ind w:left="820" w:right="130" w:hanging="360"/>
      </w:pPr>
      <w:r>
        <w:rPr>
          <w:b/>
        </w:rPr>
        <w:t>(1)</w:t>
      </w:r>
      <w:r>
        <w:rPr>
          <w:b/>
          <w:spacing w:val="80"/>
        </w:rPr>
        <w:t xml:space="preserve"> </w:t>
      </w:r>
      <w:r>
        <w:t xml:space="preserve">Where a </w:t>
      </w:r>
      <w:proofErr w:type="spellStart"/>
      <w:r>
        <w:t>labour</w:t>
      </w:r>
      <w:proofErr w:type="spellEnd"/>
      <w:r>
        <w:t xml:space="preserve"> officer made a draft ruling in terms of section 93(5)(c) and for what reason, the draft ruling was not registered with the </w:t>
      </w:r>
      <w:proofErr w:type="spellStart"/>
      <w:r>
        <w:t>Labour</w:t>
      </w:r>
      <w:proofErr w:type="spellEnd"/>
      <w:r>
        <w:t xml:space="preserve"> Court in terms of section 93(5a) and (5b) of the replaced provisions, such draft ruling shall automatically be deemed to be a judgement or ruling of the </w:t>
      </w:r>
      <w:proofErr w:type="spellStart"/>
      <w:r>
        <w:t>Labour</w:t>
      </w:r>
      <w:proofErr w:type="spellEnd"/>
      <w:r>
        <w:t xml:space="preserve"> Officer which for execution purposes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court: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 xml:space="preserve">have a right of appeal of the </w:t>
      </w:r>
      <w:proofErr w:type="spellStart"/>
      <w:r>
        <w:t>Labour</w:t>
      </w:r>
      <w:proofErr w:type="spellEnd"/>
      <w:r>
        <w:t xml:space="preserve"> Court within 30 days after notice of registration.”</w:t>
      </w:r>
    </w:p>
    <w:p w14:paraId="15C59BC0" w14:textId="77777777" w:rsidR="00AD376F" w:rsidRDefault="00AD376F">
      <w:pPr>
        <w:pStyle w:val="BodyText"/>
        <w:ind w:left="0"/>
      </w:pPr>
    </w:p>
    <w:p w14:paraId="58F4D27D" w14:textId="77777777" w:rsidR="00AD376F" w:rsidRDefault="00AD376F">
      <w:pPr>
        <w:pStyle w:val="BodyText"/>
        <w:spacing w:before="262"/>
        <w:ind w:left="0"/>
      </w:pPr>
    </w:p>
    <w:p w14:paraId="433BF906" w14:textId="77777777" w:rsidR="00AD376F" w:rsidRDefault="00AA2E77">
      <w:pPr>
        <w:pStyle w:val="BodyText"/>
        <w:spacing w:before="1" w:line="360" w:lineRule="auto"/>
        <w:ind w:right="206"/>
      </w:pPr>
      <w:r>
        <w:t>My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transitional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rulings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Officers before the 14</w:t>
      </w:r>
      <w:r>
        <w:rPr>
          <w:vertAlign w:val="superscript"/>
        </w:rPr>
        <w:t>th</w:t>
      </w:r>
      <w:r>
        <w:t xml:space="preserve"> of July, 2023 (Date of coming into operation of the amendment act) were affected by the </w:t>
      </w:r>
      <w:proofErr w:type="spellStart"/>
      <w:r>
        <w:t>Labour</w:t>
      </w:r>
      <w:proofErr w:type="spellEnd"/>
      <w:r>
        <w:t xml:space="preserve"> Amendment Act to the extent </w:t>
      </w:r>
      <w:proofErr w:type="gramStart"/>
      <w:r>
        <w:t>that ,</w:t>
      </w:r>
      <w:proofErr w:type="gramEnd"/>
      <w:r>
        <w:t xml:space="preserve"> where the draft rulings had not been registered with the </w:t>
      </w:r>
      <w:proofErr w:type="spellStart"/>
      <w:r>
        <w:t>Labour</w:t>
      </w:r>
      <w:proofErr w:type="spellEnd"/>
      <w:r>
        <w:t xml:space="preserve"> Court before that date, any such “draft ruling” is</w:t>
      </w:r>
    </w:p>
    <w:p w14:paraId="6ECD3F6E" w14:textId="77777777" w:rsidR="00AD376F" w:rsidRDefault="00AA2E77">
      <w:pPr>
        <w:pStyle w:val="BodyText"/>
        <w:spacing w:line="360" w:lineRule="auto"/>
        <w:ind w:right="325"/>
        <w:jc w:val="both"/>
      </w:pPr>
      <w:r>
        <w:t>automatically deemed to be a “judgement” or</w:t>
      </w:r>
      <w:r>
        <w:rPr>
          <w:spacing w:val="-1"/>
        </w:rPr>
        <w:t xml:space="preserve"> </w:t>
      </w:r>
      <w:r>
        <w:t>“ruling” of the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officer which has to be executed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Magistrates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Court depending on the quantum involved.</w:t>
      </w:r>
    </w:p>
    <w:p w14:paraId="53076083" w14:textId="77777777" w:rsidR="00AD376F" w:rsidRDefault="00AA2E77">
      <w:pPr>
        <w:pStyle w:val="BodyText"/>
        <w:spacing w:before="201" w:line="360" w:lineRule="auto"/>
        <w:ind w:right="206"/>
      </w:pPr>
      <w:r>
        <w:t xml:space="preserve">There is however a proviso </w:t>
      </w:r>
      <w:r>
        <w:rPr>
          <w:b/>
        </w:rPr>
        <w:t>t</w:t>
      </w:r>
      <w:r>
        <w:t xml:space="preserve">o </w:t>
      </w:r>
      <w:r>
        <w:rPr>
          <w:b/>
        </w:rPr>
        <w:t xml:space="preserve">section 128(1) </w:t>
      </w:r>
      <w:r>
        <w:t xml:space="preserve">that an employer has a right of appeal to the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Magistrates</w:t>
      </w:r>
      <w:r>
        <w:rPr>
          <w:spacing w:val="-3"/>
        </w:rPr>
        <w:t xml:space="preserve"> </w:t>
      </w:r>
      <w:r>
        <w:t>Court or High Court.</w:t>
      </w:r>
    </w:p>
    <w:p w14:paraId="5D0E5DAD" w14:textId="77777777" w:rsidR="00AD376F" w:rsidRDefault="00AA2E77">
      <w:pPr>
        <w:pStyle w:val="BodyText"/>
        <w:spacing w:before="198" w:line="360" w:lineRule="auto"/>
        <w:ind w:right="130"/>
      </w:pPr>
      <w:r>
        <w:t xml:space="preserve">It was clear in </w:t>
      </w:r>
      <w:proofErr w:type="spellStart"/>
      <w:r>
        <w:t>casu</w:t>
      </w:r>
      <w:proofErr w:type="spellEnd"/>
      <w:r>
        <w:t xml:space="preserve"> that a draft ruling was rendered by the </w:t>
      </w:r>
      <w:proofErr w:type="spellStart"/>
      <w:r>
        <w:t>Labour</w:t>
      </w:r>
      <w:proofErr w:type="spellEnd"/>
      <w:r>
        <w:t xml:space="preserve"> Officer on the 29</w:t>
      </w:r>
      <w:r>
        <w:rPr>
          <w:vertAlign w:val="superscript"/>
        </w:rPr>
        <w:t>th</w:t>
      </w:r>
      <w:r>
        <w:t xml:space="preserve"> of March, 2023. It was therefore clearly affected by the </w:t>
      </w:r>
      <w:proofErr w:type="spellStart"/>
      <w:r>
        <w:t>Labour</w:t>
      </w:r>
      <w:proofErr w:type="spellEnd"/>
      <w:r>
        <w:t xml:space="preserve"> Amendment Act, No. 11 of 2023. It had assumed the status of a</w:t>
      </w:r>
      <w:r>
        <w:rPr>
          <w:spacing w:val="-1"/>
        </w:rPr>
        <w:t xml:space="preserve"> </w:t>
      </w:r>
      <w:r>
        <w:t>“judgement” or “ruling” as at the 14</w:t>
      </w:r>
      <w:r>
        <w:rPr>
          <w:vertAlign w:val="superscript"/>
        </w:rPr>
        <w:t>th</w:t>
      </w:r>
      <w:r>
        <w:t xml:space="preserve"> of July, 2023. The Appellant however in detailing its appeal in the Notice of Appeal stated that the appeal is against the “the whole draft ruling of the </w:t>
      </w:r>
      <w:proofErr w:type="spellStart"/>
      <w:r>
        <w:t>Labour</w:t>
      </w:r>
      <w:proofErr w:type="spellEnd"/>
      <w:r>
        <w:t xml:space="preserve"> Officer Madziya J dated 29 March 2023.” That was clearly wrong as of the 7</w:t>
      </w:r>
      <w:r>
        <w:rPr>
          <w:vertAlign w:val="superscript"/>
        </w:rPr>
        <w:t>th</w:t>
      </w:r>
      <w:r>
        <w:t xml:space="preserve"> of September 2023 when the appeal was</w:t>
      </w:r>
      <w:r>
        <w:t xml:space="preserve"> filed there was 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“draft</w:t>
      </w:r>
      <w:r>
        <w:rPr>
          <w:spacing w:val="-3"/>
        </w:rPr>
        <w:t xml:space="preserve"> </w:t>
      </w:r>
      <w:r>
        <w:t>ruling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Madziya</w:t>
      </w:r>
      <w:r>
        <w:rPr>
          <w:spacing w:val="-3"/>
        </w:rPr>
        <w:t xml:space="preserve"> </w:t>
      </w:r>
      <w:r>
        <w:t>J.”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“ruling”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Labour</w:t>
      </w:r>
      <w:proofErr w:type="spellEnd"/>
    </w:p>
    <w:p w14:paraId="0B2C98C2" w14:textId="77777777" w:rsidR="00AD376F" w:rsidRDefault="00AD376F">
      <w:pPr>
        <w:spacing w:line="360" w:lineRule="auto"/>
        <w:sectPr w:rsidR="00AD376F">
          <w:pgSz w:w="11910" w:h="16840"/>
          <w:pgMar w:top="1360" w:right="1340" w:bottom="280" w:left="1340" w:header="720" w:footer="720" w:gutter="0"/>
          <w:cols w:space="720"/>
        </w:sectPr>
      </w:pPr>
    </w:p>
    <w:p w14:paraId="48ECF4F6" w14:textId="77777777" w:rsidR="00AD376F" w:rsidRDefault="00AA2E77">
      <w:pPr>
        <w:pStyle w:val="BodyText"/>
        <w:spacing w:before="60" w:line="360" w:lineRule="auto"/>
      </w:pPr>
      <w:r>
        <w:lastRenderedPageBreak/>
        <w:t xml:space="preserve">Officer Madziya J. On the basis of the transitional </w:t>
      </w:r>
      <w:proofErr w:type="gramStart"/>
      <w:r>
        <w:t>provisions</w:t>
      </w:r>
      <w:proofErr w:type="gramEnd"/>
      <w:r>
        <w:t xml:space="preserve"> it is only a “judgement” or “ruling”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appealable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also spelt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</w:p>
    <w:p w14:paraId="457E5AD5" w14:textId="77777777" w:rsidR="00AD376F" w:rsidRDefault="00AA2E77">
      <w:pPr>
        <w:pStyle w:val="BodyText"/>
        <w:spacing w:before="1" w:line="360" w:lineRule="auto"/>
      </w:pPr>
      <w:r>
        <w:t>transitional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precedent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firstly,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ruling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 xml:space="preserve">to be registered in the Magistrates court or the High Court. Secondly, the appeal to the </w:t>
      </w:r>
      <w:proofErr w:type="spellStart"/>
      <w:r>
        <w:t>Labour</w:t>
      </w:r>
      <w:proofErr w:type="spellEnd"/>
      <w:r>
        <w:t xml:space="preserve"> Court must be noted within 30 days of registration.</w:t>
      </w:r>
    </w:p>
    <w:p w14:paraId="1B6F7293" w14:textId="77777777" w:rsidR="00AD376F" w:rsidRDefault="00AA2E77">
      <w:pPr>
        <w:pStyle w:val="BodyText"/>
        <w:spacing w:before="200" w:line="360" w:lineRule="auto"/>
        <w:ind w:right="130"/>
      </w:pPr>
      <w:r>
        <w:t xml:space="preserve">It was also noted that, in </w:t>
      </w:r>
      <w:proofErr w:type="spellStart"/>
      <w:r>
        <w:t>casu</w:t>
      </w:r>
      <w:proofErr w:type="spellEnd"/>
      <w:r>
        <w:t>, the ruling was indeed referred for registration in the Magistrates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t xml:space="preserve"> court was also lodged within the 30 days of the notice of registration.</w:t>
      </w:r>
    </w:p>
    <w:p w14:paraId="1D8B3909" w14:textId="0893B056" w:rsidR="00AD376F" w:rsidRDefault="00AA2E77">
      <w:pPr>
        <w:pStyle w:val="BodyText"/>
        <w:spacing w:before="202" w:line="360" w:lineRule="auto"/>
        <w:ind w:right="206"/>
      </w:pPr>
      <w:r>
        <w:t>In my considered view, the issue of which determination was being appealed against was critical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regarded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mere</w:t>
      </w:r>
      <w:r>
        <w:rPr>
          <w:spacing w:val="-4"/>
        </w:rPr>
        <w:t xml:space="preserve"> </w:t>
      </w:r>
      <w:r>
        <w:t>technicality. The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 xml:space="preserve">that appeals to the </w:t>
      </w:r>
      <w:proofErr w:type="spellStart"/>
      <w:r>
        <w:t>Labour</w:t>
      </w:r>
      <w:proofErr w:type="spellEnd"/>
      <w:r>
        <w:t xml:space="preserve"> Court emanating from draft rulings drawn by </w:t>
      </w:r>
      <w:proofErr w:type="spellStart"/>
      <w:r>
        <w:t>Labour</w:t>
      </w:r>
      <w:proofErr w:type="spellEnd"/>
      <w:r>
        <w:t xml:space="preserve"> Officers have to be against a “judgement” or “ruling.” The Notice of Appeal in this instance referred to an appeal</w:t>
      </w:r>
      <w:r>
        <w:rPr>
          <w:spacing w:val="-1"/>
        </w:rPr>
        <w:t xml:space="preserve"> </w:t>
      </w:r>
      <w:r>
        <w:t>as against a</w:t>
      </w:r>
      <w:r>
        <w:rPr>
          <w:spacing w:val="-2"/>
        </w:rPr>
        <w:t xml:space="preserve"> </w:t>
      </w:r>
      <w:r>
        <w:t>“draft ruling.”</w:t>
      </w:r>
      <w:r>
        <w:rPr>
          <w:spacing w:val="-1"/>
        </w:rPr>
        <w:t xml:space="preserve"> </w:t>
      </w:r>
      <w:r>
        <w:t>Whilst</w:t>
      </w:r>
      <w:r>
        <w:rPr>
          <w:spacing w:val="-1"/>
        </w:rPr>
        <w:t xml:space="preserve"> </w:t>
      </w:r>
      <w:r>
        <w:t>accepting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flexibility and</w:t>
      </w:r>
      <w:r>
        <w:rPr>
          <w:spacing w:val="-2"/>
        </w:rPr>
        <w:t xml:space="preserve"> </w:t>
      </w:r>
      <w:r>
        <w:t>latitude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function 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confines of the</w:t>
      </w:r>
      <w:r>
        <w:rPr>
          <w:spacing w:val="-2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Act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rules. Reference</w:t>
      </w:r>
      <w:r>
        <w:rPr>
          <w:spacing w:val="-2"/>
        </w:rPr>
        <w:t xml:space="preserve"> </w:t>
      </w:r>
      <w:r>
        <w:t>is made</w:t>
      </w:r>
      <w:r>
        <w:rPr>
          <w:spacing w:val="-1"/>
        </w:rPr>
        <w:t xml:space="preserve"> </w:t>
      </w:r>
      <w:r>
        <w:t xml:space="preserve">to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Platinum Mines (</w:t>
      </w:r>
      <w:proofErr w:type="spellStart"/>
      <w:r>
        <w:rPr>
          <w:b/>
        </w:rPr>
        <w:t>pvt</w:t>
      </w:r>
      <w:proofErr w:type="spellEnd"/>
      <w:r>
        <w:rPr>
          <w:b/>
        </w:rPr>
        <w:t>)(ltd) vs Marko Phuti SC 21/16</w:t>
      </w:r>
      <w:r>
        <w:t>. It was fo</w:t>
      </w:r>
      <w:r>
        <w:t>r these reasons the court handed down the order on the 27</w:t>
      </w:r>
      <w:r>
        <w:rPr>
          <w:vertAlign w:val="superscript"/>
        </w:rPr>
        <w:t>th</w:t>
      </w:r>
      <w:r>
        <w:t xml:space="preserve"> of October, 2023, striking off the matter from the roll with no costs.</w:t>
      </w:r>
    </w:p>
    <w:sectPr w:rsidR="00AD376F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F"/>
    <w:rsid w:val="00AA2E77"/>
    <w:rsid w:val="00A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DE3D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Gore</dc:creator>
  <cp:lastModifiedBy>Ophiliah Tokowoyo</cp:lastModifiedBy>
  <cp:revision>2</cp:revision>
  <dcterms:created xsi:type="dcterms:W3CDTF">2024-02-12T10:10:00Z</dcterms:created>
  <dcterms:modified xsi:type="dcterms:W3CDTF">2024-02-12T10:10:00Z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Producer">
    <vt:lpwstr>䵩捲潳潦璮⁗潲搠㈰ㄶ㬠浯摩晩敤⁵獩湧⁩呥硴′⸱⸷⁢礠ㅔ㍘吀</vt:lpwstr>
  </property>
</Properties>
</file>