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BCE" w:rsidRDefault="00092BCE" w:rsidP="006E4269">
      <w:pPr>
        <w:spacing w:after="0" w:line="360" w:lineRule="auto"/>
        <w:rPr>
          <w:b/>
          <w:sz w:val="28"/>
          <w:szCs w:val="28"/>
        </w:rPr>
      </w:pPr>
      <w:r>
        <w:rPr>
          <w:b/>
          <w:sz w:val="28"/>
          <w:szCs w:val="28"/>
        </w:rPr>
        <w:t>IN THE LA</w:t>
      </w:r>
      <w:r w:rsidR="00DD4B36">
        <w:rPr>
          <w:b/>
          <w:sz w:val="28"/>
          <w:szCs w:val="28"/>
        </w:rPr>
        <w:t>BOUR COURT OF ZIMBABWE</w:t>
      </w:r>
      <w:r w:rsidR="00DD4B36">
        <w:rPr>
          <w:b/>
          <w:sz w:val="28"/>
          <w:szCs w:val="28"/>
        </w:rPr>
        <w:tab/>
        <w:t xml:space="preserve">        </w:t>
      </w:r>
      <w:r>
        <w:rPr>
          <w:b/>
          <w:sz w:val="28"/>
          <w:szCs w:val="28"/>
        </w:rPr>
        <w:t>JUDGMENT NO LC/</w:t>
      </w:r>
      <w:r w:rsidR="00857BF5">
        <w:rPr>
          <w:b/>
          <w:sz w:val="28"/>
          <w:szCs w:val="28"/>
        </w:rPr>
        <w:t>MC/33</w:t>
      </w:r>
      <w:r w:rsidR="00DD4B36">
        <w:rPr>
          <w:b/>
          <w:sz w:val="28"/>
          <w:szCs w:val="28"/>
        </w:rPr>
        <w:t>/13</w:t>
      </w:r>
    </w:p>
    <w:p w:rsidR="00092BCE" w:rsidRDefault="00092BCE" w:rsidP="006E4269">
      <w:pPr>
        <w:spacing w:after="0" w:line="360" w:lineRule="auto"/>
        <w:rPr>
          <w:b/>
          <w:sz w:val="28"/>
          <w:szCs w:val="28"/>
        </w:rPr>
      </w:pPr>
      <w:r>
        <w:rPr>
          <w:b/>
          <w:sz w:val="28"/>
          <w:szCs w:val="28"/>
        </w:rPr>
        <w:t>M</w:t>
      </w:r>
      <w:r w:rsidR="00DD4B36">
        <w:rPr>
          <w:b/>
          <w:sz w:val="28"/>
          <w:szCs w:val="28"/>
        </w:rPr>
        <w:t>UTARE</w:t>
      </w:r>
      <w:r>
        <w:rPr>
          <w:b/>
          <w:sz w:val="28"/>
          <w:szCs w:val="28"/>
        </w:rPr>
        <w:t xml:space="preserve"> </w:t>
      </w:r>
      <w:r w:rsidR="00D06BA8">
        <w:rPr>
          <w:b/>
          <w:sz w:val="28"/>
          <w:szCs w:val="28"/>
        </w:rPr>
        <w:t>1</w:t>
      </w:r>
      <w:r w:rsidR="00857BF5">
        <w:rPr>
          <w:b/>
          <w:sz w:val="28"/>
          <w:szCs w:val="28"/>
        </w:rPr>
        <w:t>9</w:t>
      </w:r>
      <w:r w:rsidR="00D06BA8" w:rsidRPr="00D06BA8">
        <w:rPr>
          <w:b/>
          <w:sz w:val="28"/>
          <w:szCs w:val="28"/>
          <w:vertAlign w:val="superscript"/>
        </w:rPr>
        <w:t>th</w:t>
      </w:r>
      <w:r w:rsidR="00D06BA8">
        <w:rPr>
          <w:b/>
          <w:sz w:val="28"/>
          <w:szCs w:val="28"/>
        </w:rPr>
        <w:t xml:space="preserve"> </w:t>
      </w:r>
      <w:r w:rsidR="00DD4B36">
        <w:rPr>
          <w:b/>
          <w:sz w:val="28"/>
          <w:szCs w:val="28"/>
        </w:rPr>
        <w:t>SEPTEMBER, 2013</w:t>
      </w:r>
      <w:r w:rsidR="00DD4B36">
        <w:rPr>
          <w:b/>
          <w:sz w:val="28"/>
          <w:szCs w:val="28"/>
        </w:rPr>
        <w:tab/>
      </w:r>
      <w:r w:rsidR="00DD4B36">
        <w:rPr>
          <w:b/>
          <w:sz w:val="28"/>
          <w:szCs w:val="28"/>
        </w:rPr>
        <w:tab/>
      </w:r>
      <w:r w:rsidR="00DD4B36">
        <w:rPr>
          <w:b/>
          <w:sz w:val="28"/>
          <w:szCs w:val="28"/>
        </w:rPr>
        <w:tab/>
        <w:t xml:space="preserve">        CASE NO LC/MC/</w:t>
      </w:r>
      <w:r w:rsidR="00857BF5">
        <w:rPr>
          <w:b/>
          <w:sz w:val="28"/>
          <w:szCs w:val="28"/>
        </w:rPr>
        <w:t>26/12</w:t>
      </w:r>
    </w:p>
    <w:p w:rsidR="006E4269" w:rsidRDefault="006E4269" w:rsidP="006E4269">
      <w:pPr>
        <w:spacing w:after="0" w:line="360" w:lineRule="auto"/>
        <w:rPr>
          <w:b/>
          <w:sz w:val="28"/>
          <w:szCs w:val="28"/>
        </w:rPr>
      </w:pPr>
      <w:r>
        <w:rPr>
          <w:b/>
          <w:sz w:val="28"/>
          <w:szCs w:val="28"/>
        </w:rPr>
        <w:t>AND 25</w:t>
      </w:r>
      <w:r w:rsidRPr="006E4269">
        <w:rPr>
          <w:b/>
          <w:sz w:val="28"/>
          <w:szCs w:val="28"/>
          <w:vertAlign w:val="superscript"/>
        </w:rPr>
        <w:t>TH</w:t>
      </w:r>
      <w:r>
        <w:rPr>
          <w:b/>
          <w:sz w:val="28"/>
          <w:szCs w:val="28"/>
        </w:rPr>
        <w:t xml:space="preserve"> OCTOBER, 2013</w:t>
      </w:r>
    </w:p>
    <w:p w:rsidR="00092BCE" w:rsidRDefault="00092BCE" w:rsidP="00092BCE">
      <w:pPr>
        <w:rPr>
          <w:b/>
          <w:sz w:val="28"/>
          <w:szCs w:val="28"/>
        </w:rPr>
      </w:pPr>
    </w:p>
    <w:p w:rsidR="00857BF5" w:rsidRDefault="00857BF5" w:rsidP="00857BF5">
      <w:pPr>
        <w:spacing w:after="0" w:line="240" w:lineRule="auto"/>
        <w:rPr>
          <w:b/>
          <w:sz w:val="28"/>
          <w:szCs w:val="28"/>
        </w:rPr>
      </w:pPr>
      <w:r>
        <w:rPr>
          <w:b/>
          <w:sz w:val="28"/>
          <w:szCs w:val="28"/>
        </w:rPr>
        <w:t>RUDO MUTSEYEKWA</w:t>
      </w:r>
      <w:r>
        <w:rPr>
          <w:b/>
          <w:sz w:val="28"/>
          <w:szCs w:val="28"/>
        </w:rPr>
        <w:tab/>
      </w:r>
      <w:r>
        <w:rPr>
          <w:b/>
          <w:sz w:val="28"/>
          <w:szCs w:val="28"/>
        </w:rPr>
        <w:tab/>
      </w:r>
      <w:r w:rsidR="00D06BA8">
        <w:rPr>
          <w:b/>
          <w:sz w:val="28"/>
          <w:szCs w:val="28"/>
        </w:rPr>
        <w:tab/>
      </w:r>
      <w:r w:rsidR="00D06BA8">
        <w:rPr>
          <w:b/>
          <w:sz w:val="28"/>
          <w:szCs w:val="28"/>
        </w:rPr>
        <w:tab/>
      </w:r>
      <w:r w:rsidR="00D06BA8">
        <w:rPr>
          <w:b/>
          <w:sz w:val="28"/>
          <w:szCs w:val="28"/>
        </w:rPr>
        <w:tab/>
      </w:r>
      <w:r w:rsidR="00DD4B36">
        <w:rPr>
          <w:b/>
          <w:sz w:val="28"/>
          <w:szCs w:val="28"/>
        </w:rPr>
        <w:tab/>
      </w:r>
      <w:r w:rsidR="00092BCE">
        <w:rPr>
          <w:b/>
          <w:sz w:val="28"/>
          <w:szCs w:val="28"/>
        </w:rPr>
        <w:tab/>
        <w:t>Appellant</w:t>
      </w:r>
    </w:p>
    <w:p w:rsidR="00857BF5" w:rsidRDefault="00857BF5" w:rsidP="00857BF5">
      <w:pPr>
        <w:spacing w:after="0" w:line="240" w:lineRule="auto"/>
        <w:rPr>
          <w:b/>
          <w:sz w:val="28"/>
          <w:szCs w:val="28"/>
        </w:rPr>
      </w:pPr>
    </w:p>
    <w:p w:rsidR="00092BCE" w:rsidRDefault="00857BF5" w:rsidP="00857BF5">
      <w:pPr>
        <w:spacing w:after="0" w:line="240" w:lineRule="auto"/>
        <w:rPr>
          <w:b/>
          <w:sz w:val="28"/>
          <w:szCs w:val="28"/>
        </w:rPr>
      </w:pPr>
      <w:r>
        <w:rPr>
          <w:b/>
          <w:sz w:val="28"/>
          <w:szCs w:val="28"/>
        </w:rPr>
        <w:t xml:space="preserve">PUBLIC SERVICE COMMISSION </w:t>
      </w:r>
      <w:r>
        <w:rPr>
          <w:b/>
          <w:sz w:val="28"/>
          <w:szCs w:val="28"/>
        </w:rPr>
        <w:tab/>
      </w:r>
      <w:r w:rsidR="00D06BA8">
        <w:rPr>
          <w:b/>
          <w:sz w:val="28"/>
          <w:szCs w:val="28"/>
        </w:rPr>
        <w:tab/>
      </w:r>
      <w:r w:rsidR="00092BCE">
        <w:rPr>
          <w:b/>
          <w:sz w:val="28"/>
          <w:szCs w:val="28"/>
        </w:rPr>
        <w:tab/>
      </w:r>
      <w:r w:rsidR="00092BCE">
        <w:rPr>
          <w:b/>
          <w:sz w:val="28"/>
          <w:szCs w:val="28"/>
        </w:rPr>
        <w:tab/>
      </w:r>
      <w:r>
        <w:rPr>
          <w:b/>
          <w:sz w:val="28"/>
          <w:szCs w:val="28"/>
        </w:rPr>
        <w:tab/>
      </w:r>
      <w:r>
        <w:rPr>
          <w:b/>
          <w:sz w:val="28"/>
          <w:szCs w:val="28"/>
        </w:rPr>
        <w:tab/>
        <w:t>1</w:t>
      </w:r>
      <w:r w:rsidRPr="00857BF5">
        <w:rPr>
          <w:b/>
          <w:sz w:val="28"/>
          <w:szCs w:val="28"/>
          <w:vertAlign w:val="superscript"/>
        </w:rPr>
        <w:t>st</w:t>
      </w:r>
      <w:r>
        <w:rPr>
          <w:b/>
          <w:sz w:val="28"/>
          <w:szCs w:val="28"/>
        </w:rPr>
        <w:t xml:space="preserve"> </w:t>
      </w:r>
      <w:r w:rsidR="00092BCE">
        <w:rPr>
          <w:b/>
          <w:sz w:val="28"/>
          <w:szCs w:val="28"/>
        </w:rPr>
        <w:t>Respondent</w:t>
      </w:r>
    </w:p>
    <w:p w:rsidR="00857BF5" w:rsidRDefault="00857BF5" w:rsidP="00857BF5">
      <w:pPr>
        <w:spacing w:after="0" w:line="240" w:lineRule="auto"/>
        <w:rPr>
          <w:b/>
          <w:sz w:val="28"/>
          <w:szCs w:val="28"/>
        </w:rPr>
      </w:pPr>
    </w:p>
    <w:p w:rsidR="00857BF5" w:rsidRDefault="00857BF5" w:rsidP="00092BCE">
      <w:pPr>
        <w:spacing w:after="0" w:line="240" w:lineRule="auto"/>
        <w:rPr>
          <w:b/>
          <w:sz w:val="28"/>
          <w:szCs w:val="28"/>
        </w:rPr>
      </w:pPr>
      <w:r>
        <w:rPr>
          <w:b/>
          <w:sz w:val="28"/>
          <w:szCs w:val="28"/>
        </w:rPr>
        <w:t>MINISTER OF HOME AFFAIRS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w:t>
      </w:r>
      <w:r w:rsidRPr="00857BF5">
        <w:rPr>
          <w:b/>
          <w:sz w:val="28"/>
          <w:szCs w:val="28"/>
          <w:vertAlign w:val="superscript"/>
        </w:rPr>
        <w:t>nd</w:t>
      </w:r>
      <w:r>
        <w:rPr>
          <w:b/>
          <w:sz w:val="28"/>
          <w:szCs w:val="28"/>
        </w:rPr>
        <w:t xml:space="preserve"> Respondent</w:t>
      </w:r>
    </w:p>
    <w:p w:rsidR="00092BCE" w:rsidRDefault="00092BCE" w:rsidP="00092BCE">
      <w:pPr>
        <w:spacing w:after="0" w:line="240" w:lineRule="auto"/>
        <w:rPr>
          <w:sz w:val="28"/>
          <w:szCs w:val="28"/>
        </w:rPr>
      </w:pPr>
    </w:p>
    <w:p w:rsidR="00092BCE" w:rsidRDefault="00092BCE" w:rsidP="00092BCE">
      <w:pPr>
        <w:spacing w:after="0" w:line="240" w:lineRule="auto"/>
        <w:rPr>
          <w:sz w:val="28"/>
          <w:szCs w:val="28"/>
        </w:rPr>
      </w:pPr>
    </w:p>
    <w:p w:rsidR="00092BCE" w:rsidRPr="00DD4B36" w:rsidRDefault="00092BCE" w:rsidP="00DD4B36">
      <w:pPr>
        <w:spacing w:after="0" w:line="360" w:lineRule="auto"/>
        <w:rPr>
          <w:sz w:val="28"/>
          <w:szCs w:val="28"/>
        </w:rPr>
      </w:pPr>
      <w:r>
        <w:rPr>
          <w:sz w:val="28"/>
          <w:szCs w:val="28"/>
        </w:rPr>
        <w:t xml:space="preserve">Before The Honourable G Musariri, </w:t>
      </w:r>
      <w:r w:rsidR="00DD4B36">
        <w:rPr>
          <w:sz w:val="28"/>
          <w:szCs w:val="28"/>
        </w:rPr>
        <w:t>Judge:</w:t>
      </w:r>
    </w:p>
    <w:p w:rsidR="00DD4B36" w:rsidRDefault="00092BCE" w:rsidP="00DD4B36">
      <w:pPr>
        <w:spacing w:after="0" w:line="360" w:lineRule="auto"/>
        <w:rPr>
          <w:b/>
          <w:sz w:val="28"/>
          <w:szCs w:val="28"/>
        </w:rPr>
      </w:pPr>
      <w:r>
        <w:rPr>
          <w:b/>
          <w:sz w:val="28"/>
          <w:szCs w:val="28"/>
        </w:rPr>
        <w:t xml:space="preserve">For </w:t>
      </w:r>
      <w:r w:rsidR="00DD4B36">
        <w:rPr>
          <w:b/>
          <w:sz w:val="28"/>
          <w:szCs w:val="28"/>
        </w:rPr>
        <w:t>Appellant:</w:t>
      </w:r>
      <w:r w:rsidR="00DD4B36">
        <w:rPr>
          <w:b/>
          <w:sz w:val="28"/>
          <w:szCs w:val="28"/>
        </w:rPr>
        <w:tab/>
      </w:r>
      <w:r w:rsidR="00DD4B36">
        <w:rPr>
          <w:b/>
          <w:sz w:val="28"/>
          <w:szCs w:val="28"/>
        </w:rPr>
        <w:tab/>
        <w:t>M</w:t>
      </w:r>
      <w:r w:rsidR="00D06BA8">
        <w:rPr>
          <w:b/>
          <w:sz w:val="28"/>
          <w:szCs w:val="28"/>
        </w:rPr>
        <w:t>r</w:t>
      </w:r>
      <w:r w:rsidR="00DD4B36">
        <w:rPr>
          <w:b/>
          <w:sz w:val="28"/>
          <w:szCs w:val="28"/>
        </w:rPr>
        <w:t xml:space="preserve">. </w:t>
      </w:r>
      <w:r w:rsidR="00857BF5">
        <w:rPr>
          <w:b/>
          <w:sz w:val="28"/>
          <w:szCs w:val="28"/>
        </w:rPr>
        <w:t>H</w:t>
      </w:r>
      <w:r w:rsidR="00DD4B36">
        <w:rPr>
          <w:b/>
          <w:sz w:val="28"/>
          <w:szCs w:val="28"/>
        </w:rPr>
        <w:t xml:space="preserve">. </w:t>
      </w:r>
      <w:r w:rsidR="00857BF5">
        <w:rPr>
          <w:b/>
          <w:sz w:val="28"/>
          <w:szCs w:val="28"/>
        </w:rPr>
        <w:t>Tanaya</w:t>
      </w:r>
      <w:r w:rsidR="00DD4B36">
        <w:rPr>
          <w:b/>
          <w:sz w:val="28"/>
          <w:szCs w:val="28"/>
        </w:rPr>
        <w:t xml:space="preserve">, </w:t>
      </w:r>
      <w:r w:rsidR="00D06BA8">
        <w:rPr>
          <w:b/>
          <w:sz w:val="28"/>
          <w:szCs w:val="28"/>
        </w:rPr>
        <w:t>A</w:t>
      </w:r>
      <w:r w:rsidR="00857BF5">
        <w:rPr>
          <w:b/>
          <w:sz w:val="28"/>
          <w:szCs w:val="28"/>
        </w:rPr>
        <w:t>t</w:t>
      </w:r>
      <w:r w:rsidR="00D06BA8">
        <w:rPr>
          <w:b/>
          <w:sz w:val="28"/>
          <w:szCs w:val="28"/>
        </w:rPr>
        <w:t>t</w:t>
      </w:r>
      <w:r w:rsidR="00857BF5">
        <w:rPr>
          <w:b/>
          <w:sz w:val="28"/>
          <w:szCs w:val="28"/>
        </w:rPr>
        <w:t>orney</w:t>
      </w:r>
    </w:p>
    <w:p w:rsidR="00092BCE" w:rsidRPr="00EA4604" w:rsidRDefault="00092BCE" w:rsidP="00DD4B36">
      <w:pPr>
        <w:spacing w:after="0" w:line="360" w:lineRule="auto"/>
        <w:rPr>
          <w:b/>
          <w:sz w:val="28"/>
          <w:szCs w:val="28"/>
        </w:rPr>
      </w:pPr>
      <w:r>
        <w:rPr>
          <w:b/>
          <w:sz w:val="28"/>
          <w:szCs w:val="28"/>
        </w:rPr>
        <w:t>For Respondent</w:t>
      </w:r>
      <w:r w:rsidR="00857BF5">
        <w:rPr>
          <w:b/>
          <w:sz w:val="28"/>
          <w:szCs w:val="28"/>
        </w:rPr>
        <w:t>s</w:t>
      </w:r>
      <w:r w:rsidR="00DD4B36">
        <w:rPr>
          <w:b/>
          <w:sz w:val="28"/>
          <w:szCs w:val="28"/>
        </w:rPr>
        <w:t>:</w:t>
      </w:r>
      <w:r w:rsidR="00DD4B36">
        <w:rPr>
          <w:b/>
          <w:sz w:val="28"/>
          <w:szCs w:val="28"/>
        </w:rPr>
        <w:tab/>
      </w:r>
      <w:r w:rsidR="00DD4B36">
        <w:rPr>
          <w:b/>
          <w:sz w:val="28"/>
          <w:szCs w:val="28"/>
        </w:rPr>
        <w:tab/>
      </w:r>
      <w:r w:rsidR="00857BF5">
        <w:rPr>
          <w:b/>
          <w:sz w:val="28"/>
          <w:szCs w:val="28"/>
        </w:rPr>
        <w:t>Mr. M. Chimombe</w:t>
      </w:r>
      <w:r w:rsidR="00DD4B36">
        <w:rPr>
          <w:b/>
          <w:sz w:val="28"/>
          <w:szCs w:val="28"/>
        </w:rPr>
        <w:t xml:space="preserve">, </w:t>
      </w:r>
      <w:r w:rsidR="00857BF5">
        <w:rPr>
          <w:b/>
          <w:sz w:val="28"/>
          <w:szCs w:val="28"/>
        </w:rPr>
        <w:t>Officer</w:t>
      </w:r>
    </w:p>
    <w:p w:rsidR="00092BCE" w:rsidRDefault="00092BCE" w:rsidP="00092BCE">
      <w:pPr>
        <w:rPr>
          <w:b/>
          <w:sz w:val="28"/>
          <w:szCs w:val="28"/>
        </w:rPr>
      </w:pPr>
    </w:p>
    <w:p w:rsidR="00092BCE" w:rsidRDefault="00092BCE" w:rsidP="008E105D">
      <w:pPr>
        <w:jc w:val="both"/>
        <w:rPr>
          <w:b/>
          <w:sz w:val="28"/>
          <w:szCs w:val="28"/>
        </w:rPr>
      </w:pPr>
      <w:r>
        <w:rPr>
          <w:b/>
          <w:sz w:val="28"/>
          <w:szCs w:val="28"/>
        </w:rPr>
        <w:t>MUSARIRI, G:</w:t>
      </w:r>
    </w:p>
    <w:p w:rsidR="00702C3E" w:rsidRDefault="00702C3E" w:rsidP="008E105D">
      <w:pPr>
        <w:jc w:val="both"/>
        <w:rPr>
          <w:b/>
          <w:sz w:val="28"/>
          <w:szCs w:val="28"/>
        </w:rPr>
      </w:pPr>
    </w:p>
    <w:p w:rsidR="00702C3E" w:rsidRDefault="008E105D" w:rsidP="005B5682">
      <w:pPr>
        <w:spacing w:after="0" w:line="360" w:lineRule="auto"/>
        <w:jc w:val="both"/>
        <w:rPr>
          <w:sz w:val="28"/>
          <w:szCs w:val="28"/>
        </w:rPr>
      </w:pPr>
      <w:r>
        <w:rPr>
          <w:sz w:val="28"/>
          <w:szCs w:val="28"/>
        </w:rPr>
        <w:tab/>
        <w:t xml:space="preserve">Appellant </w:t>
      </w:r>
      <w:r w:rsidR="00D7667D">
        <w:rPr>
          <w:sz w:val="28"/>
          <w:szCs w:val="28"/>
        </w:rPr>
        <w:t>was dismissed from employment by 2</w:t>
      </w:r>
      <w:r w:rsidR="00D7667D" w:rsidRPr="00D7667D">
        <w:rPr>
          <w:sz w:val="28"/>
          <w:szCs w:val="28"/>
          <w:vertAlign w:val="superscript"/>
        </w:rPr>
        <w:t>nd</w:t>
      </w:r>
      <w:r w:rsidR="00D7667D">
        <w:rPr>
          <w:sz w:val="28"/>
          <w:szCs w:val="28"/>
        </w:rPr>
        <w:t xml:space="preserve"> Respondent on grounds of misconduct.  She sought a review of the dismissal.  </w:t>
      </w:r>
      <w:r w:rsidR="0066760E">
        <w:rPr>
          <w:sz w:val="28"/>
          <w:szCs w:val="28"/>
        </w:rPr>
        <w:t>1</w:t>
      </w:r>
      <w:r w:rsidR="0066760E" w:rsidRPr="0066760E">
        <w:rPr>
          <w:sz w:val="28"/>
          <w:szCs w:val="28"/>
          <w:vertAlign w:val="superscript"/>
        </w:rPr>
        <w:t>st</w:t>
      </w:r>
      <w:r w:rsidR="0066760E">
        <w:rPr>
          <w:sz w:val="28"/>
          <w:szCs w:val="28"/>
        </w:rPr>
        <w:t xml:space="preserve"> </w:t>
      </w:r>
      <w:r w:rsidR="00D7667D">
        <w:rPr>
          <w:sz w:val="28"/>
          <w:szCs w:val="28"/>
        </w:rPr>
        <w:t xml:space="preserve"> Respondent reviewed but confirmed her dismissal from employment.  She then appealed to this Court.  Her grounds of appeal were two-fold.  They were set out as follows,</w:t>
      </w:r>
    </w:p>
    <w:p w:rsidR="005B5682" w:rsidRDefault="005B5682" w:rsidP="005B5682">
      <w:pPr>
        <w:spacing w:after="0" w:line="360" w:lineRule="auto"/>
        <w:jc w:val="both"/>
        <w:rPr>
          <w:sz w:val="28"/>
          <w:szCs w:val="28"/>
        </w:rPr>
      </w:pPr>
    </w:p>
    <w:p w:rsidR="008E105D" w:rsidRDefault="005B5682" w:rsidP="005B5682">
      <w:pPr>
        <w:spacing w:after="0" w:line="360" w:lineRule="auto"/>
        <w:ind w:left="720" w:hanging="720"/>
        <w:jc w:val="both"/>
        <w:rPr>
          <w:rFonts w:ascii="Times New Roman" w:hAnsi="Times New Roman" w:cs="Times New Roman"/>
          <w:i/>
          <w:sz w:val="24"/>
          <w:szCs w:val="24"/>
        </w:rPr>
      </w:pPr>
      <w:r w:rsidRPr="00702C3E">
        <w:rPr>
          <w:rFonts w:ascii="Times New Roman" w:hAnsi="Times New Roman" w:cs="Times New Roman"/>
          <w:i/>
          <w:sz w:val="24"/>
          <w:szCs w:val="24"/>
        </w:rPr>
        <w:t xml:space="preserve"> </w:t>
      </w:r>
      <w:r w:rsidR="00D7667D" w:rsidRPr="00702C3E">
        <w:rPr>
          <w:rFonts w:ascii="Times New Roman" w:hAnsi="Times New Roman" w:cs="Times New Roman"/>
          <w:i/>
          <w:sz w:val="24"/>
          <w:szCs w:val="24"/>
        </w:rPr>
        <w:t>“1.</w:t>
      </w:r>
      <w:r w:rsidR="00D7667D" w:rsidRPr="00702C3E">
        <w:rPr>
          <w:rFonts w:ascii="Times New Roman" w:hAnsi="Times New Roman" w:cs="Times New Roman"/>
          <w:i/>
          <w:sz w:val="24"/>
          <w:szCs w:val="24"/>
        </w:rPr>
        <w:tab/>
        <w:t xml:space="preserve">The Public Service Commission’s confirmation of the Disciplinary Authority’s determination that Appellant is guilty of misconduct is grossly erroneous in law as it was not based on any credible and acceptable evidence.  The </w:t>
      </w:r>
      <w:r w:rsidR="00E05A99" w:rsidRPr="00702C3E">
        <w:rPr>
          <w:rFonts w:ascii="Times New Roman" w:hAnsi="Times New Roman" w:cs="Times New Roman"/>
          <w:i/>
          <w:sz w:val="24"/>
          <w:szCs w:val="24"/>
        </w:rPr>
        <w:t xml:space="preserve">Appellant’s “Request for Review by the Commission” and the Commission’s ‘Confirmation Letter” are hereto attached as </w:t>
      </w:r>
      <w:r w:rsidR="00DB1191" w:rsidRPr="00702C3E">
        <w:rPr>
          <w:rFonts w:ascii="Times New Roman" w:hAnsi="Times New Roman" w:cs="Times New Roman"/>
          <w:i/>
          <w:sz w:val="24"/>
          <w:szCs w:val="24"/>
        </w:rPr>
        <w:t>Annexure</w:t>
      </w:r>
      <w:r w:rsidR="00E05A99" w:rsidRPr="00702C3E">
        <w:rPr>
          <w:rFonts w:ascii="Times New Roman" w:hAnsi="Times New Roman" w:cs="Times New Roman"/>
          <w:i/>
          <w:sz w:val="24"/>
          <w:szCs w:val="24"/>
        </w:rPr>
        <w:t xml:space="preserve"> B and C respectively. </w:t>
      </w:r>
    </w:p>
    <w:p w:rsidR="00702C3E" w:rsidRPr="00702C3E" w:rsidRDefault="00702C3E" w:rsidP="005B5682">
      <w:pPr>
        <w:spacing w:after="0" w:line="240" w:lineRule="auto"/>
        <w:ind w:left="720" w:hanging="720"/>
        <w:jc w:val="both"/>
        <w:rPr>
          <w:rFonts w:ascii="Times New Roman" w:hAnsi="Times New Roman" w:cs="Times New Roman"/>
          <w:i/>
          <w:sz w:val="24"/>
          <w:szCs w:val="24"/>
        </w:rPr>
      </w:pPr>
    </w:p>
    <w:p w:rsidR="00702C3E" w:rsidRPr="00702C3E" w:rsidRDefault="00E05A99" w:rsidP="005B5682">
      <w:pPr>
        <w:spacing w:line="360" w:lineRule="auto"/>
        <w:ind w:left="720" w:hanging="720"/>
        <w:jc w:val="both"/>
        <w:rPr>
          <w:rFonts w:ascii="Times New Roman" w:hAnsi="Times New Roman" w:cs="Times New Roman"/>
          <w:i/>
          <w:sz w:val="24"/>
          <w:szCs w:val="24"/>
        </w:rPr>
      </w:pPr>
      <w:r w:rsidRPr="00702C3E">
        <w:rPr>
          <w:rFonts w:ascii="Times New Roman" w:hAnsi="Times New Roman" w:cs="Times New Roman"/>
          <w:i/>
          <w:sz w:val="24"/>
          <w:szCs w:val="24"/>
        </w:rPr>
        <w:t>2.</w:t>
      </w:r>
      <w:r w:rsidRPr="00702C3E">
        <w:rPr>
          <w:rFonts w:ascii="Times New Roman" w:hAnsi="Times New Roman" w:cs="Times New Roman"/>
          <w:i/>
          <w:sz w:val="24"/>
          <w:szCs w:val="24"/>
        </w:rPr>
        <w:tab/>
        <w:t>The Public Service Commission grossly erred in law in confirming the decision of the Disciplinary Authority without giving reasons for so doing.”</w:t>
      </w:r>
    </w:p>
    <w:p w:rsidR="00E05A99" w:rsidRDefault="00E05A99" w:rsidP="005B5682">
      <w:pPr>
        <w:spacing w:after="0" w:line="360" w:lineRule="auto"/>
        <w:ind w:firstLine="720"/>
        <w:jc w:val="both"/>
        <w:rPr>
          <w:sz w:val="28"/>
          <w:szCs w:val="28"/>
        </w:rPr>
      </w:pPr>
      <w:r>
        <w:rPr>
          <w:sz w:val="28"/>
          <w:szCs w:val="28"/>
        </w:rPr>
        <w:lastRenderedPageBreak/>
        <w:t>At the onset of oral arguments, Appellant abandoned the 2</w:t>
      </w:r>
      <w:r w:rsidRPr="00E05A99">
        <w:rPr>
          <w:sz w:val="28"/>
          <w:szCs w:val="28"/>
          <w:vertAlign w:val="superscript"/>
        </w:rPr>
        <w:t>nd</w:t>
      </w:r>
      <w:r>
        <w:rPr>
          <w:sz w:val="28"/>
          <w:szCs w:val="28"/>
        </w:rPr>
        <w:t xml:space="preserve"> ground</w:t>
      </w:r>
      <w:r w:rsidR="0066760E">
        <w:rPr>
          <w:sz w:val="28"/>
          <w:szCs w:val="28"/>
        </w:rPr>
        <w:t>.  That left the 1</w:t>
      </w:r>
      <w:r w:rsidR="0066760E" w:rsidRPr="0066760E">
        <w:rPr>
          <w:sz w:val="28"/>
          <w:szCs w:val="28"/>
          <w:vertAlign w:val="superscript"/>
        </w:rPr>
        <w:t>st</w:t>
      </w:r>
      <w:r w:rsidR="0066760E">
        <w:rPr>
          <w:sz w:val="28"/>
          <w:szCs w:val="28"/>
        </w:rPr>
        <w:t xml:space="preserve"> ground</w:t>
      </w:r>
      <w:r>
        <w:rPr>
          <w:sz w:val="28"/>
          <w:szCs w:val="28"/>
        </w:rPr>
        <w:t xml:space="preserve"> as the sole ground of appeal.  The </w:t>
      </w:r>
      <w:r w:rsidR="0066760E">
        <w:rPr>
          <w:sz w:val="28"/>
          <w:szCs w:val="28"/>
        </w:rPr>
        <w:t>appeal</w:t>
      </w:r>
      <w:r>
        <w:rPr>
          <w:sz w:val="28"/>
          <w:szCs w:val="28"/>
        </w:rPr>
        <w:t xml:space="preserve"> then focused on whether the proofs supported the verdict rendered. </w:t>
      </w:r>
    </w:p>
    <w:p w:rsidR="00E05A99" w:rsidRDefault="00E05A99" w:rsidP="005B5682">
      <w:pPr>
        <w:spacing w:after="0"/>
        <w:jc w:val="both"/>
        <w:rPr>
          <w:sz w:val="28"/>
          <w:szCs w:val="28"/>
        </w:rPr>
      </w:pPr>
    </w:p>
    <w:p w:rsidR="00E05A99" w:rsidRDefault="00E05A99" w:rsidP="00DB1191">
      <w:pPr>
        <w:spacing w:after="0" w:line="360" w:lineRule="auto"/>
        <w:ind w:firstLine="720"/>
        <w:jc w:val="both"/>
        <w:rPr>
          <w:sz w:val="28"/>
          <w:szCs w:val="28"/>
        </w:rPr>
      </w:pPr>
      <w:r>
        <w:rPr>
          <w:sz w:val="28"/>
          <w:szCs w:val="28"/>
        </w:rPr>
        <w:t xml:space="preserve">Appellant worked for Respondent as a Processing </w:t>
      </w:r>
      <w:r w:rsidR="00D763B2">
        <w:rPr>
          <w:sz w:val="28"/>
          <w:szCs w:val="28"/>
        </w:rPr>
        <w:t>Officer in its Passport Office at Mutare.  In the course of her duties she processed an application in the name of “W. Makuni”.  This resulted in the issuance of a passport in the name of Makuni.  A few years later the real McCoy</w:t>
      </w:r>
      <w:r w:rsidR="0066760E">
        <w:rPr>
          <w:sz w:val="28"/>
          <w:szCs w:val="28"/>
        </w:rPr>
        <w:t>,</w:t>
      </w:r>
      <w:r w:rsidR="00D763B2">
        <w:rPr>
          <w:sz w:val="28"/>
          <w:szCs w:val="28"/>
        </w:rPr>
        <w:t xml:space="preserve"> i.e. Walter Makuni</w:t>
      </w:r>
      <w:r w:rsidR="0066760E">
        <w:rPr>
          <w:sz w:val="28"/>
          <w:szCs w:val="28"/>
        </w:rPr>
        <w:t>,</w:t>
      </w:r>
      <w:r w:rsidR="00D763B2">
        <w:rPr>
          <w:sz w:val="28"/>
          <w:szCs w:val="28"/>
        </w:rPr>
        <w:t xml:space="preserve"> applied for a passport.  This triggered investigations which showed that the initial application had been initiated by a rogue known</w:t>
      </w:r>
      <w:r w:rsidR="0066760E">
        <w:rPr>
          <w:sz w:val="28"/>
          <w:szCs w:val="28"/>
        </w:rPr>
        <w:t xml:space="preserve"> as</w:t>
      </w:r>
      <w:r w:rsidR="00D763B2">
        <w:rPr>
          <w:sz w:val="28"/>
          <w:szCs w:val="28"/>
        </w:rPr>
        <w:t xml:space="preserve"> Hardlife </w:t>
      </w:r>
      <w:r w:rsidR="00DB1191">
        <w:rPr>
          <w:sz w:val="28"/>
          <w:szCs w:val="28"/>
        </w:rPr>
        <w:t>Dera</w:t>
      </w:r>
      <w:r w:rsidR="00D763B2">
        <w:rPr>
          <w:sz w:val="28"/>
          <w:szCs w:val="28"/>
        </w:rPr>
        <w:t xml:space="preserve">.  </w:t>
      </w:r>
      <w:r w:rsidR="00DB1191">
        <w:rPr>
          <w:sz w:val="28"/>
          <w:szCs w:val="28"/>
        </w:rPr>
        <w:t>Dera</w:t>
      </w:r>
      <w:r w:rsidR="00D763B2">
        <w:rPr>
          <w:sz w:val="28"/>
          <w:szCs w:val="28"/>
        </w:rPr>
        <w:t xml:space="preserve"> deposed to an affidavi</w:t>
      </w:r>
      <w:r w:rsidR="00752E38">
        <w:rPr>
          <w:sz w:val="28"/>
          <w:szCs w:val="28"/>
        </w:rPr>
        <w:t>t</w:t>
      </w:r>
      <w:r w:rsidR="00D763B2">
        <w:rPr>
          <w:sz w:val="28"/>
          <w:szCs w:val="28"/>
        </w:rPr>
        <w:t xml:space="preserve">.  A copy is filed of record.  Therein </w:t>
      </w:r>
      <w:r w:rsidR="00DB1191">
        <w:rPr>
          <w:sz w:val="28"/>
          <w:szCs w:val="28"/>
        </w:rPr>
        <w:t>Dera</w:t>
      </w:r>
      <w:r w:rsidR="0066760E">
        <w:rPr>
          <w:sz w:val="28"/>
          <w:szCs w:val="28"/>
        </w:rPr>
        <w:t xml:space="preserve"> confessed to certain s</w:t>
      </w:r>
      <w:r w:rsidR="00D763B2">
        <w:rPr>
          <w:sz w:val="28"/>
          <w:szCs w:val="28"/>
        </w:rPr>
        <w:t xml:space="preserve">henanigans involving Makuni’s identity particulars.  Using copies of Makuni’s documents, he engaged a dealer going by the moniker </w:t>
      </w:r>
      <w:r w:rsidR="00752E38">
        <w:rPr>
          <w:sz w:val="28"/>
          <w:szCs w:val="28"/>
        </w:rPr>
        <w:t>“</w:t>
      </w:r>
      <w:r w:rsidR="00752E38">
        <w:rPr>
          <w:i/>
          <w:sz w:val="28"/>
          <w:szCs w:val="28"/>
        </w:rPr>
        <w:t>Moto Moto”</w:t>
      </w:r>
      <w:r w:rsidR="00752E38">
        <w:rPr>
          <w:sz w:val="28"/>
          <w:szCs w:val="28"/>
        </w:rPr>
        <w:t xml:space="preserve"> to obtain </w:t>
      </w:r>
      <w:r w:rsidR="0066760E">
        <w:rPr>
          <w:sz w:val="28"/>
          <w:szCs w:val="28"/>
        </w:rPr>
        <w:t>the passport on his behalf.  T</w:t>
      </w:r>
      <w:r w:rsidR="00752E38">
        <w:rPr>
          <w:sz w:val="28"/>
          <w:szCs w:val="28"/>
        </w:rPr>
        <w:t>he dealer was duly paid a princely sum of US$80,00 for his “</w:t>
      </w:r>
      <w:r w:rsidR="0066760E">
        <w:rPr>
          <w:i/>
          <w:sz w:val="28"/>
          <w:szCs w:val="28"/>
        </w:rPr>
        <w:t>s</w:t>
      </w:r>
      <w:r w:rsidR="00752E38" w:rsidRPr="00752E38">
        <w:rPr>
          <w:i/>
          <w:sz w:val="28"/>
          <w:szCs w:val="28"/>
        </w:rPr>
        <w:t>ervices</w:t>
      </w:r>
      <w:r w:rsidR="00752E38">
        <w:rPr>
          <w:sz w:val="28"/>
          <w:szCs w:val="28"/>
        </w:rPr>
        <w:t xml:space="preserve">”.  Respondents relied solely on </w:t>
      </w:r>
      <w:r w:rsidR="00DB1191">
        <w:rPr>
          <w:sz w:val="28"/>
          <w:szCs w:val="28"/>
        </w:rPr>
        <w:t>Dera</w:t>
      </w:r>
      <w:r w:rsidR="00752E38">
        <w:rPr>
          <w:sz w:val="28"/>
          <w:szCs w:val="28"/>
        </w:rPr>
        <w:t>’s affidavit.  They argued that since Appellant processed the</w:t>
      </w:r>
      <w:r w:rsidR="0066760E">
        <w:rPr>
          <w:sz w:val="28"/>
          <w:szCs w:val="28"/>
        </w:rPr>
        <w:t xml:space="preserve"> application she must have collu</w:t>
      </w:r>
      <w:r w:rsidR="00752E38">
        <w:rPr>
          <w:sz w:val="28"/>
          <w:szCs w:val="28"/>
        </w:rPr>
        <w:t xml:space="preserve">ded with </w:t>
      </w:r>
      <w:r w:rsidR="00DB1191">
        <w:rPr>
          <w:sz w:val="28"/>
          <w:szCs w:val="28"/>
        </w:rPr>
        <w:t>Dera</w:t>
      </w:r>
      <w:r w:rsidR="00752E38">
        <w:rPr>
          <w:sz w:val="28"/>
          <w:szCs w:val="28"/>
        </w:rPr>
        <w:t xml:space="preserve"> and/or his dealer.  She was required to cross-check the copies of t</w:t>
      </w:r>
      <w:r w:rsidR="007E7C62">
        <w:rPr>
          <w:sz w:val="28"/>
          <w:szCs w:val="28"/>
        </w:rPr>
        <w:t xml:space="preserve">he supporting </w:t>
      </w:r>
      <w:r w:rsidR="0066760E">
        <w:rPr>
          <w:sz w:val="28"/>
          <w:szCs w:val="28"/>
        </w:rPr>
        <w:t xml:space="preserve">documents </w:t>
      </w:r>
      <w:r w:rsidR="007E7C62">
        <w:rPr>
          <w:sz w:val="28"/>
          <w:szCs w:val="28"/>
        </w:rPr>
        <w:t xml:space="preserve">with the </w:t>
      </w:r>
      <w:r w:rsidR="00195A03">
        <w:rPr>
          <w:sz w:val="28"/>
          <w:szCs w:val="28"/>
        </w:rPr>
        <w:t>originals</w:t>
      </w:r>
      <w:r w:rsidR="00752E38">
        <w:rPr>
          <w:sz w:val="28"/>
          <w:szCs w:val="28"/>
        </w:rPr>
        <w:t>.  The fact that s</w:t>
      </w:r>
      <w:r w:rsidR="0066760E">
        <w:rPr>
          <w:sz w:val="28"/>
          <w:szCs w:val="28"/>
        </w:rPr>
        <w:t>he didn’t, so they argued, showed</w:t>
      </w:r>
      <w:r w:rsidR="00752E38">
        <w:rPr>
          <w:sz w:val="28"/>
          <w:szCs w:val="28"/>
        </w:rPr>
        <w:t xml:space="preserve"> that she was a willing accomplice to the scam. </w:t>
      </w:r>
    </w:p>
    <w:p w:rsidR="00752E38" w:rsidRDefault="00752E38" w:rsidP="00DB1191">
      <w:pPr>
        <w:spacing w:after="0" w:line="360" w:lineRule="auto"/>
        <w:ind w:firstLine="720"/>
        <w:jc w:val="both"/>
        <w:rPr>
          <w:sz w:val="28"/>
          <w:szCs w:val="28"/>
        </w:rPr>
      </w:pPr>
    </w:p>
    <w:p w:rsidR="00752E38" w:rsidRDefault="00752E38" w:rsidP="00DB1191">
      <w:pPr>
        <w:spacing w:after="0" w:line="360" w:lineRule="auto"/>
        <w:ind w:firstLine="720"/>
        <w:jc w:val="both"/>
        <w:rPr>
          <w:sz w:val="28"/>
          <w:szCs w:val="28"/>
        </w:rPr>
      </w:pPr>
      <w:r>
        <w:rPr>
          <w:sz w:val="28"/>
          <w:szCs w:val="28"/>
        </w:rPr>
        <w:t xml:space="preserve">Appellant insisted that the person she dealt with was the person with the photo and particulars on the documents presented.  In my view that appears consistent with </w:t>
      </w:r>
      <w:r w:rsidR="00DB1191">
        <w:rPr>
          <w:sz w:val="28"/>
          <w:szCs w:val="28"/>
        </w:rPr>
        <w:t>Dera</w:t>
      </w:r>
      <w:r>
        <w:rPr>
          <w:sz w:val="28"/>
          <w:szCs w:val="28"/>
        </w:rPr>
        <w:t xml:space="preserve">’s affidavit.  The relevant portion confessed thus, </w:t>
      </w:r>
    </w:p>
    <w:p w:rsidR="00227E85" w:rsidRPr="00195A03" w:rsidRDefault="00001453" w:rsidP="00DB1191">
      <w:pPr>
        <w:spacing w:after="0" w:line="360" w:lineRule="auto"/>
        <w:ind w:left="720" w:firstLine="720"/>
        <w:jc w:val="both"/>
        <w:rPr>
          <w:rFonts w:ascii="Times New Roman" w:hAnsi="Times New Roman" w:cs="Times New Roman"/>
          <w:sz w:val="24"/>
          <w:szCs w:val="24"/>
        </w:rPr>
      </w:pPr>
      <w:r w:rsidRPr="00195A03">
        <w:rPr>
          <w:rFonts w:ascii="Times New Roman" w:hAnsi="Times New Roman" w:cs="Times New Roman"/>
          <w:i/>
          <w:sz w:val="24"/>
          <w:szCs w:val="24"/>
        </w:rPr>
        <w:t xml:space="preserve">“...advised me to use Walter’s I.D. copy to synthesise I.D. with my own picture so we used one of </w:t>
      </w:r>
      <w:r w:rsidRPr="00195A03">
        <w:rPr>
          <w:rFonts w:ascii="Times New Roman" w:hAnsi="Times New Roman" w:cs="Times New Roman"/>
          <w:i/>
          <w:sz w:val="24"/>
          <w:szCs w:val="24"/>
          <w:u w:val="single"/>
        </w:rPr>
        <w:t>my....photos and imposed it on the I.D. copy,</w:t>
      </w:r>
      <w:r w:rsidR="007E7C62" w:rsidRPr="00195A03">
        <w:rPr>
          <w:rFonts w:ascii="Times New Roman" w:hAnsi="Times New Roman" w:cs="Times New Roman"/>
          <w:i/>
          <w:sz w:val="24"/>
          <w:szCs w:val="24"/>
        </w:rPr>
        <w:t xml:space="preserve"> which </w:t>
      </w:r>
      <w:r w:rsidR="00227E85" w:rsidRPr="00195A03">
        <w:rPr>
          <w:rFonts w:ascii="Times New Roman" w:hAnsi="Times New Roman" w:cs="Times New Roman"/>
          <w:i/>
          <w:sz w:val="24"/>
          <w:szCs w:val="24"/>
        </w:rPr>
        <w:t xml:space="preserve">then we ... copied again.  We then used that document to facilitate ... processing of the passport.” </w:t>
      </w:r>
      <w:r w:rsidR="00195A03" w:rsidRPr="00195A03">
        <w:rPr>
          <w:rFonts w:ascii="Times New Roman" w:hAnsi="Times New Roman" w:cs="Times New Roman"/>
          <w:sz w:val="24"/>
          <w:szCs w:val="24"/>
        </w:rPr>
        <w:t>(The underlining for emphasis is mine.)</w:t>
      </w:r>
    </w:p>
    <w:p w:rsidR="00752E38" w:rsidRDefault="00227E85" w:rsidP="00DB1191">
      <w:pPr>
        <w:spacing w:after="0" w:line="360" w:lineRule="auto"/>
        <w:jc w:val="both"/>
        <w:rPr>
          <w:sz w:val="28"/>
          <w:szCs w:val="28"/>
        </w:rPr>
      </w:pPr>
      <w:r>
        <w:rPr>
          <w:sz w:val="28"/>
          <w:szCs w:val="28"/>
        </w:rPr>
        <w:lastRenderedPageBreak/>
        <w:tab/>
        <w:t xml:space="preserve">So it appears that Appellant was presented with a fake I.D. with Dera’s photo but with the particulars of Makuni.  </w:t>
      </w:r>
      <w:r w:rsidR="0066760E">
        <w:rPr>
          <w:sz w:val="28"/>
          <w:szCs w:val="28"/>
        </w:rPr>
        <w:t>Anybody in her position</w:t>
      </w:r>
      <w:r>
        <w:rPr>
          <w:sz w:val="28"/>
          <w:szCs w:val="28"/>
        </w:rPr>
        <w:t xml:space="preserve"> could have easily been fooled into thinking that it was Makuni making the application.  That Dera </w:t>
      </w:r>
      <w:r w:rsidR="004B47DC">
        <w:rPr>
          <w:sz w:val="28"/>
          <w:szCs w:val="28"/>
        </w:rPr>
        <w:t xml:space="preserve">claims he did not appear in person must be viewed with a pinch of salt.  Dera was a rogue engaged in a fraudulent activity.  His word can only be credited where it is corroborated by independent sources.  On that score it is not corroborated.  I therefore give the </w:t>
      </w:r>
      <w:r w:rsidR="00861DFC">
        <w:rPr>
          <w:sz w:val="28"/>
          <w:szCs w:val="28"/>
        </w:rPr>
        <w:t xml:space="preserve">benefit of doubt to Appellant when she said that the person who appeared before her was the person with the photo on the I.D. presented.  In view </w:t>
      </w:r>
      <w:r w:rsidR="0066760E">
        <w:rPr>
          <w:sz w:val="28"/>
          <w:szCs w:val="28"/>
        </w:rPr>
        <w:t>of the</w:t>
      </w:r>
      <w:r w:rsidR="00861DFC">
        <w:rPr>
          <w:sz w:val="28"/>
          <w:szCs w:val="28"/>
        </w:rPr>
        <w:t xml:space="preserve"> position I have taken, it follows that the case against </w:t>
      </w:r>
      <w:r w:rsidR="0066760E">
        <w:rPr>
          <w:sz w:val="28"/>
          <w:szCs w:val="28"/>
        </w:rPr>
        <w:t xml:space="preserve">her </w:t>
      </w:r>
      <w:r w:rsidR="00861DFC">
        <w:rPr>
          <w:sz w:val="28"/>
          <w:szCs w:val="28"/>
        </w:rPr>
        <w:t>was not supported by credible evidence</w:t>
      </w:r>
      <w:r w:rsidR="0066760E">
        <w:rPr>
          <w:sz w:val="28"/>
          <w:szCs w:val="28"/>
        </w:rPr>
        <w:t>,</w:t>
      </w:r>
      <w:r w:rsidR="00861DFC">
        <w:rPr>
          <w:sz w:val="28"/>
          <w:szCs w:val="28"/>
        </w:rPr>
        <w:t xml:space="preserve"> as argued on Appellant’s behalf.  Thus her dismissal was unfounded. </w:t>
      </w:r>
    </w:p>
    <w:p w:rsidR="00861DFC" w:rsidRDefault="00861DFC" w:rsidP="00227E85">
      <w:pPr>
        <w:jc w:val="both"/>
        <w:rPr>
          <w:sz w:val="28"/>
          <w:szCs w:val="28"/>
        </w:rPr>
      </w:pPr>
    </w:p>
    <w:p w:rsidR="00861DFC" w:rsidRDefault="00DB1191" w:rsidP="00DB1191">
      <w:pPr>
        <w:ind w:firstLine="360"/>
        <w:jc w:val="both"/>
        <w:rPr>
          <w:sz w:val="28"/>
          <w:szCs w:val="28"/>
        </w:rPr>
      </w:pPr>
      <w:r>
        <w:rPr>
          <w:sz w:val="28"/>
          <w:szCs w:val="28"/>
        </w:rPr>
        <w:t>Wherefore it is ordered that,</w:t>
      </w:r>
    </w:p>
    <w:p w:rsidR="00DB1191" w:rsidRDefault="00DB1191" w:rsidP="00DB1191">
      <w:pPr>
        <w:pStyle w:val="ListParagraph"/>
        <w:numPr>
          <w:ilvl w:val="0"/>
          <w:numId w:val="1"/>
        </w:numPr>
        <w:spacing w:line="480" w:lineRule="auto"/>
        <w:jc w:val="both"/>
        <w:rPr>
          <w:sz w:val="28"/>
          <w:szCs w:val="28"/>
        </w:rPr>
      </w:pPr>
      <w:r>
        <w:rPr>
          <w:sz w:val="28"/>
          <w:szCs w:val="28"/>
        </w:rPr>
        <w:t>The appeal is hereby allowed;</w:t>
      </w:r>
    </w:p>
    <w:p w:rsidR="00DB1191" w:rsidRDefault="00DB1191" w:rsidP="00DB1191">
      <w:pPr>
        <w:pStyle w:val="ListParagraph"/>
        <w:numPr>
          <w:ilvl w:val="0"/>
          <w:numId w:val="1"/>
        </w:numPr>
        <w:spacing w:line="480" w:lineRule="auto"/>
        <w:jc w:val="both"/>
        <w:rPr>
          <w:sz w:val="28"/>
          <w:szCs w:val="28"/>
        </w:rPr>
      </w:pPr>
      <w:r>
        <w:rPr>
          <w:sz w:val="28"/>
          <w:szCs w:val="28"/>
        </w:rPr>
        <w:t>The dismissal of Appellant by 2</w:t>
      </w:r>
      <w:r w:rsidRPr="00DB1191">
        <w:rPr>
          <w:sz w:val="28"/>
          <w:szCs w:val="28"/>
          <w:vertAlign w:val="superscript"/>
        </w:rPr>
        <w:t>nd</w:t>
      </w:r>
      <w:r>
        <w:rPr>
          <w:sz w:val="28"/>
          <w:szCs w:val="28"/>
        </w:rPr>
        <w:t xml:space="preserve"> Respondent is set aside;</w:t>
      </w:r>
    </w:p>
    <w:p w:rsidR="00DB1191" w:rsidRDefault="00DB1191" w:rsidP="00DB1191">
      <w:pPr>
        <w:pStyle w:val="ListParagraph"/>
        <w:numPr>
          <w:ilvl w:val="0"/>
          <w:numId w:val="1"/>
        </w:numPr>
        <w:spacing w:line="480" w:lineRule="auto"/>
        <w:jc w:val="both"/>
        <w:rPr>
          <w:sz w:val="28"/>
          <w:szCs w:val="28"/>
        </w:rPr>
      </w:pPr>
      <w:r>
        <w:rPr>
          <w:sz w:val="28"/>
          <w:szCs w:val="28"/>
        </w:rPr>
        <w:t>The c</w:t>
      </w:r>
      <w:r w:rsidR="0066760E">
        <w:rPr>
          <w:sz w:val="28"/>
          <w:szCs w:val="28"/>
        </w:rPr>
        <w:t>onfirmation of the dismissal by</w:t>
      </w:r>
      <w:r>
        <w:rPr>
          <w:sz w:val="28"/>
          <w:szCs w:val="28"/>
        </w:rPr>
        <w:t xml:space="preserve"> 1</w:t>
      </w:r>
      <w:r w:rsidRPr="00DB1191">
        <w:rPr>
          <w:sz w:val="28"/>
          <w:szCs w:val="28"/>
          <w:vertAlign w:val="superscript"/>
        </w:rPr>
        <w:t>st</w:t>
      </w:r>
      <w:r>
        <w:rPr>
          <w:sz w:val="28"/>
          <w:szCs w:val="28"/>
        </w:rPr>
        <w:t xml:space="preserve"> Respondent is set aside;</w:t>
      </w:r>
    </w:p>
    <w:p w:rsidR="00DB1191" w:rsidRDefault="00DB1191" w:rsidP="00DB1191">
      <w:pPr>
        <w:pStyle w:val="ListParagraph"/>
        <w:numPr>
          <w:ilvl w:val="0"/>
          <w:numId w:val="1"/>
        </w:numPr>
        <w:spacing w:line="360" w:lineRule="auto"/>
        <w:jc w:val="both"/>
        <w:rPr>
          <w:sz w:val="28"/>
          <w:szCs w:val="28"/>
        </w:rPr>
      </w:pPr>
      <w:r>
        <w:rPr>
          <w:sz w:val="28"/>
          <w:szCs w:val="28"/>
        </w:rPr>
        <w:t>Respondents shall reinstate Appellant without loss of salary and benefits failing which Respondents shall pay Appellant damages for loss of employment in a sum either</w:t>
      </w:r>
      <w:r w:rsidR="0066760E">
        <w:rPr>
          <w:sz w:val="28"/>
          <w:szCs w:val="28"/>
        </w:rPr>
        <w:t>,</w:t>
      </w:r>
      <w:r>
        <w:rPr>
          <w:sz w:val="28"/>
          <w:szCs w:val="28"/>
        </w:rPr>
        <w:t xml:space="preserve"> </w:t>
      </w:r>
    </w:p>
    <w:p w:rsidR="00DB1191" w:rsidRDefault="00DB1191" w:rsidP="00DB1191">
      <w:pPr>
        <w:pStyle w:val="ListParagraph"/>
        <w:numPr>
          <w:ilvl w:val="0"/>
          <w:numId w:val="2"/>
        </w:numPr>
        <w:spacing w:line="360" w:lineRule="auto"/>
        <w:ind w:left="1418" w:hanging="698"/>
        <w:jc w:val="both"/>
        <w:rPr>
          <w:sz w:val="28"/>
          <w:szCs w:val="28"/>
        </w:rPr>
      </w:pPr>
      <w:r>
        <w:rPr>
          <w:sz w:val="28"/>
          <w:szCs w:val="28"/>
        </w:rPr>
        <w:t xml:space="preserve">agreed by the parties or </w:t>
      </w:r>
    </w:p>
    <w:p w:rsidR="00DB1191" w:rsidRPr="00DB1191" w:rsidRDefault="00195A03" w:rsidP="00DB1191">
      <w:pPr>
        <w:pStyle w:val="ListParagraph"/>
        <w:numPr>
          <w:ilvl w:val="0"/>
          <w:numId w:val="2"/>
        </w:numPr>
        <w:spacing w:line="360" w:lineRule="auto"/>
        <w:ind w:left="1418" w:hanging="698"/>
        <w:jc w:val="both"/>
        <w:rPr>
          <w:sz w:val="28"/>
          <w:szCs w:val="28"/>
        </w:rPr>
      </w:pPr>
      <w:r>
        <w:rPr>
          <w:sz w:val="28"/>
          <w:szCs w:val="28"/>
        </w:rPr>
        <w:t>assessed by this Court.</w:t>
      </w:r>
    </w:p>
    <w:p w:rsidR="00BD636D" w:rsidRDefault="00BD636D" w:rsidP="00195A03">
      <w:pPr>
        <w:spacing w:after="0" w:line="240" w:lineRule="auto"/>
        <w:jc w:val="both"/>
        <w:rPr>
          <w:rFonts w:ascii="Calibri" w:hAnsi="Calibri" w:cs="Times New Roman"/>
          <w:sz w:val="28"/>
          <w:szCs w:val="28"/>
        </w:rPr>
      </w:pPr>
    </w:p>
    <w:p w:rsidR="00195A03" w:rsidRDefault="00195A03" w:rsidP="00195A03">
      <w:pPr>
        <w:spacing w:after="0" w:line="240" w:lineRule="auto"/>
        <w:jc w:val="both"/>
        <w:rPr>
          <w:rFonts w:ascii="Calibri" w:hAnsi="Calibri" w:cs="Times New Roman"/>
          <w:sz w:val="28"/>
          <w:szCs w:val="28"/>
        </w:rPr>
      </w:pPr>
    </w:p>
    <w:p w:rsidR="00195A03" w:rsidRDefault="00195A03" w:rsidP="00195A03">
      <w:pPr>
        <w:spacing w:after="0" w:line="240" w:lineRule="auto"/>
        <w:jc w:val="both"/>
        <w:rPr>
          <w:rFonts w:ascii="Calibri" w:hAnsi="Calibri" w:cs="Times New Roman"/>
          <w:sz w:val="28"/>
          <w:szCs w:val="28"/>
        </w:rPr>
      </w:pPr>
    </w:p>
    <w:p w:rsidR="00BD636D" w:rsidRDefault="00BD636D" w:rsidP="00195A03">
      <w:pPr>
        <w:spacing w:after="0" w:line="240" w:lineRule="auto"/>
        <w:jc w:val="both"/>
        <w:rPr>
          <w:rFonts w:ascii="Calibri" w:hAnsi="Calibri" w:cs="Times New Roman"/>
          <w:sz w:val="28"/>
          <w:szCs w:val="28"/>
        </w:rPr>
      </w:pPr>
      <w:r>
        <w:rPr>
          <w:rFonts w:ascii="Calibri" w:hAnsi="Calibri" w:cs="Times New Roman"/>
          <w:sz w:val="28"/>
          <w:szCs w:val="28"/>
        </w:rPr>
        <w:t>............................................</w:t>
      </w:r>
    </w:p>
    <w:p w:rsidR="00BD636D" w:rsidRPr="00B05517" w:rsidRDefault="00BD636D" w:rsidP="00195A03">
      <w:pPr>
        <w:spacing w:after="0" w:line="240" w:lineRule="auto"/>
        <w:jc w:val="both"/>
        <w:rPr>
          <w:rFonts w:ascii="Calibri" w:hAnsi="Calibri" w:cs="Times New Roman"/>
          <w:b/>
          <w:sz w:val="28"/>
          <w:szCs w:val="28"/>
        </w:rPr>
      </w:pPr>
      <w:r w:rsidRPr="00B05517">
        <w:rPr>
          <w:rFonts w:ascii="Calibri" w:hAnsi="Calibri" w:cs="Times New Roman"/>
          <w:b/>
          <w:sz w:val="28"/>
          <w:szCs w:val="28"/>
        </w:rPr>
        <w:t>G. MUSARIRI</w:t>
      </w:r>
    </w:p>
    <w:p w:rsidR="00BD636D" w:rsidRPr="00195A03" w:rsidRDefault="00BD636D" w:rsidP="00195A03">
      <w:pPr>
        <w:spacing w:after="0" w:line="240" w:lineRule="auto"/>
        <w:jc w:val="both"/>
        <w:rPr>
          <w:rFonts w:ascii="Calibri" w:hAnsi="Calibri" w:cs="Times New Roman"/>
          <w:b/>
          <w:sz w:val="28"/>
          <w:szCs w:val="28"/>
        </w:rPr>
      </w:pPr>
      <w:r>
        <w:rPr>
          <w:rFonts w:ascii="Calibri" w:hAnsi="Calibri" w:cs="Times New Roman"/>
          <w:b/>
          <w:sz w:val="28"/>
          <w:szCs w:val="28"/>
        </w:rPr>
        <w:t>JUDGE</w:t>
      </w:r>
    </w:p>
    <w:sectPr w:rsidR="00BD636D" w:rsidRPr="00195A03" w:rsidSect="00BD636D">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3B9" w:rsidRDefault="005743B9" w:rsidP="00BD636D">
      <w:pPr>
        <w:spacing w:after="0" w:line="240" w:lineRule="auto"/>
      </w:pPr>
      <w:r>
        <w:separator/>
      </w:r>
    </w:p>
  </w:endnote>
  <w:endnote w:type="continuationSeparator" w:id="1">
    <w:p w:rsidR="005743B9" w:rsidRDefault="005743B9" w:rsidP="00BD6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8112"/>
      <w:docPartObj>
        <w:docPartGallery w:val="Page Numbers (Bottom of Page)"/>
        <w:docPartUnique/>
      </w:docPartObj>
    </w:sdtPr>
    <w:sdtContent>
      <w:p w:rsidR="00861DFC" w:rsidRDefault="00934E2D">
        <w:pPr>
          <w:pStyle w:val="Footer"/>
          <w:jc w:val="right"/>
        </w:pPr>
        <w:fldSimple w:instr=" PAGE   \* MERGEFORMAT ">
          <w:r w:rsidR="0066760E">
            <w:rPr>
              <w:noProof/>
            </w:rPr>
            <w:t>3</w:t>
          </w:r>
        </w:fldSimple>
      </w:p>
    </w:sdtContent>
  </w:sdt>
  <w:p w:rsidR="00861DFC" w:rsidRDefault="00861D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3B9" w:rsidRDefault="005743B9" w:rsidP="00BD636D">
      <w:pPr>
        <w:spacing w:after="0" w:line="240" w:lineRule="auto"/>
      </w:pPr>
      <w:r>
        <w:separator/>
      </w:r>
    </w:p>
  </w:footnote>
  <w:footnote w:type="continuationSeparator" w:id="1">
    <w:p w:rsidR="005743B9" w:rsidRDefault="005743B9" w:rsidP="00BD63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DFC" w:rsidRPr="00BD636D" w:rsidRDefault="00861DFC" w:rsidP="00BD636D">
    <w:pPr>
      <w:jc w:val="right"/>
      <w:rPr>
        <w:b/>
        <w:sz w:val="24"/>
        <w:szCs w:val="24"/>
      </w:rPr>
    </w:pPr>
    <w:r w:rsidRPr="00BD636D">
      <w:rPr>
        <w:b/>
        <w:sz w:val="24"/>
        <w:szCs w:val="24"/>
      </w:rPr>
      <w:t>JUDGMENT NO LC/MC/3</w:t>
    </w:r>
    <w:r w:rsidR="00DB1191">
      <w:rPr>
        <w:b/>
        <w:sz w:val="24"/>
        <w:szCs w:val="24"/>
      </w:rPr>
      <w:t>3</w:t>
    </w:r>
    <w:r w:rsidRPr="00BD636D">
      <w:rPr>
        <w:b/>
        <w:sz w:val="24"/>
        <w:szCs w:val="24"/>
      </w:rPr>
      <w:t>/13</w:t>
    </w:r>
  </w:p>
  <w:p w:rsidR="00861DFC" w:rsidRDefault="00861DFC" w:rsidP="00BD636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2249E"/>
    <w:multiLevelType w:val="hybridMultilevel"/>
    <w:tmpl w:val="D1F643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D3C1358"/>
    <w:multiLevelType w:val="hybridMultilevel"/>
    <w:tmpl w:val="BF8861B0"/>
    <w:lvl w:ilvl="0" w:tplc="0700F92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92BCE"/>
    <w:rsid w:val="00001453"/>
    <w:rsid w:val="00073B99"/>
    <w:rsid w:val="00092BCE"/>
    <w:rsid w:val="00195A03"/>
    <w:rsid w:val="00227E85"/>
    <w:rsid w:val="002D0332"/>
    <w:rsid w:val="003E7494"/>
    <w:rsid w:val="004B47DC"/>
    <w:rsid w:val="00573F76"/>
    <w:rsid w:val="005743B9"/>
    <w:rsid w:val="005B5682"/>
    <w:rsid w:val="005E4CBF"/>
    <w:rsid w:val="005F43B1"/>
    <w:rsid w:val="006107B3"/>
    <w:rsid w:val="00640F38"/>
    <w:rsid w:val="0066760E"/>
    <w:rsid w:val="006E4269"/>
    <w:rsid w:val="00702C3E"/>
    <w:rsid w:val="00752E38"/>
    <w:rsid w:val="007E7C62"/>
    <w:rsid w:val="007F2705"/>
    <w:rsid w:val="00857BF5"/>
    <w:rsid w:val="00861DFC"/>
    <w:rsid w:val="008E105D"/>
    <w:rsid w:val="00906844"/>
    <w:rsid w:val="00934E2D"/>
    <w:rsid w:val="00984AF3"/>
    <w:rsid w:val="00A72C31"/>
    <w:rsid w:val="00B2519C"/>
    <w:rsid w:val="00BD636D"/>
    <w:rsid w:val="00CE61E0"/>
    <w:rsid w:val="00CF3C14"/>
    <w:rsid w:val="00D06BA8"/>
    <w:rsid w:val="00D13C45"/>
    <w:rsid w:val="00D14378"/>
    <w:rsid w:val="00D763B2"/>
    <w:rsid w:val="00D7667D"/>
    <w:rsid w:val="00DB1191"/>
    <w:rsid w:val="00DD4B36"/>
    <w:rsid w:val="00E05A99"/>
    <w:rsid w:val="00ED3B87"/>
    <w:rsid w:val="00F3147E"/>
    <w:rsid w:val="00FD1EDE"/>
    <w:rsid w:val="00FD3EC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BCE"/>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63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636D"/>
    <w:rPr>
      <w:lang w:val="en-ZW"/>
    </w:rPr>
  </w:style>
  <w:style w:type="paragraph" w:styleId="Footer">
    <w:name w:val="footer"/>
    <w:basedOn w:val="Normal"/>
    <w:link w:val="FooterChar"/>
    <w:uiPriority w:val="99"/>
    <w:unhideWhenUsed/>
    <w:rsid w:val="00BD6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36D"/>
    <w:rPr>
      <w:lang w:val="en-ZW"/>
    </w:rPr>
  </w:style>
  <w:style w:type="paragraph" w:styleId="ListParagraph">
    <w:name w:val="List Paragraph"/>
    <w:basedOn w:val="Normal"/>
    <w:uiPriority w:val="34"/>
    <w:qFormat/>
    <w:rsid w:val="00DB119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2013-10-16T05:32:00Z</cp:lastPrinted>
  <dcterms:created xsi:type="dcterms:W3CDTF">2013-10-14T08:38:00Z</dcterms:created>
  <dcterms:modified xsi:type="dcterms:W3CDTF">2013-10-16T05:33:00Z</dcterms:modified>
</cp:coreProperties>
</file>