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368" w:rsidRPr="00BB2B58" w:rsidRDefault="00ED61A6" w:rsidP="00BB2B58">
      <w:pPr>
        <w:spacing w:after="0" w:line="240" w:lineRule="auto"/>
        <w:contextualSpacing/>
        <w:rPr>
          <w:rFonts w:ascii="Times New Roman" w:eastAsia="Calibri" w:hAnsi="Times New Roman" w:cs="Times New Roman"/>
          <w:sz w:val="24"/>
          <w:szCs w:val="24"/>
          <w:lang w:val="en-GB"/>
        </w:rPr>
      </w:pPr>
      <w:bookmarkStart w:id="0" w:name="_GoBack"/>
      <w:bookmarkEnd w:id="0"/>
      <w:r w:rsidRPr="00BB2B58">
        <w:rPr>
          <w:rFonts w:ascii="Times New Roman" w:eastAsia="Calibri" w:hAnsi="Times New Roman" w:cs="Times New Roman"/>
          <w:sz w:val="24"/>
          <w:szCs w:val="24"/>
          <w:lang w:val="en-GB"/>
        </w:rPr>
        <w:t>RUDO</w:t>
      </w:r>
      <w:r w:rsidR="00BB2B58" w:rsidRPr="00BB2B58">
        <w:rPr>
          <w:rFonts w:ascii="Times New Roman" w:eastAsia="Calibri" w:hAnsi="Times New Roman" w:cs="Times New Roman"/>
          <w:sz w:val="24"/>
          <w:szCs w:val="24"/>
          <w:lang w:val="en-GB"/>
        </w:rPr>
        <w:t xml:space="preserve"> </w:t>
      </w:r>
      <w:r w:rsidRPr="00BB2B58">
        <w:rPr>
          <w:rFonts w:ascii="Times New Roman" w:eastAsia="Calibri" w:hAnsi="Times New Roman" w:cs="Times New Roman"/>
          <w:sz w:val="24"/>
          <w:szCs w:val="24"/>
          <w:lang w:val="en-GB"/>
        </w:rPr>
        <w:t>MHLOPE</w:t>
      </w:r>
    </w:p>
    <w:p w:rsidR="00712368" w:rsidRPr="00BB2B58" w:rsidRDefault="008D49F0" w:rsidP="00BB2B58">
      <w:pPr>
        <w:spacing w:after="0" w:line="240" w:lineRule="auto"/>
        <w:rPr>
          <w:rFonts w:ascii="Times New Roman" w:eastAsia="Calibri" w:hAnsi="Times New Roman" w:cs="Times New Roman"/>
          <w:sz w:val="24"/>
          <w:szCs w:val="24"/>
          <w:lang w:val="en-GB"/>
        </w:rPr>
      </w:pPr>
      <w:r w:rsidRPr="00BB2B58">
        <w:rPr>
          <w:rFonts w:ascii="Times New Roman" w:eastAsia="Calibri" w:hAnsi="Times New Roman" w:cs="Times New Roman"/>
          <w:sz w:val="24"/>
          <w:szCs w:val="24"/>
          <w:lang w:val="en-GB"/>
        </w:rPr>
        <w:t>v</w:t>
      </w:r>
      <w:r w:rsidR="00BB2B58" w:rsidRPr="00BB2B58">
        <w:rPr>
          <w:rFonts w:ascii="Times New Roman" w:eastAsia="Calibri" w:hAnsi="Times New Roman" w:cs="Times New Roman"/>
          <w:sz w:val="24"/>
          <w:szCs w:val="24"/>
          <w:lang w:val="en-GB"/>
        </w:rPr>
        <w:t>ersus</w:t>
      </w:r>
    </w:p>
    <w:p w:rsidR="00712368" w:rsidRPr="00BB2B58" w:rsidRDefault="00ED61A6" w:rsidP="00BB2B58">
      <w:pPr>
        <w:spacing w:after="0" w:line="240" w:lineRule="auto"/>
        <w:rPr>
          <w:rFonts w:ascii="Times New Roman" w:eastAsia="Calibri" w:hAnsi="Times New Roman" w:cs="Times New Roman"/>
          <w:sz w:val="24"/>
          <w:szCs w:val="24"/>
          <w:lang w:val="en-GB"/>
        </w:rPr>
      </w:pPr>
      <w:r w:rsidRPr="00BB2B58">
        <w:rPr>
          <w:rFonts w:ascii="Times New Roman" w:eastAsia="Calibri" w:hAnsi="Times New Roman" w:cs="Times New Roman"/>
          <w:sz w:val="24"/>
          <w:szCs w:val="24"/>
          <w:lang w:val="en-GB"/>
        </w:rPr>
        <w:t>THE</w:t>
      </w:r>
      <w:r w:rsidR="00BB2B58" w:rsidRPr="00BB2B58">
        <w:rPr>
          <w:rFonts w:ascii="Times New Roman" w:eastAsia="Calibri" w:hAnsi="Times New Roman" w:cs="Times New Roman"/>
          <w:sz w:val="24"/>
          <w:szCs w:val="24"/>
          <w:lang w:val="en-GB"/>
        </w:rPr>
        <w:t xml:space="preserve"> </w:t>
      </w:r>
      <w:r w:rsidRPr="00BB2B58">
        <w:rPr>
          <w:rFonts w:ascii="Times New Roman" w:eastAsia="Calibri" w:hAnsi="Times New Roman" w:cs="Times New Roman"/>
          <w:sz w:val="24"/>
          <w:szCs w:val="24"/>
          <w:lang w:val="en-GB"/>
        </w:rPr>
        <w:t>STATE</w:t>
      </w:r>
    </w:p>
    <w:p w:rsidR="00712368" w:rsidRPr="00BB2B58" w:rsidRDefault="00712368" w:rsidP="007E3401">
      <w:pPr>
        <w:spacing w:after="0"/>
        <w:ind w:left="360"/>
        <w:jc w:val="both"/>
        <w:rPr>
          <w:rFonts w:ascii="Times New Roman" w:eastAsia="Calibri" w:hAnsi="Times New Roman" w:cs="Times New Roman"/>
          <w:sz w:val="24"/>
          <w:szCs w:val="24"/>
          <w:lang w:val="en-GB"/>
        </w:rPr>
      </w:pPr>
    </w:p>
    <w:p w:rsidR="00712368" w:rsidRPr="00BB2B58" w:rsidRDefault="00712368" w:rsidP="007E3401">
      <w:pPr>
        <w:spacing w:after="0"/>
        <w:ind w:left="360"/>
        <w:jc w:val="both"/>
        <w:rPr>
          <w:rFonts w:ascii="Times New Roman" w:eastAsia="Calibri" w:hAnsi="Times New Roman" w:cs="Times New Roman"/>
          <w:sz w:val="24"/>
          <w:szCs w:val="24"/>
          <w:lang w:val="en-GB"/>
        </w:rPr>
      </w:pPr>
    </w:p>
    <w:p w:rsidR="00712368" w:rsidRPr="00BB2B58" w:rsidRDefault="0045743B" w:rsidP="007E3401">
      <w:pPr>
        <w:spacing w:after="0"/>
        <w:ind w:left="360"/>
        <w:jc w:val="both"/>
        <w:rPr>
          <w:rFonts w:ascii="Times New Roman" w:eastAsia="Calibri" w:hAnsi="Times New Roman" w:cs="Times New Roman"/>
          <w:sz w:val="24"/>
          <w:szCs w:val="24"/>
          <w:lang w:val="en-GB"/>
        </w:rPr>
      </w:pPr>
      <w:r w:rsidRPr="00BB2B58">
        <w:rPr>
          <w:rFonts w:ascii="Times New Roman" w:eastAsia="Calibri" w:hAnsi="Times New Roman" w:cs="Times New Roman"/>
          <w:sz w:val="24"/>
          <w:szCs w:val="24"/>
          <w:lang w:val="en-GB"/>
        </w:rPr>
        <w:t xml:space="preserve">           </w:t>
      </w:r>
    </w:p>
    <w:p w:rsidR="00712368" w:rsidRPr="00BB2B58" w:rsidRDefault="009B70B4" w:rsidP="007E3401">
      <w:pPr>
        <w:spacing w:after="0" w:line="240" w:lineRule="auto"/>
        <w:jc w:val="both"/>
        <w:rPr>
          <w:rFonts w:ascii="Times New Roman" w:eastAsia="Calibri" w:hAnsi="Times New Roman" w:cs="Times New Roman"/>
          <w:sz w:val="24"/>
          <w:szCs w:val="24"/>
          <w:lang w:val="en-GB"/>
        </w:rPr>
      </w:pPr>
      <w:r w:rsidRPr="00BB2B58">
        <w:rPr>
          <w:rFonts w:ascii="Times New Roman" w:eastAsia="Calibri" w:hAnsi="Times New Roman" w:cs="Times New Roman"/>
          <w:sz w:val="24"/>
          <w:szCs w:val="24"/>
          <w:lang w:val="en-GB"/>
        </w:rPr>
        <w:t>HIGH</w:t>
      </w:r>
      <w:r w:rsidR="00712368" w:rsidRPr="00BB2B58">
        <w:rPr>
          <w:rFonts w:ascii="Times New Roman" w:eastAsia="Calibri" w:hAnsi="Times New Roman" w:cs="Times New Roman"/>
          <w:sz w:val="24"/>
          <w:szCs w:val="24"/>
          <w:lang w:val="en-GB"/>
        </w:rPr>
        <w:t xml:space="preserve"> COURT OF ZIMBABWE</w:t>
      </w:r>
    </w:p>
    <w:p w:rsidR="00712368" w:rsidRPr="00BB2B58" w:rsidRDefault="00BB2B58" w:rsidP="007E3401">
      <w:pPr>
        <w:spacing w:after="0" w:line="24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BERE J</w:t>
      </w:r>
      <w:r w:rsidR="00ED61A6" w:rsidRPr="00BB2B58">
        <w:rPr>
          <w:rFonts w:ascii="Times New Roman" w:eastAsia="Calibri" w:hAnsi="Times New Roman" w:cs="Times New Roman"/>
          <w:sz w:val="24"/>
          <w:szCs w:val="24"/>
          <w:lang w:val="en-GB"/>
        </w:rPr>
        <w:t xml:space="preserve"> &amp; TAGU JJ</w:t>
      </w:r>
    </w:p>
    <w:p w:rsidR="00B0480C" w:rsidRPr="004A1CBF" w:rsidRDefault="00BB2B58" w:rsidP="00B0480C">
      <w:pPr>
        <w:spacing w:after="0" w:line="240" w:lineRule="auto"/>
        <w:jc w:val="both"/>
        <w:rPr>
          <w:rFonts w:ascii="Times New Roman" w:eastAsia="Calibri" w:hAnsi="Times New Roman" w:cs="Times New Roman"/>
          <w:b/>
          <w:sz w:val="24"/>
          <w:szCs w:val="24"/>
          <w:lang w:val="en-GB"/>
        </w:rPr>
      </w:pPr>
      <w:r>
        <w:rPr>
          <w:rFonts w:ascii="Times New Roman" w:eastAsia="Calibri" w:hAnsi="Times New Roman" w:cs="Times New Roman"/>
          <w:sz w:val="24"/>
          <w:szCs w:val="24"/>
          <w:lang w:val="en-GB"/>
        </w:rPr>
        <w:t xml:space="preserve">HARARE, </w:t>
      </w:r>
      <w:r w:rsidR="00B0480C" w:rsidRPr="00B0480C">
        <w:rPr>
          <w:rFonts w:ascii="Times New Roman" w:eastAsia="Calibri" w:hAnsi="Times New Roman" w:cs="Times New Roman"/>
          <w:sz w:val="24"/>
          <w:szCs w:val="24"/>
          <w:lang w:val="en-GB"/>
        </w:rPr>
        <w:t>FEBRUARY 27, 2014 4 &amp; OCTOBER 17, 2018</w:t>
      </w:r>
    </w:p>
    <w:p w:rsidR="00712368" w:rsidRPr="00BB2B58" w:rsidRDefault="00712368" w:rsidP="007E3401">
      <w:pPr>
        <w:spacing w:after="0" w:line="240" w:lineRule="auto"/>
        <w:jc w:val="both"/>
        <w:rPr>
          <w:rFonts w:ascii="Times New Roman" w:eastAsia="Calibri" w:hAnsi="Times New Roman" w:cs="Times New Roman"/>
          <w:sz w:val="24"/>
          <w:szCs w:val="24"/>
          <w:lang w:val="en-GB"/>
        </w:rPr>
      </w:pPr>
    </w:p>
    <w:p w:rsidR="00712368" w:rsidRPr="004A1CBF" w:rsidRDefault="00712368" w:rsidP="007E3401">
      <w:pPr>
        <w:spacing w:after="0"/>
        <w:ind w:left="360"/>
        <w:jc w:val="both"/>
        <w:rPr>
          <w:rFonts w:ascii="Times New Roman" w:eastAsia="Calibri" w:hAnsi="Times New Roman" w:cs="Times New Roman"/>
          <w:sz w:val="24"/>
          <w:szCs w:val="24"/>
          <w:lang w:val="en-GB"/>
        </w:rPr>
      </w:pPr>
    </w:p>
    <w:p w:rsidR="00712368" w:rsidRPr="004A1CBF" w:rsidRDefault="00712368" w:rsidP="007E3401">
      <w:pPr>
        <w:spacing w:after="0"/>
        <w:ind w:left="360"/>
        <w:jc w:val="both"/>
        <w:rPr>
          <w:rFonts w:ascii="Times New Roman" w:eastAsia="Calibri" w:hAnsi="Times New Roman" w:cs="Times New Roman"/>
          <w:sz w:val="24"/>
          <w:szCs w:val="24"/>
          <w:lang w:val="en-GB"/>
        </w:rPr>
      </w:pPr>
    </w:p>
    <w:p w:rsidR="00712368" w:rsidRPr="004A1CBF" w:rsidRDefault="00ED61A6" w:rsidP="006646AE">
      <w:pPr>
        <w:spacing w:after="0" w:line="240" w:lineRule="auto"/>
        <w:jc w:val="both"/>
        <w:rPr>
          <w:rFonts w:ascii="Times New Roman" w:eastAsia="Calibri" w:hAnsi="Times New Roman" w:cs="Times New Roman"/>
          <w:sz w:val="24"/>
          <w:szCs w:val="24"/>
          <w:lang w:val="en-GB"/>
        </w:rPr>
      </w:pPr>
      <w:r>
        <w:rPr>
          <w:rFonts w:ascii="Times New Roman" w:eastAsia="Calibri" w:hAnsi="Times New Roman" w:cs="Times New Roman"/>
          <w:i/>
          <w:sz w:val="24"/>
          <w:szCs w:val="24"/>
          <w:lang w:val="en-GB"/>
        </w:rPr>
        <w:t>D. C. Kufaruwenga</w:t>
      </w:r>
      <w:r w:rsidR="00712368" w:rsidRPr="004A1CBF">
        <w:rPr>
          <w:rFonts w:ascii="Times New Roman" w:eastAsia="Calibri" w:hAnsi="Times New Roman" w:cs="Times New Roman"/>
          <w:sz w:val="24"/>
          <w:szCs w:val="24"/>
          <w:lang w:val="en-GB"/>
        </w:rPr>
        <w:t>, for the appellant</w:t>
      </w:r>
    </w:p>
    <w:p w:rsidR="00712368" w:rsidRDefault="00ED61A6" w:rsidP="006646AE">
      <w:pPr>
        <w:spacing w:after="0" w:line="240" w:lineRule="auto"/>
        <w:jc w:val="both"/>
        <w:rPr>
          <w:rFonts w:ascii="Times New Roman" w:eastAsia="Calibri" w:hAnsi="Times New Roman" w:cs="Times New Roman"/>
          <w:sz w:val="24"/>
          <w:szCs w:val="24"/>
          <w:lang w:val="en-GB"/>
        </w:rPr>
      </w:pPr>
      <w:r>
        <w:rPr>
          <w:rFonts w:ascii="Times New Roman" w:eastAsia="Calibri" w:hAnsi="Times New Roman" w:cs="Times New Roman"/>
          <w:i/>
          <w:sz w:val="24"/>
          <w:szCs w:val="24"/>
          <w:lang w:val="en-GB"/>
        </w:rPr>
        <w:t>I. Muchina</w:t>
      </w:r>
      <w:r w:rsidR="00712368" w:rsidRPr="004A1CBF">
        <w:rPr>
          <w:rFonts w:ascii="Times New Roman" w:eastAsia="Calibri" w:hAnsi="Times New Roman" w:cs="Times New Roman"/>
          <w:sz w:val="24"/>
          <w:szCs w:val="24"/>
          <w:lang w:val="en-GB"/>
        </w:rPr>
        <w:t>, for the respondent</w:t>
      </w:r>
    </w:p>
    <w:p w:rsidR="00712368" w:rsidRPr="004A1CBF" w:rsidRDefault="00712368" w:rsidP="004A1CBF">
      <w:pPr>
        <w:spacing w:after="0"/>
        <w:jc w:val="both"/>
        <w:rPr>
          <w:rFonts w:ascii="Times New Roman" w:eastAsia="Calibri" w:hAnsi="Times New Roman" w:cs="Times New Roman"/>
          <w:sz w:val="24"/>
          <w:szCs w:val="24"/>
          <w:lang w:val="en-GB"/>
        </w:rPr>
      </w:pPr>
    </w:p>
    <w:p w:rsidR="00712368" w:rsidRPr="004A1CBF" w:rsidRDefault="00712368" w:rsidP="00203FCC">
      <w:pPr>
        <w:spacing w:after="0"/>
        <w:ind w:left="360"/>
        <w:jc w:val="both"/>
        <w:rPr>
          <w:rFonts w:ascii="Times New Roman" w:eastAsia="Calibri" w:hAnsi="Times New Roman" w:cs="Times New Roman"/>
          <w:sz w:val="24"/>
          <w:szCs w:val="24"/>
          <w:lang w:val="en-GB"/>
        </w:rPr>
      </w:pPr>
    </w:p>
    <w:p w:rsidR="008D49F0" w:rsidRDefault="00AE32C3" w:rsidP="006646AE">
      <w:pPr>
        <w:spacing w:after="0" w:line="360" w:lineRule="auto"/>
        <w:ind w:firstLine="720"/>
        <w:jc w:val="both"/>
        <w:rPr>
          <w:rFonts w:ascii="Times New Roman" w:eastAsia="Calibri" w:hAnsi="Times New Roman" w:cs="Times New Roman"/>
          <w:sz w:val="24"/>
          <w:szCs w:val="24"/>
          <w:lang w:val="en-GB"/>
        </w:rPr>
      </w:pPr>
      <w:r w:rsidRPr="006646AE">
        <w:rPr>
          <w:rFonts w:ascii="Times New Roman" w:eastAsia="Calibri" w:hAnsi="Times New Roman" w:cs="Times New Roman"/>
          <w:sz w:val="24"/>
          <w:szCs w:val="24"/>
          <w:lang w:val="en-GB"/>
        </w:rPr>
        <w:t>BERE J</w:t>
      </w:r>
      <w:r w:rsidR="006646AE">
        <w:rPr>
          <w:rFonts w:ascii="Times New Roman" w:eastAsia="Calibri" w:hAnsi="Times New Roman" w:cs="Times New Roman"/>
          <w:b/>
          <w:sz w:val="24"/>
          <w:szCs w:val="24"/>
          <w:lang w:val="en-GB"/>
        </w:rPr>
        <w:t xml:space="preserve">:  </w:t>
      </w:r>
      <w:r w:rsidR="00ED61A6">
        <w:rPr>
          <w:rFonts w:ascii="Times New Roman" w:eastAsia="Calibri" w:hAnsi="Times New Roman" w:cs="Times New Roman"/>
          <w:sz w:val="24"/>
          <w:szCs w:val="24"/>
          <w:lang w:val="en-GB"/>
        </w:rPr>
        <w:t xml:space="preserve">This is an </w:t>
      </w:r>
      <w:r w:rsidR="00B57E70">
        <w:rPr>
          <w:rFonts w:ascii="Times New Roman" w:eastAsia="Calibri" w:hAnsi="Times New Roman" w:cs="Times New Roman"/>
          <w:sz w:val="24"/>
          <w:szCs w:val="24"/>
          <w:lang w:val="en-GB"/>
        </w:rPr>
        <w:t>appeal</w:t>
      </w:r>
      <w:r w:rsidR="00ED61A6">
        <w:rPr>
          <w:rFonts w:ascii="Times New Roman" w:eastAsia="Calibri" w:hAnsi="Times New Roman" w:cs="Times New Roman"/>
          <w:sz w:val="24"/>
          <w:szCs w:val="24"/>
          <w:lang w:val="en-GB"/>
        </w:rPr>
        <w:t xml:space="preserve"> against both the conviction and sentence </w:t>
      </w:r>
      <w:r w:rsidR="00BC52AF">
        <w:rPr>
          <w:rFonts w:ascii="Times New Roman" w:eastAsia="Calibri" w:hAnsi="Times New Roman" w:cs="Times New Roman"/>
          <w:sz w:val="24"/>
          <w:szCs w:val="24"/>
          <w:lang w:val="en-GB"/>
        </w:rPr>
        <w:t>of</w:t>
      </w:r>
      <w:r w:rsidR="00ED61A6">
        <w:rPr>
          <w:rFonts w:ascii="Times New Roman" w:eastAsia="Calibri" w:hAnsi="Times New Roman" w:cs="Times New Roman"/>
          <w:sz w:val="24"/>
          <w:szCs w:val="24"/>
          <w:lang w:val="en-GB"/>
        </w:rPr>
        <w:t xml:space="preserve"> the appellant who appeared at Gweru Magistrates Court on</w:t>
      </w:r>
      <w:r w:rsidR="00903E52">
        <w:rPr>
          <w:rFonts w:ascii="Times New Roman" w:eastAsia="Calibri" w:hAnsi="Times New Roman" w:cs="Times New Roman"/>
          <w:sz w:val="24"/>
          <w:szCs w:val="24"/>
          <w:lang w:val="en-GB"/>
        </w:rPr>
        <w:t xml:space="preserve"> </w:t>
      </w:r>
      <w:r w:rsidR="00ED61A6">
        <w:rPr>
          <w:rFonts w:ascii="Times New Roman" w:eastAsia="Calibri" w:hAnsi="Times New Roman" w:cs="Times New Roman"/>
          <w:sz w:val="24"/>
          <w:szCs w:val="24"/>
          <w:lang w:val="en-GB"/>
        </w:rPr>
        <w:t xml:space="preserve">21 September 2011 facing </w:t>
      </w:r>
      <w:r w:rsidR="00BC52AF">
        <w:rPr>
          <w:rFonts w:ascii="Times New Roman" w:eastAsia="Calibri" w:hAnsi="Times New Roman" w:cs="Times New Roman"/>
          <w:sz w:val="24"/>
          <w:szCs w:val="24"/>
          <w:lang w:val="en-GB"/>
        </w:rPr>
        <w:t>one</w:t>
      </w:r>
      <w:r w:rsidR="00ED61A6">
        <w:rPr>
          <w:rFonts w:ascii="Times New Roman" w:eastAsia="Calibri" w:hAnsi="Times New Roman" w:cs="Times New Roman"/>
          <w:sz w:val="24"/>
          <w:szCs w:val="24"/>
          <w:lang w:val="en-GB"/>
        </w:rPr>
        <w:t xml:space="preserve"> charge of contravening section 113 (2)(a) of the Criminal Law </w:t>
      </w:r>
      <w:r w:rsidR="00370CF0">
        <w:rPr>
          <w:rFonts w:ascii="Times New Roman" w:eastAsia="Calibri" w:hAnsi="Times New Roman" w:cs="Times New Roman"/>
          <w:sz w:val="24"/>
          <w:szCs w:val="24"/>
          <w:lang w:val="en-GB"/>
        </w:rPr>
        <w:t>(</w:t>
      </w:r>
      <w:r w:rsidR="00ED61A6">
        <w:rPr>
          <w:rFonts w:ascii="Times New Roman" w:eastAsia="Calibri" w:hAnsi="Times New Roman" w:cs="Times New Roman"/>
          <w:sz w:val="24"/>
          <w:szCs w:val="24"/>
          <w:lang w:val="en-GB"/>
        </w:rPr>
        <w:t>Codification and Reform) Act</w:t>
      </w:r>
      <w:r w:rsidR="00370CF0">
        <w:rPr>
          <w:rFonts w:ascii="Times New Roman" w:eastAsia="Calibri" w:hAnsi="Times New Roman" w:cs="Times New Roman"/>
          <w:sz w:val="24"/>
          <w:szCs w:val="24"/>
          <w:lang w:val="en-GB"/>
        </w:rPr>
        <w:t>,</w:t>
      </w:r>
      <w:r w:rsidR="00ED61A6">
        <w:rPr>
          <w:rFonts w:ascii="Times New Roman" w:eastAsia="Calibri" w:hAnsi="Times New Roman" w:cs="Times New Roman"/>
          <w:sz w:val="24"/>
          <w:szCs w:val="24"/>
          <w:lang w:val="en-GB"/>
        </w:rPr>
        <w:t xml:space="preserve"> </w:t>
      </w:r>
      <w:r w:rsidR="00B0480C">
        <w:rPr>
          <w:rFonts w:ascii="Times New Roman" w:eastAsia="Calibri" w:hAnsi="Times New Roman" w:cs="Times New Roman"/>
          <w:sz w:val="24"/>
          <w:szCs w:val="24"/>
          <w:lang w:val="en-GB"/>
        </w:rPr>
        <w:t>[</w:t>
      </w:r>
      <w:r w:rsidR="00ED61A6">
        <w:rPr>
          <w:rFonts w:ascii="Times New Roman" w:eastAsia="Calibri" w:hAnsi="Times New Roman" w:cs="Times New Roman"/>
          <w:sz w:val="24"/>
          <w:szCs w:val="24"/>
          <w:lang w:val="en-GB"/>
        </w:rPr>
        <w:t xml:space="preserve">Chapter </w:t>
      </w:r>
      <w:r w:rsidR="00500149">
        <w:rPr>
          <w:rFonts w:ascii="Times New Roman" w:eastAsia="Calibri" w:hAnsi="Times New Roman" w:cs="Times New Roman"/>
          <w:sz w:val="24"/>
          <w:szCs w:val="24"/>
          <w:lang w:val="en-GB"/>
        </w:rPr>
        <w:t>9:23</w:t>
      </w:r>
      <w:r w:rsidR="00B0480C">
        <w:rPr>
          <w:rFonts w:ascii="Times New Roman" w:eastAsia="Calibri" w:hAnsi="Times New Roman" w:cs="Times New Roman"/>
          <w:sz w:val="24"/>
          <w:szCs w:val="24"/>
          <w:lang w:val="en-GB"/>
        </w:rPr>
        <w:t>[</w:t>
      </w:r>
      <w:r w:rsidR="00370CF0">
        <w:rPr>
          <w:rFonts w:ascii="Times New Roman" w:eastAsia="Calibri" w:hAnsi="Times New Roman" w:cs="Times New Roman"/>
          <w:sz w:val="24"/>
          <w:szCs w:val="24"/>
          <w:lang w:val="en-GB"/>
        </w:rPr>
        <w:t>,</w:t>
      </w:r>
      <w:r w:rsidR="00500149">
        <w:rPr>
          <w:rFonts w:ascii="Times New Roman" w:eastAsia="Calibri" w:hAnsi="Times New Roman" w:cs="Times New Roman"/>
          <w:sz w:val="24"/>
          <w:szCs w:val="24"/>
          <w:lang w:val="en-GB"/>
        </w:rPr>
        <w:t xml:space="preserve"> </w:t>
      </w:r>
      <w:r w:rsidR="00370CF0">
        <w:rPr>
          <w:rFonts w:ascii="Times New Roman" w:eastAsia="Calibri" w:hAnsi="Times New Roman" w:cs="Times New Roman"/>
          <w:sz w:val="24"/>
          <w:szCs w:val="24"/>
          <w:lang w:val="en-GB"/>
        </w:rPr>
        <w:t xml:space="preserve">alternatively </w:t>
      </w:r>
      <w:r w:rsidR="00E92010">
        <w:rPr>
          <w:rFonts w:ascii="Times New Roman" w:eastAsia="Calibri" w:hAnsi="Times New Roman" w:cs="Times New Roman"/>
          <w:sz w:val="24"/>
          <w:szCs w:val="24"/>
          <w:lang w:val="en-GB"/>
        </w:rPr>
        <w:t>C</w:t>
      </w:r>
      <w:r w:rsidR="008D1B31">
        <w:rPr>
          <w:rFonts w:ascii="Times New Roman" w:eastAsia="Calibri" w:hAnsi="Times New Roman" w:cs="Times New Roman"/>
          <w:sz w:val="24"/>
          <w:szCs w:val="24"/>
          <w:lang w:val="en-GB"/>
        </w:rPr>
        <w:t>riminal abuse of dut</w:t>
      </w:r>
      <w:r w:rsidR="00BC52AF">
        <w:rPr>
          <w:rFonts w:ascii="Times New Roman" w:eastAsia="Calibri" w:hAnsi="Times New Roman" w:cs="Times New Roman"/>
          <w:sz w:val="24"/>
          <w:szCs w:val="24"/>
          <w:lang w:val="en-GB"/>
        </w:rPr>
        <w:t xml:space="preserve">y as a Public </w:t>
      </w:r>
      <w:r w:rsidR="00500149">
        <w:rPr>
          <w:rFonts w:ascii="Times New Roman" w:eastAsia="Calibri" w:hAnsi="Times New Roman" w:cs="Times New Roman"/>
          <w:sz w:val="24"/>
          <w:szCs w:val="24"/>
          <w:lang w:val="en-GB"/>
        </w:rPr>
        <w:t>Officer as define</w:t>
      </w:r>
      <w:r w:rsidR="00BC52AF">
        <w:rPr>
          <w:rFonts w:ascii="Times New Roman" w:eastAsia="Calibri" w:hAnsi="Times New Roman" w:cs="Times New Roman"/>
          <w:sz w:val="24"/>
          <w:szCs w:val="24"/>
          <w:lang w:val="en-GB"/>
        </w:rPr>
        <w:t>d</w:t>
      </w:r>
      <w:r w:rsidR="00500149">
        <w:rPr>
          <w:rFonts w:ascii="Times New Roman" w:eastAsia="Calibri" w:hAnsi="Times New Roman" w:cs="Times New Roman"/>
          <w:sz w:val="24"/>
          <w:szCs w:val="24"/>
          <w:lang w:val="en-GB"/>
        </w:rPr>
        <w:t xml:space="preserve"> </w:t>
      </w:r>
      <w:r w:rsidR="00BC52AF">
        <w:rPr>
          <w:rFonts w:ascii="Times New Roman" w:eastAsia="Calibri" w:hAnsi="Times New Roman" w:cs="Times New Roman"/>
          <w:sz w:val="24"/>
          <w:szCs w:val="24"/>
          <w:lang w:val="en-GB"/>
        </w:rPr>
        <w:t xml:space="preserve">in section 174(i)(a)(b) of the Criminal Law (Codification &amp; Reform Act </w:t>
      </w:r>
      <w:r w:rsidR="00B0480C">
        <w:rPr>
          <w:rFonts w:ascii="Times New Roman" w:eastAsia="Calibri" w:hAnsi="Times New Roman" w:cs="Times New Roman"/>
          <w:sz w:val="24"/>
          <w:szCs w:val="24"/>
          <w:lang w:val="en-GB"/>
        </w:rPr>
        <w:t>[</w:t>
      </w:r>
      <w:r w:rsidR="00BC52AF">
        <w:rPr>
          <w:rFonts w:ascii="Times New Roman" w:eastAsia="Calibri" w:hAnsi="Times New Roman" w:cs="Times New Roman"/>
          <w:sz w:val="24"/>
          <w:szCs w:val="24"/>
          <w:lang w:val="en-GB"/>
        </w:rPr>
        <w:t>Chapter 9:23</w:t>
      </w:r>
      <w:r w:rsidR="00B0480C">
        <w:rPr>
          <w:rFonts w:ascii="Times New Roman" w:eastAsia="Calibri" w:hAnsi="Times New Roman" w:cs="Times New Roman"/>
          <w:sz w:val="24"/>
          <w:szCs w:val="24"/>
          <w:lang w:val="en-GB"/>
        </w:rPr>
        <w:t>]</w:t>
      </w:r>
      <w:r w:rsidR="00BC52AF">
        <w:rPr>
          <w:rFonts w:ascii="Times New Roman" w:eastAsia="Calibri" w:hAnsi="Times New Roman" w:cs="Times New Roman"/>
          <w:sz w:val="24"/>
          <w:szCs w:val="24"/>
          <w:lang w:val="en-GB"/>
        </w:rPr>
        <w:t>.</w:t>
      </w:r>
    </w:p>
    <w:p w:rsidR="00ED61A6" w:rsidRDefault="00ED61A6" w:rsidP="006646AE">
      <w:pPr>
        <w:spacing w:after="0" w:line="360" w:lineRule="auto"/>
        <w:ind w:firstLine="14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Upon her conviction </w:t>
      </w:r>
      <w:r w:rsidR="00BC52AF">
        <w:rPr>
          <w:rFonts w:ascii="Times New Roman" w:eastAsia="Calibri" w:hAnsi="Times New Roman" w:cs="Times New Roman"/>
          <w:sz w:val="24"/>
          <w:szCs w:val="24"/>
          <w:lang w:val="en-GB"/>
        </w:rPr>
        <w:t xml:space="preserve">on the main count </w:t>
      </w:r>
      <w:r>
        <w:rPr>
          <w:rFonts w:ascii="Times New Roman" w:eastAsia="Calibri" w:hAnsi="Times New Roman" w:cs="Times New Roman"/>
          <w:sz w:val="24"/>
          <w:szCs w:val="24"/>
          <w:lang w:val="en-GB"/>
        </w:rPr>
        <w:t>the appellant, together with three of her co-accused who are not before us were sentence</w:t>
      </w:r>
      <w:r w:rsidR="00903E52">
        <w:rPr>
          <w:rFonts w:ascii="Times New Roman" w:eastAsia="Calibri" w:hAnsi="Times New Roman" w:cs="Times New Roman"/>
          <w:sz w:val="24"/>
          <w:szCs w:val="24"/>
          <w:lang w:val="en-GB"/>
        </w:rPr>
        <w:t>d</w:t>
      </w:r>
      <w:r>
        <w:rPr>
          <w:rFonts w:ascii="Times New Roman" w:eastAsia="Calibri" w:hAnsi="Times New Roman" w:cs="Times New Roman"/>
          <w:sz w:val="24"/>
          <w:szCs w:val="24"/>
          <w:lang w:val="en-GB"/>
        </w:rPr>
        <w:t xml:space="preserve"> to fifteen </w:t>
      </w:r>
      <w:r w:rsidR="00903E52">
        <w:rPr>
          <w:rFonts w:ascii="Times New Roman" w:eastAsia="Calibri" w:hAnsi="Times New Roman" w:cs="Times New Roman"/>
          <w:sz w:val="24"/>
          <w:szCs w:val="24"/>
          <w:lang w:val="en-GB"/>
        </w:rPr>
        <w:t>years’</w:t>
      </w:r>
      <w:r>
        <w:rPr>
          <w:rFonts w:ascii="Times New Roman" w:eastAsia="Calibri" w:hAnsi="Times New Roman" w:cs="Times New Roman"/>
          <w:sz w:val="24"/>
          <w:szCs w:val="24"/>
          <w:lang w:val="en-GB"/>
        </w:rPr>
        <w:t xml:space="preserve"> imprisonment two years of which were suspended for five years on the usual condition</w:t>
      </w:r>
      <w:r w:rsidR="00370CF0">
        <w:rPr>
          <w:rFonts w:ascii="Times New Roman" w:eastAsia="Calibri" w:hAnsi="Times New Roman" w:cs="Times New Roman"/>
          <w:sz w:val="24"/>
          <w:szCs w:val="24"/>
          <w:lang w:val="en-GB"/>
        </w:rPr>
        <w:t>s</w:t>
      </w:r>
      <w:r>
        <w:rPr>
          <w:rFonts w:ascii="Times New Roman" w:eastAsia="Calibri" w:hAnsi="Times New Roman" w:cs="Times New Roman"/>
          <w:sz w:val="24"/>
          <w:szCs w:val="24"/>
          <w:lang w:val="en-GB"/>
        </w:rPr>
        <w:t xml:space="preserve"> of future go</w:t>
      </w:r>
      <w:r w:rsidR="00903E52">
        <w:rPr>
          <w:rFonts w:ascii="Times New Roman" w:eastAsia="Calibri" w:hAnsi="Times New Roman" w:cs="Times New Roman"/>
          <w:sz w:val="24"/>
          <w:szCs w:val="24"/>
          <w:lang w:val="en-GB"/>
        </w:rPr>
        <w:t>o</w:t>
      </w:r>
      <w:r>
        <w:rPr>
          <w:rFonts w:ascii="Times New Roman" w:eastAsia="Calibri" w:hAnsi="Times New Roman" w:cs="Times New Roman"/>
          <w:sz w:val="24"/>
          <w:szCs w:val="24"/>
          <w:lang w:val="en-GB"/>
        </w:rPr>
        <w:t>d conduct, with a further two years suspended on condition each accused pays a pro</w:t>
      </w:r>
      <w:r w:rsidR="00370CF0">
        <w:rPr>
          <w:rFonts w:ascii="Times New Roman" w:eastAsia="Calibri" w:hAnsi="Times New Roman" w:cs="Times New Roman"/>
          <w:sz w:val="24"/>
          <w:szCs w:val="24"/>
          <w:lang w:val="en-GB"/>
        </w:rPr>
        <w:t>-rata</w:t>
      </w:r>
      <w:r>
        <w:rPr>
          <w:rFonts w:ascii="Times New Roman" w:eastAsia="Calibri" w:hAnsi="Times New Roman" w:cs="Times New Roman"/>
          <w:sz w:val="24"/>
          <w:szCs w:val="24"/>
          <w:lang w:val="en-GB"/>
        </w:rPr>
        <w:t xml:space="preserve"> payment of $150 087.00 on or before 31 December 2015 through the clerk of court, Gweru Magistrate Court.</w:t>
      </w:r>
    </w:p>
    <w:p w:rsidR="00BC52AF" w:rsidRDefault="00BC52AF" w:rsidP="006646AE">
      <w:pPr>
        <w:spacing w:after="0" w:line="360" w:lineRule="auto"/>
        <w:ind w:firstLine="1440"/>
        <w:jc w:val="both"/>
        <w:rPr>
          <w:rFonts w:ascii="Times New Roman" w:eastAsia="Calibri" w:hAnsi="Times New Roman" w:cs="Times New Roman"/>
          <w:sz w:val="24"/>
          <w:szCs w:val="24"/>
          <w:lang w:val="en-GB"/>
        </w:rPr>
      </w:pPr>
    </w:p>
    <w:p w:rsidR="00BC52AF" w:rsidRPr="00BC52AF" w:rsidRDefault="00BC52AF" w:rsidP="006646AE">
      <w:pPr>
        <w:spacing w:after="0" w:line="360" w:lineRule="auto"/>
        <w:jc w:val="both"/>
        <w:rPr>
          <w:rFonts w:ascii="Times New Roman" w:eastAsia="Calibri" w:hAnsi="Times New Roman" w:cs="Times New Roman"/>
          <w:sz w:val="24"/>
          <w:szCs w:val="24"/>
          <w:u w:val="single"/>
          <w:lang w:val="en-GB"/>
        </w:rPr>
      </w:pPr>
      <w:r w:rsidRPr="00BC52AF">
        <w:rPr>
          <w:rFonts w:ascii="Times New Roman" w:eastAsia="Calibri" w:hAnsi="Times New Roman" w:cs="Times New Roman"/>
          <w:sz w:val="24"/>
          <w:szCs w:val="24"/>
          <w:u w:val="single"/>
          <w:lang w:val="en-GB"/>
        </w:rPr>
        <w:t>THE GROUNDS OF APPEAL</w:t>
      </w:r>
    </w:p>
    <w:p w:rsidR="004B05A4" w:rsidRDefault="004B05A4" w:rsidP="006646AE">
      <w:pPr>
        <w:spacing w:after="0" w:line="360" w:lineRule="auto"/>
        <w:ind w:firstLine="14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The appellant’s cumulative grounds of appeal show that she takes issue with both her conviction and sentence.</w:t>
      </w:r>
    </w:p>
    <w:p w:rsidR="004F1792" w:rsidRDefault="004F1792" w:rsidP="006646AE">
      <w:pPr>
        <w:spacing w:after="0" w:line="360" w:lineRule="auto"/>
        <w:jc w:val="both"/>
        <w:rPr>
          <w:rFonts w:ascii="Times New Roman" w:eastAsia="Calibri" w:hAnsi="Times New Roman" w:cs="Times New Roman"/>
          <w:sz w:val="24"/>
          <w:szCs w:val="24"/>
          <w:lang w:val="en-GB"/>
        </w:rPr>
      </w:pPr>
    </w:p>
    <w:p w:rsidR="00BC52AF" w:rsidRPr="00BC52AF" w:rsidRDefault="00BC52AF" w:rsidP="006646AE">
      <w:pPr>
        <w:spacing w:after="0" w:line="360" w:lineRule="auto"/>
        <w:jc w:val="both"/>
        <w:rPr>
          <w:rFonts w:ascii="Times New Roman" w:eastAsia="Calibri" w:hAnsi="Times New Roman" w:cs="Times New Roman"/>
          <w:sz w:val="24"/>
          <w:szCs w:val="24"/>
          <w:u w:val="single"/>
          <w:lang w:val="en-GB"/>
        </w:rPr>
      </w:pPr>
      <w:r w:rsidRPr="00BC52AF">
        <w:rPr>
          <w:rFonts w:ascii="Times New Roman" w:eastAsia="Calibri" w:hAnsi="Times New Roman" w:cs="Times New Roman"/>
          <w:sz w:val="24"/>
          <w:szCs w:val="24"/>
          <w:u w:val="single"/>
          <w:lang w:val="en-GB"/>
        </w:rPr>
        <w:t>AD CONVICTION</w:t>
      </w:r>
    </w:p>
    <w:p w:rsidR="004B05A4" w:rsidRDefault="004B05A4" w:rsidP="006646AE">
      <w:pPr>
        <w:spacing w:after="0" w:line="360" w:lineRule="auto"/>
        <w:ind w:firstLine="14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On conviction</w:t>
      </w:r>
      <w:r w:rsidR="00BC52AF">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 and in summary form</w:t>
      </w:r>
      <w:r w:rsidR="00BC52AF">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 the appellant has taken the view that the evidence which the court </w:t>
      </w:r>
      <w:r w:rsidRPr="00903E52">
        <w:rPr>
          <w:rFonts w:ascii="Times New Roman" w:eastAsia="Calibri" w:hAnsi="Times New Roman" w:cs="Times New Roman"/>
          <w:i/>
          <w:sz w:val="24"/>
          <w:szCs w:val="24"/>
          <w:lang w:val="en-GB"/>
        </w:rPr>
        <w:t>a quo</w:t>
      </w:r>
      <w:r>
        <w:rPr>
          <w:rFonts w:ascii="Times New Roman" w:eastAsia="Calibri" w:hAnsi="Times New Roman" w:cs="Times New Roman"/>
          <w:sz w:val="24"/>
          <w:szCs w:val="24"/>
          <w:lang w:val="en-GB"/>
        </w:rPr>
        <w:t xml:space="preserve"> relied on in convicting her did not reach the threshold of proof </w:t>
      </w:r>
      <w:r>
        <w:rPr>
          <w:rFonts w:ascii="Times New Roman" w:eastAsia="Calibri" w:hAnsi="Times New Roman" w:cs="Times New Roman"/>
          <w:sz w:val="24"/>
          <w:szCs w:val="24"/>
          <w:lang w:val="en-GB"/>
        </w:rPr>
        <w:lastRenderedPageBreak/>
        <w:t xml:space="preserve">beyond a reasonable doubt more particularly in that the court </w:t>
      </w:r>
      <w:r w:rsidRPr="004B05A4">
        <w:rPr>
          <w:rFonts w:ascii="Times New Roman" w:eastAsia="Calibri" w:hAnsi="Times New Roman" w:cs="Times New Roman"/>
          <w:i/>
          <w:sz w:val="24"/>
          <w:szCs w:val="24"/>
          <w:lang w:val="en-GB"/>
        </w:rPr>
        <w:t>a quo</w:t>
      </w:r>
      <w:r>
        <w:rPr>
          <w:rFonts w:ascii="Times New Roman" w:eastAsia="Calibri" w:hAnsi="Times New Roman" w:cs="Times New Roman"/>
          <w:sz w:val="24"/>
          <w:szCs w:val="24"/>
          <w:lang w:val="en-GB"/>
        </w:rPr>
        <w:t xml:space="preserve"> failed to fully appreciate the impact of the evidence presented against her as a whole.</w:t>
      </w:r>
    </w:p>
    <w:p w:rsidR="004B05A4" w:rsidRDefault="004B05A4" w:rsidP="006646AE">
      <w:pPr>
        <w:spacing w:after="0" w:line="360" w:lineRule="auto"/>
        <w:ind w:firstLine="14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The appellant’s position is that, looked at in this totality, the evidence tendered by the State did not amount to proof beyond a reasonable doubt against the appellant</w:t>
      </w:r>
      <w:r w:rsidR="007D7889">
        <w:rPr>
          <w:rFonts w:ascii="Times New Roman" w:eastAsia="Calibri" w:hAnsi="Times New Roman" w:cs="Times New Roman"/>
          <w:sz w:val="24"/>
          <w:szCs w:val="24"/>
          <w:lang w:val="en-GB"/>
        </w:rPr>
        <w:t xml:space="preserve"> to warrant her conviction.</w:t>
      </w:r>
    </w:p>
    <w:p w:rsidR="004F1792" w:rsidRDefault="004F1792" w:rsidP="006646AE">
      <w:pPr>
        <w:spacing w:after="0" w:line="360" w:lineRule="auto"/>
        <w:jc w:val="both"/>
        <w:rPr>
          <w:rFonts w:ascii="Times New Roman" w:eastAsia="Calibri" w:hAnsi="Times New Roman" w:cs="Times New Roman"/>
          <w:sz w:val="24"/>
          <w:szCs w:val="24"/>
          <w:lang w:val="en-GB"/>
        </w:rPr>
      </w:pPr>
    </w:p>
    <w:p w:rsidR="00BC52AF" w:rsidRPr="00BC52AF" w:rsidRDefault="00BC52AF" w:rsidP="006646AE">
      <w:pPr>
        <w:spacing w:after="0" w:line="360" w:lineRule="auto"/>
        <w:jc w:val="both"/>
        <w:rPr>
          <w:rFonts w:ascii="Times New Roman" w:eastAsia="Calibri" w:hAnsi="Times New Roman" w:cs="Times New Roman"/>
          <w:sz w:val="24"/>
          <w:szCs w:val="24"/>
          <w:u w:val="single"/>
          <w:lang w:val="en-GB"/>
        </w:rPr>
      </w:pPr>
      <w:r w:rsidRPr="00BC52AF">
        <w:rPr>
          <w:rFonts w:ascii="Times New Roman" w:eastAsia="Calibri" w:hAnsi="Times New Roman" w:cs="Times New Roman"/>
          <w:sz w:val="24"/>
          <w:szCs w:val="24"/>
          <w:u w:val="single"/>
          <w:lang w:val="en-GB"/>
        </w:rPr>
        <w:t>AD SENTENCE</w:t>
      </w:r>
    </w:p>
    <w:p w:rsidR="007D7889" w:rsidRDefault="007D7889" w:rsidP="006646AE">
      <w:pPr>
        <w:spacing w:after="0" w:line="360" w:lineRule="auto"/>
        <w:ind w:firstLine="14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As regards her sentence</w:t>
      </w:r>
      <w:r w:rsidR="00370CF0">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 the appellant took the view that the sentence imposed by the court </w:t>
      </w:r>
      <w:r w:rsidRPr="007D7889">
        <w:rPr>
          <w:rFonts w:ascii="Times New Roman" w:eastAsia="Calibri" w:hAnsi="Times New Roman" w:cs="Times New Roman"/>
          <w:i/>
          <w:sz w:val="24"/>
          <w:szCs w:val="24"/>
          <w:lang w:val="en-GB"/>
        </w:rPr>
        <w:t>a quo</w:t>
      </w:r>
      <w:r>
        <w:rPr>
          <w:rFonts w:ascii="Times New Roman" w:eastAsia="Calibri" w:hAnsi="Times New Roman" w:cs="Times New Roman"/>
          <w:sz w:val="24"/>
          <w:szCs w:val="24"/>
          <w:lang w:val="en-GB"/>
        </w:rPr>
        <w:t xml:space="preserve"> induces a sense of shock to warrant interference with this court. She argued that the sentence was too harsh given the compelling mitigating circumstances advanced on her behalf.</w:t>
      </w:r>
    </w:p>
    <w:p w:rsidR="004F1792" w:rsidRDefault="004F1792" w:rsidP="006646AE">
      <w:pPr>
        <w:spacing w:after="0" w:line="360" w:lineRule="auto"/>
        <w:ind w:firstLine="1440"/>
        <w:jc w:val="both"/>
        <w:rPr>
          <w:rFonts w:ascii="Times New Roman" w:eastAsia="Calibri" w:hAnsi="Times New Roman" w:cs="Times New Roman"/>
          <w:sz w:val="24"/>
          <w:szCs w:val="24"/>
          <w:lang w:val="en-GB"/>
        </w:rPr>
      </w:pPr>
    </w:p>
    <w:p w:rsidR="007D7889" w:rsidRDefault="007D7889" w:rsidP="006646AE">
      <w:pPr>
        <w:spacing w:after="0" w:line="360" w:lineRule="auto"/>
        <w:ind w:firstLine="14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Consequently, the appellant argued that in the event of her conviction being upheld her sentence be </w:t>
      </w:r>
      <w:r w:rsidR="004F1792">
        <w:rPr>
          <w:rFonts w:ascii="Times New Roman" w:eastAsia="Calibri" w:hAnsi="Times New Roman" w:cs="Times New Roman"/>
          <w:sz w:val="24"/>
          <w:szCs w:val="24"/>
          <w:lang w:val="en-GB"/>
        </w:rPr>
        <w:t>revisited</w:t>
      </w:r>
      <w:r>
        <w:rPr>
          <w:rFonts w:ascii="Times New Roman" w:eastAsia="Calibri" w:hAnsi="Times New Roman" w:cs="Times New Roman"/>
          <w:sz w:val="24"/>
          <w:szCs w:val="24"/>
          <w:lang w:val="en-GB"/>
        </w:rPr>
        <w:t xml:space="preserve"> by this court.</w:t>
      </w:r>
    </w:p>
    <w:p w:rsidR="004F1792" w:rsidRDefault="004F1792" w:rsidP="006646AE">
      <w:pPr>
        <w:spacing w:after="0" w:line="360" w:lineRule="auto"/>
        <w:jc w:val="both"/>
        <w:rPr>
          <w:rFonts w:ascii="Times New Roman" w:eastAsia="Calibri" w:hAnsi="Times New Roman" w:cs="Times New Roman"/>
          <w:sz w:val="24"/>
          <w:szCs w:val="24"/>
          <w:lang w:val="en-GB"/>
        </w:rPr>
      </w:pPr>
    </w:p>
    <w:p w:rsidR="00BC52AF" w:rsidRDefault="00BC52AF" w:rsidP="006646AE">
      <w:pPr>
        <w:spacing w:after="0" w:line="360" w:lineRule="auto"/>
        <w:jc w:val="both"/>
        <w:rPr>
          <w:rFonts w:ascii="Times New Roman" w:eastAsia="Calibri" w:hAnsi="Times New Roman" w:cs="Times New Roman"/>
          <w:sz w:val="24"/>
          <w:szCs w:val="24"/>
          <w:u w:val="single"/>
          <w:lang w:val="en-GB"/>
        </w:rPr>
      </w:pPr>
      <w:r w:rsidRPr="00BC52AF">
        <w:rPr>
          <w:rFonts w:ascii="Times New Roman" w:eastAsia="Calibri" w:hAnsi="Times New Roman" w:cs="Times New Roman"/>
          <w:sz w:val="24"/>
          <w:szCs w:val="24"/>
          <w:u w:val="single"/>
          <w:lang w:val="en-GB"/>
        </w:rPr>
        <w:t>THE RESPONDENT’S POSITION ON GROUNDS OF APPEAL</w:t>
      </w:r>
    </w:p>
    <w:p w:rsidR="007452C1" w:rsidRPr="00BC52AF" w:rsidRDefault="007452C1" w:rsidP="006646AE">
      <w:pPr>
        <w:spacing w:after="0" w:line="360" w:lineRule="auto"/>
        <w:jc w:val="both"/>
        <w:rPr>
          <w:rFonts w:ascii="Times New Roman" w:eastAsia="Calibri" w:hAnsi="Times New Roman" w:cs="Times New Roman"/>
          <w:sz w:val="24"/>
          <w:szCs w:val="24"/>
          <w:u w:val="single"/>
          <w:lang w:val="en-GB"/>
        </w:rPr>
      </w:pPr>
    </w:p>
    <w:p w:rsidR="007D7889" w:rsidRDefault="007D7889" w:rsidP="006646AE">
      <w:pPr>
        <w:spacing w:after="0" w:line="360" w:lineRule="auto"/>
        <w:ind w:firstLine="14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The respondent’s position on a</w:t>
      </w:r>
      <w:r w:rsidR="00BC52AF">
        <w:rPr>
          <w:rFonts w:ascii="Times New Roman" w:eastAsia="Calibri" w:hAnsi="Times New Roman" w:cs="Times New Roman"/>
          <w:sz w:val="24"/>
          <w:szCs w:val="24"/>
          <w:lang w:val="en-GB"/>
        </w:rPr>
        <w:t>ppeal against conviction was to</w:t>
      </w:r>
      <w:r>
        <w:rPr>
          <w:rFonts w:ascii="Times New Roman" w:eastAsia="Calibri" w:hAnsi="Times New Roman" w:cs="Times New Roman"/>
          <w:sz w:val="24"/>
          <w:szCs w:val="24"/>
          <w:lang w:val="en-GB"/>
        </w:rPr>
        <w:t xml:space="preserve"> strenuously oppose it on the grounds that all the essential elements of the offence charged were sufficiently canvassed and established beyond a reasonable doubt. The respondent therefore supported the conviction of the appellant.</w:t>
      </w:r>
    </w:p>
    <w:p w:rsidR="007D7889" w:rsidRDefault="007D7889" w:rsidP="006646AE">
      <w:pPr>
        <w:spacing w:after="0" w:line="360" w:lineRule="auto"/>
        <w:ind w:firstLine="14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On sentence, the respondent agreed with the appellant that the sentence was too severe and that the appellant’s appeal in this regards succeeds. The respondent proceeded to suggest a </w:t>
      </w:r>
      <w:r w:rsidR="00BC52AF">
        <w:rPr>
          <w:rFonts w:ascii="Times New Roman" w:eastAsia="Calibri" w:hAnsi="Times New Roman" w:cs="Times New Roman"/>
          <w:sz w:val="24"/>
          <w:szCs w:val="24"/>
          <w:lang w:val="en-GB"/>
        </w:rPr>
        <w:t>lighter</w:t>
      </w:r>
      <w:r>
        <w:rPr>
          <w:rFonts w:ascii="Times New Roman" w:eastAsia="Calibri" w:hAnsi="Times New Roman" w:cs="Times New Roman"/>
          <w:sz w:val="24"/>
          <w:szCs w:val="24"/>
          <w:lang w:val="en-GB"/>
        </w:rPr>
        <w:t xml:space="preserve"> prison sentence with a </w:t>
      </w:r>
      <w:r w:rsidR="00B71FD9">
        <w:rPr>
          <w:rFonts w:ascii="Times New Roman" w:eastAsia="Calibri" w:hAnsi="Times New Roman" w:cs="Times New Roman"/>
          <w:sz w:val="24"/>
          <w:szCs w:val="24"/>
          <w:lang w:val="en-GB"/>
        </w:rPr>
        <w:t>portion</w:t>
      </w:r>
      <w:r>
        <w:rPr>
          <w:rFonts w:ascii="Times New Roman" w:eastAsia="Calibri" w:hAnsi="Times New Roman" w:cs="Times New Roman"/>
          <w:sz w:val="24"/>
          <w:szCs w:val="24"/>
          <w:lang w:val="en-GB"/>
        </w:rPr>
        <w:t xml:space="preserve"> </w:t>
      </w:r>
      <w:r w:rsidR="00B71FD9">
        <w:rPr>
          <w:rFonts w:ascii="Times New Roman" w:eastAsia="Calibri" w:hAnsi="Times New Roman" w:cs="Times New Roman"/>
          <w:sz w:val="24"/>
          <w:szCs w:val="24"/>
          <w:lang w:val="en-GB"/>
        </w:rPr>
        <w:t>suspended</w:t>
      </w:r>
      <w:r>
        <w:rPr>
          <w:rFonts w:ascii="Times New Roman" w:eastAsia="Calibri" w:hAnsi="Times New Roman" w:cs="Times New Roman"/>
          <w:sz w:val="24"/>
          <w:szCs w:val="24"/>
          <w:lang w:val="en-GB"/>
        </w:rPr>
        <w:t xml:space="preserve"> on condition the appellant </w:t>
      </w:r>
      <w:r w:rsidR="00B71FD9">
        <w:rPr>
          <w:rFonts w:ascii="Times New Roman" w:eastAsia="Calibri" w:hAnsi="Times New Roman" w:cs="Times New Roman"/>
          <w:sz w:val="24"/>
          <w:szCs w:val="24"/>
          <w:lang w:val="en-GB"/>
        </w:rPr>
        <w:t>performs</w:t>
      </w:r>
      <w:r>
        <w:rPr>
          <w:rFonts w:ascii="Times New Roman" w:eastAsia="Calibri" w:hAnsi="Times New Roman" w:cs="Times New Roman"/>
          <w:sz w:val="24"/>
          <w:szCs w:val="24"/>
          <w:lang w:val="en-GB"/>
        </w:rPr>
        <w:t xml:space="preserve"> community service for specified ho</w:t>
      </w:r>
      <w:r w:rsidR="00903E52">
        <w:rPr>
          <w:rFonts w:ascii="Times New Roman" w:eastAsia="Calibri" w:hAnsi="Times New Roman" w:cs="Times New Roman"/>
          <w:sz w:val="24"/>
          <w:szCs w:val="24"/>
          <w:lang w:val="en-GB"/>
        </w:rPr>
        <w:t>urs</w:t>
      </w:r>
      <w:r>
        <w:rPr>
          <w:rFonts w:ascii="Times New Roman" w:eastAsia="Calibri" w:hAnsi="Times New Roman" w:cs="Times New Roman"/>
          <w:sz w:val="24"/>
          <w:szCs w:val="24"/>
          <w:lang w:val="en-GB"/>
        </w:rPr>
        <w:t>.</w:t>
      </w:r>
    </w:p>
    <w:p w:rsidR="004F1792" w:rsidRDefault="004F1792" w:rsidP="006646AE">
      <w:pPr>
        <w:spacing w:after="0" w:line="360" w:lineRule="auto"/>
        <w:ind w:firstLine="1440"/>
        <w:jc w:val="both"/>
        <w:rPr>
          <w:rFonts w:ascii="Times New Roman" w:eastAsia="Calibri" w:hAnsi="Times New Roman" w:cs="Times New Roman"/>
          <w:sz w:val="24"/>
          <w:szCs w:val="24"/>
          <w:lang w:val="en-GB"/>
        </w:rPr>
      </w:pPr>
    </w:p>
    <w:p w:rsidR="007D7889" w:rsidRPr="007D7889" w:rsidRDefault="00BC52AF" w:rsidP="006646AE">
      <w:pPr>
        <w:spacing w:after="0" w:line="360" w:lineRule="auto"/>
        <w:jc w:val="both"/>
        <w:rPr>
          <w:rFonts w:ascii="Times New Roman" w:eastAsia="Calibri" w:hAnsi="Times New Roman" w:cs="Times New Roman"/>
          <w:sz w:val="24"/>
          <w:szCs w:val="24"/>
          <w:u w:val="single"/>
          <w:lang w:val="en-GB"/>
        </w:rPr>
      </w:pPr>
      <w:r>
        <w:rPr>
          <w:rFonts w:ascii="Times New Roman" w:eastAsia="Calibri" w:hAnsi="Times New Roman" w:cs="Times New Roman"/>
          <w:sz w:val="24"/>
          <w:szCs w:val="24"/>
          <w:u w:val="single"/>
          <w:lang w:val="en-GB"/>
        </w:rPr>
        <w:t>FACTUAL BACKGROUND</w:t>
      </w:r>
    </w:p>
    <w:p w:rsidR="007D7889" w:rsidRDefault="007D7889" w:rsidP="006646AE">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ab/>
        <w:t xml:space="preserve">The facts which are not in </w:t>
      </w:r>
      <w:r w:rsidR="00B71FD9">
        <w:rPr>
          <w:rFonts w:ascii="Times New Roman" w:eastAsia="Calibri" w:hAnsi="Times New Roman" w:cs="Times New Roman"/>
          <w:sz w:val="24"/>
          <w:szCs w:val="24"/>
          <w:lang w:val="en-GB"/>
        </w:rPr>
        <w:t>dispute</w:t>
      </w:r>
      <w:r>
        <w:rPr>
          <w:rFonts w:ascii="Times New Roman" w:eastAsia="Calibri" w:hAnsi="Times New Roman" w:cs="Times New Roman"/>
          <w:sz w:val="24"/>
          <w:szCs w:val="24"/>
          <w:lang w:val="en-GB"/>
        </w:rPr>
        <w:t xml:space="preserve"> </w:t>
      </w:r>
      <w:r w:rsidR="00B71FD9">
        <w:rPr>
          <w:rFonts w:ascii="Times New Roman" w:eastAsia="Calibri" w:hAnsi="Times New Roman" w:cs="Times New Roman"/>
          <w:sz w:val="24"/>
          <w:szCs w:val="24"/>
          <w:lang w:val="en-GB"/>
        </w:rPr>
        <w:t xml:space="preserve">are that </w:t>
      </w:r>
      <w:r w:rsidR="00757965">
        <w:rPr>
          <w:rFonts w:ascii="Times New Roman" w:eastAsia="Calibri" w:hAnsi="Times New Roman" w:cs="Times New Roman"/>
          <w:sz w:val="24"/>
          <w:szCs w:val="24"/>
          <w:lang w:val="en-GB"/>
        </w:rPr>
        <w:t xml:space="preserve">the appellant and her co-accused persons were employed by the Ministry of Home Affairs, </w:t>
      </w:r>
      <w:r w:rsidR="00BC52AF">
        <w:rPr>
          <w:rFonts w:ascii="Times New Roman" w:eastAsia="Calibri" w:hAnsi="Times New Roman" w:cs="Times New Roman"/>
          <w:sz w:val="24"/>
          <w:szCs w:val="24"/>
          <w:lang w:val="en-GB"/>
        </w:rPr>
        <w:t>Passport Office</w:t>
      </w:r>
      <w:r w:rsidR="00757965">
        <w:rPr>
          <w:rFonts w:ascii="Times New Roman" w:eastAsia="Calibri" w:hAnsi="Times New Roman" w:cs="Times New Roman"/>
          <w:sz w:val="24"/>
          <w:szCs w:val="24"/>
          <w:lang w:val="en-GB"/>
        </w:rPr>
        <w:t xml:space="preserve">, in Gweru. They were employed in the accounts office as processing officers. Their duties included receiving stationery from the </w:t>
      </w:r>
      <w:r w:rsidR="00BC52AF">
        <w:rPr>
          <w:rFonts w:ascii="Times New Roman" w:eastAsia="Calibri" w:hAnsi="Times New Roman" w:cs="Times New Roman"/>
          <w:sz w:val="24"/>
          <w:szCs w:val="24"/>
          <w:lang w:val="en-GB"/>
        </w:rPr>
        <w:t>P</w:t>
      </w:r>
      <w:r w:rsidR="00757965">
        <w:rPr>
          <w:rFonts w:ascii="Times New Roman" w:eastAsia="Calibri" w:hAnsi="Times New Roman" w:cs="Times New Roman"/>
          <w:sz w:val="24"/>
          <w:szCs w:val="24"/>
          <w:lang w:val="en-GB"/>
        </w:rPr>
        <w:t>assport Head Office, Harare</w:t>
      </w:r>
      <w:r w:rsidR="00433C58">
        <w:rPr>
          <w:rFonts w:ascii="Times New Roman" w:eastAsia="Calibri" w:hAnsi="Times New Roman" w:cs="Times New Roman"/>
          <w:sz w:val="24"/>
          <w:szCs w:val="24"/>
          <w:lang w:val="en-GB"/>
        </w:rPr>
        <w:t>,</w:t>
      </w:r>
      <w:r w:rsidR="00757965">
        <w:rPr>
          <w:rFonts w:ascii="Times New Roman" w:eastAsia="Calibri" w:hAnsi="Times New Roman" w:cs="Times New Roman"/>
          <w:sz w:val="24"/>
          <w:szCs w:val="24"/>
          <w:lang w:val="en-GB"/>
        </w:rPr>
        <w:t xml:space="preserve"> and issuing out same to different sections in the department.</w:t>
      </w:r>
    </w:p>
    <w:p w:rsidR="00757965" w:rsidRDefault="00757965" w:rsidP="006646AE">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ab/>
      </w:r>
      <w:r>
        <w:rPr>
          <w:rFonts w:ascii="Times New Roman" w:eastAsia="Calibri" w:hAnsi="Times New Roman" w:cs="Times New Roman"/>
          <w:sz w:val="24"/>
          <w:szCs w:val="24"/>
          <w:lang w:val="en-GB"/>
        </w:rPr>
        <w:tab/>
      </w:r>
      <w:r w:rsidR="004F1792">
        <w:rPr>
          <w:rFonts w:ascii="Times New Roman" w:eastAsia="Calibri" w:hAnsi="Times New Roman" w:cs="Times New Roman"/>
          <w:sz w:val="24"/>
          <w:szCs w:val="24"/>
          <w:lang w:val="en-GB"/>
        </w:rPr>
        <w:t>Amongst</w:t>
      </w:r>
      <w:r>
        <w:rPr>
          <w:rFonts w:ascii="Times New Roman" w:eastAsia="Calibri" w:hAnsi="Times New Roman" w:cs="Times New Roman"/>
          <w:sz w:val="24"/>
          <w:szCs w:val="24"/>
          <w:lang w:val="en-GB"/>
        </w:rPr>
        <w:t xml:space="preserve"> the documents that the appellant and her three co-accused would receive from their Central Registry Office in Harare, for onward processing were </w:t>
      </w:r>
      <w:r w:rsidR="00903E52">
        <w:rPr>
          <w:rFonts w:ascii="Times New Roman" w:eastAsia="Calibri" w:hAnsi="Times New Roman" w:cs="Times New Roman"/>
          <w:sz w:val="24"/>
          <w:szCs w:val="24"/>
          <w:lang w:val="en-GB"/>
        </w:rPr>
        <w:t>Emergency Travel Documents</w:t>
      </w:r>
      <w:r>
        <w:rPr>
          <w:rFonts w:ascii="Times New Roman" w:eastAsia="Calibri" w:hAnsi="Times New Roman" w:cs="Times New Roman"/>
          <w:sz w:val="24"/>
          <w:szCs w:val="24"/>
          <w:lang w:val="en-GB"/>
        </w:rPr>
        <w:t xml:space="preserve"> (ETDs). The appellant and her colleagues would report directly to the Provincial Registrar.</w:t>
      </w:r>
    </w:p>
    <w:p w:rsidR="00757965" w:rsidRDefault="00757965" w:rsidP="006646AE">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sidR="004F1792">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 xml:space="preserve">It was the </w:t>
      </w:r>
      <w:r w:rsidR="00C82E1B">
        <w:rPr>
          <w:rFonts w:ascii="Times New Roman" w:eastAsia="Calibri" w:hAnsi="Times New Roman" w:cs="Times New Roman"/>
          <w:sz w:val="24"/>
          <w:szCs w:val="24"/>
          <w:lang w:val="en-GB"/>
        </w:rPr>
        <w:t>S</w:t>
      </w:r>
      <w:r>
        <w:rPr>
          <w:rFonts w:ascii="Times New Roman" w:eastAsia="Calibri" w:hAnsi="Times New Roman" w:cs="Times New Roman"/>
          <w:sz w:val="24"/>
          <w:szCs w:val="24"/>
          <w:lang w:val="en-GB"/>
        </w:rPr>
        <w:t xml:space="preserve">tate case that both the keys to the accounts office and to the safe where the ETDs and other related security items were </w:t>
      </w:r>
      <w:r w:rsidR="00386B99">
        <w:rPr>
          <w:rFonts w:ascii="Times New Roman" w:eastAsia="Calibri" w:hAnsi="Times New Roman" w:cs="Times New Roman"/>
          <w:sz w:val="24"/>
          <w:szCs w:val="24"/>
          <w:lang w:val="en-GB"/>
        </w:rPr>
        <w:t>stored</w:t>
      </w:r>
      <w:r w:rsidR="008D1B31">
        <w:rPr>
          <w:rFonts w:ascii="Times New Roman" w:eastAsia="Calibri" w:hAnsi="Times New Roman" w:cs="Times New Roman"/>
          <w:sz w:val="24"/>
          <w:szCs w:val="24"/>
          <w:lang w:val="en-GB"/>
        </w:rPr>
        <w:t xml:space="preserve"> were kept</w:t>
      </w:r>
      <w:r w:rsidR="00386B99">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by th</w:t>
      </w:r>
      <w:r w:rsidR="00AC7C50">
        <w:rPr>
          <w:rFonts w:ascii="Times New Roman" w:eastAsia="Calibri" w:hAnsi="Times New Roman" w:cs="Times New Roman"/>
          <w:sz w:val="24"/>
          <w:szCs w:val="24"/>
          <w:lang w:val="en-GB"/>
        </w:rPr>
        <w:t>e appellant and her co-accused o</w:t>
      </w:r>
      <w:r>
        <w:rPr>
          <w:rFonts w:ascii="Times New Roman" w:eastAsia="Calibri" w:hAnsi="Times New Roman" w:cs="Times New Roman"/>
          <w:sz w:val="24"/>
          <w:szCs w:val="24"/>
          <w:lang w:val="en-GB"/>
        </w:rPr>
        <w:t>n rotation</w:t>
      </w:r>
      <w:r w:rsidR="00AC7C50">
        <w:rPr>
          <w:rFonts w:ascii="Times New Roman" w:eastAsia="Calibri" w:hAnsi="Times New Roman" w:cs="Times New Roman"/>
          <w:sz w:val="24"/>
          <w:szCs w:val="24"/>
          <w:lang w:val="en-GB"/>
        </w:rPr>
        <w:t>al</w:t>
      </w:r>
      <w:r>
        <w:rPr>
          <w:rFonts w:ascii="Times New Roman" w:eastAsia="Calibri" w:hAnsi="Times New Roman" w:cs="Times New Roman"/>
          <w:sz w:val="24"/>
          <w:szCs w:val="24"/>
          <w:lang w:val="en-GB"/>
        </w:rPr>
        <w:t xml:space="preserve"> </w:t>
      </w:r>
      <w:r w:rsidR="00AC7C50">
        <w:rPr>
          <w:rFonts w:ascii="Times New Roman" w:eastAsia="Calibri" w:hAnsi="Times New Roman" w:cs="Times New Roman"/>
          <w:sz w:val="24"/>
          <w:szCs w:val="24"/>
          <w:lang w:val="en-GB"/>
        </w:rPr>
        <w:t>basis</w:t>
      </w:r>
      <w:r>
        <w:rPr>
          <w:rFonts w:ascii="Times New Roman" w:eastAsia="Calibri" w:hAnsi="Times New Roman" w:cs="Times New Roman"/>
          <w:sz w:val="24"/>
          <w:szCs w:val="24"/>
          <w:lang w:val="en-GB"/>
        </w:rPr>
        <w:t>.</w:t>
      </w:r>
    </w:p>
    <w:p w:rsidR="00757965" w:rsidRDefault="00757965" w:rsidP="006646AE">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sidR="004F1792">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 xml:space="preserve">Some ETDs which ought not to have been in </w:t>
      </w:r>
      <w:r w:rsidR="004F1792">
        <w:rPr>
          <w:rFonts w:ascii="Times New Roman" w:eastAsia="Calibri" w:hAnsi="Times New Roman" w:cs="Times New Roman"/>
          <w:sz w:val="24"/>
          <w:szCs w:val="24"/>
          <w:lang w:val="en-GB"/>
        </w:rPr>
        <w:t>circulation</w:t>
      </w:r>
      <w:r>
        <w:rPr>
          <w:rFonts w:ascii="Times New Roman" w:eastAsia="Calibri" w:hAnsi="Times New Roman" w:cs="Times New Roman"/>
          <w:sz w:val="24"/>
          <w:szCs w:val="24"/>
          <w:lang w:val="en-GB"/>
        </w:rPr>
        <w:t xml:space="preserve"> </w:t>
      </w:r>
      <w:r w:rsidR="004F1792">
        <w:rPr>
          <w:rFonts w:ascii="Times New Roman" w:eastAsia="Calibri" w:hAnsi="Times New Roman" w:cs="Times New Roman"/>
          <w:sz w:val="24"/>
          <w:szCs w:val="24"/>
          <w:lang w:val="en-GB"/>
        </w:rPr>
        <w:t>were</w:t>
      </w:r>
      <w:r>
        <w:rPr>
          <w:rFonts w:ascii="Times New Roman" w:eastAsia="Calibri" w:hAnsi="Times New Roman" w:cs="Times New Roman"/>
          <w:sz w:val="24"/>
          <w:szCs w:val="24"/>
          <w:lang w:val="en-GB"/>
        </w:rPr>
        <w:t xml:space="preserve"> accidentally recovered. Investigations which subsequently occurred traced the origins of the ETDs to the </w:t>
      </w:r>
      <w:r w:rsidR="00C82E1B">
        <w:rPr>
          <w:rFonts w:ascii="Times New Roman" w:eastAsia="Calibri" w:hAnsi="Times New Roman" w:cs="Times New Roman"/>
          <w:sz w:val="24"/>
          <w:szCs w:val="24"/>
          <w:lang w:val="en-GB"/>
        </w:rPr>
        <w:t xml:space="preserve">Registrar’s Office, </w:t>
      </w:r>
      <w:r>
        <w:rPr>
          <w:rFonts w:ascii="Times New Roman" w:eastAsia="Calibri" w:hAnsi="Times New Roman" w:cs="Times New Roman"/>
          <w:sz w:val="24"/>
          <w:szCs w:val="24"/>
          <w:lang w:val="en-GB"/>
        </w:rPr>
        <w:t>Gweru, accounts section which was being manned by the appellant and her co-accused persons. An audit report that followed established that in fact</w:t>
      </w:r>
      <w:r w:rsidR="008D1B31">
        <w:rPr>
          <w:rFonts w:ascii="Times New Roman" w:eastAsia="Calibri" w:hAnsi="Times New Roman" w:cs="Times New Roman"/>
          <w:sz w:val="24"/>
          <w:szCs w:val="24"/>
          <w:lang w:val="en-GB"/>
        </w:rPr>
        <w:t>,</w:t>
      </w:r>
      <w:r w:rsidR="00903E52">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12 007 ETDs had disappeared from the accounts office after the office ha</w:t>
      </w:r>
      <w:r w:rsidR="00E01C97">
        <w:rPr>
          <w:rFonts w:ascii="Times New Roman" w:eastAsia="Calibri" w:hAnsi="Times New Roman" w:cs="Times New Roman"/>
          <w:sz w:val="24"/>
          <w:szCs w:val="24"/>
          <w:lang w:val="en-GB"/>
        </w:rPr>
        <w:t>d</w:t>
      </w:r>
      <w:r>
        <w:rPr>
          <w:rFonts w:ascii="Times New Roman" w:eastAsia="Calibri" w:hAnsi="Times New Roman" w:cs="Times New Roman"/>
          <w:sz w:val="24"/>
          <w:szCs w:val="24"/>
          <w:lang w:val="en-GB"/>
        </w:rPr>
        <w:t xml:space="preserve"> acknowledged receipt of same.</w:t>
      </w:r>
      <w:r w:rsidR="00E01C97">
        <w:rPr>
          <w:rFonts w:ascii="Times New Roman" w:eastAsia="Calibri" w:hAnsi="Times New Roman" w:cs="Times New Roman"/>
          <w:sz w:val="24"/>
          <w:szCs w:val="24"/>
          <w:lang w:val="en-GB"/>
        </w:rPr>
        <w:t xml:space="preserve"> It was the</w:t>
      </w:r>
      <w:r>
        <w:rPr>
          <w:rFonts w:ascii="Times New Roman" w:eastAsia="Calibri" w:hAnsi="Times New Roman" w:cs="Times New Roman"/>
          <w:sz w:val="24"/>
          <w:szCs w:val="24"/>
          <w:lang w:val="en-GB"/>
        </w:rPr>
        <w:t xml:space="preserve"> disappearance of these ETDs that led to the appellant and her co-accused being charged </w:t>
      </w:r>
      <w:r w:rsidR="00E01C97">
        <w:rPr>
          <w:rFonts w:ascii="Times New Roman" w:eastAsia="Calibri" w:hAnsi="Times New Roman" w:cs="Times New Roman"/>
          <w:sz w:val="24"/>
          <w:szCs w:val="24"/>
          <w:lang w:val="en-GB"/>
        </w:rPr>
        <w:t>as already outline</w:t>
      </w:r>
      <w:r w:rsidR="00C82E1B">
        <w:rPr>
          <w:rFonts w:ascii="Times New Roman" w:eastAsia="Calibri" w:hAnsi="Times New Roman" w:cs="Times New Roman"/>
          <w:sz w:val="24"/>
          <w:szCs w:val="24"/>
          <w:lang w:val="en-GB"/>
        </w:rPr>
        <w:t>d</w:t>
      </w:r>
      <w:r w:rsidR="00E01C97">
        <w:rPr>
          <w:rFonts w:ascii="Times New Roman" w:eastAsia="Calibri" w:hAnsi="Times New Roman" w:cs="Times New Roman"/>
          <w:sz w:val="24"/>
          <w:szCs w:val="24"/>
          <w:lang w:val="en-GB"/>
        </w:rPr>
        <w:t xml:space="preserve"> above.</w:t>
      </w:r>
      <w:r w:rsidR="00C82E1B">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xml:space="preserve">It was not in dispute </w:t>
      </w:r>
      <w:r w:rsidR="00A65ECB">
        <w:rPr>
          <w:rFonts w:ascii="Times New Roman" w:eastAsia="Calibri" w:hAnsi="Times New Roman" w:cs="Times New Roman"/>
          <w:sz w:val="24"/>
          <w:szCs w:val="24"/>
          <w:lang w:val="en-GB"/>
        </w:rPr>
        <w:t>that the office that housed these ETDs had not been broken into hence the appellant and her co-accused were suspected to have stolen the ETDs.</w:t>
      </w:r>
    </w:p>
    <w:p w:rsidR="00A65ECB" w:rsidRDefault="00A65ECB" w:rsidP="006646AE">
      <w:pPr>
        <w:spacing w:after="0" w:line="360" w:lineRule="auto"/>
        <w:ind w:firstLine="14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The appellant and her co-accused</w:t>
      </w:r>
      <w:r w:rsidR="00E01C97">
        <w:rPr>
          <w:rFonts w:ascii="Times New Roman" w:eastAsia="Calibri" w:hAnsi="Times New Roman" w:cs="Times New Roman"/>
          <w:sz w:val="24"/>
          <w:szCs w:val="24"/>
          <w:lang w:val="en-GB"/>
        </w:rPr>
        <w:t xml:space="preserve"> persons denied the allegations,</w:t>
      </w:r>
      <w:r>
        <w:rPr>
          <w:rFonts w:ascii="Times New Roman" w:eastAsia="Calibri" w:hAnsi="Times New Roman" w:cs="Times New Roman"/>
          <w:sz w:val="24"/>
          <w:szCs w:val="24"/>
          <w:lang w:val="en-GB"/>
        </w:rPr>
        <w:t xml:space="preserve"> the common </w:t>
      </w:r>
      <w:r w:rsidR="008D1B31">
        <w:rPr>
          <w:rFonts w:ascii="Times New Roman" w:eastAsia="Calibri" w:hAnsi="Times New Roman" w:cs="Times New Roman"/>
          <w:sz w:val="24"/>
          <w:szCs w:val="24"/>
          <w:lang w:val="en-GB"/>
        </w:rPr>
        <w:t>thread</w:t>
      </w:r>
      <w:r>
        <w:rPr>
          <w:rFonts w:ascii="Times New Roman" w:eastAsia="Calibri" w:hAnsi="Times New Roman" w:cs="Times New Roman"/>
          <w:sz w:val="24"/>
          <w:szCs w:val="24"/>
          <w:lang w:val="en-GB"/>
        </w:rPr>
        <w:t xml:space="preserve"> in their defence outlines </w:t>
      </w:r>
      <w:r w:rsidR="00E01C97">
        <w:rPr>
          <w:rFonts w:ascii="Times New Roman" w:eastAsia="Calibri" w:hAnsi="Times New Roman" w:cs="Times New Roman"/>
          <w:sz w:val="24"/>
          <w:szCs w:val="24"/>
          <w:lang w:val="en-GB"/>
        </w:rPr>
        <w:t>being the complete</w:t>
      </w:r>
      <w:r>
        <w:rPr>
          <w:rFonts w:ascii="Times New Roman" w:eastAsia="Calibri" w:hAnsi="Times New Roman" w:cs="Times New Roman"/>
          <w:sz w:val="24"/>
          <w:szCs w:val="24"/>
          <w:lang w:val="en-GB"/>
        </w:rPr>
        <w:t xml:space="preserve"> denial of having stolen the ETDs either individually or collectively. They all stated that they were surprised to learn of the missing ETDs.</w:t>
      </w:r>
    </w:p>
    <w:p w:rsidR="00AC2B12" w:rsidRDefault="00A65ECB" w:rsidP="006646AE">
      <w:pPr>
        <w:spacing w:after="0" w:line="360" w:lineRule="auto"/>
        <w:ind w:firstLine="135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Despite having pleaded not </w:t>
      </w:r>
      <w:r w:rsidR="00E432C9">
        <w:rPr>
          <w:rFonts w:ascii="Times New Roman" w:eastAsia="Calibri" w:hAnsi="Times New Roman" w:cs="Times New Roman"/>
          <w:sz w:val="24"/>
          <w:szCs w:val="24"/>
          <w:lang w:val="en-GB"/>
        </w:rPr>
        <w:t>guilty,</w:t>
      </w:r>
      <w:r>
        <w:rPr>
          <w:rFonts w:ascii="Times New Roman" w:eastAsia="Calibri" w:hAnsi="Times New Roman" w:cs="Times New Roman"/>
          <w:sz w:val="24"/>
          <w:szCs w:val="24"/>
          <w:lang w:val="en-GB"/>
        </w:rPr>
        <w:t xml:space="preserve"> the appellant and her co-accused were convicted by the court </w:t>
      </w:r>
      <w:r w:rsidRPr="00903E52">
        <w:rPr>
          <w:rFonts w:ascii="Times New Roman" w:eastAsia="Calibri" w:hAnsi="Times New Roman" w:cs="Times New Roman"/>
          <w:i/>
          <w:sz w:val="24"/>
          <w:szCs w:val="24"/>
          <w:lang w:val="en-GB"/>
        </w:rPr>
        <w:t>a quo</w:t>
      </w:r>
      <w:r>
        <w:rPr>
          <w:rFonts w:ascii="Times New Roman" w:eastAsia="Calibri" w:hAnsi="Times New Roman" w:cs="Times New Roman"/>
          <w:sz w:val="24"/>
          <w:szCs w:val="24"/>
          <w:lang w:val="en-GB"/>
        </w:rPr>
        <w:t xml:space="preserve"> </w:t>
      </w:r>
      <w:r w:rsidR="00DD462D">
        <w:rPr>
          <w:rFonts w:ascii="Times New Roman" w:eastAsia="Calibri" w:hAnsi="Times New Roman" w:cs="Times New Roman"/>
          <w:sz w:val="24"/>
          <w:szCs w:val="24"/>
          <w:lang w:val="en-GB"/>
        </w:rPr>
        <w:t xml:space="preserve">on the main court </w:t>
      </w:r>
      <w:r>
        <w:rPr>
          <w:rFonts w:ascii="Times New Roman" w:eastAsia="Calibri" w:hAnsi="Times New Roman" w:cs="Times New Roman"/>
          <w:sz w:val="24"/>
          <w:szCs w:val="24"/>
          <w:lang w:val="en-GB"/>
        </w:rPr>
        <w:t>and sentenced as aforesaid.</w:t>
      </w:r>
    </w:p>
    <w:p w:rsidR="005F2ADF" w:rsidRDefault="005F2ADF" w:rsidP="006646AE">
      <w:pPr>
        <w:spacing w:after="0" w:line="360" w:lineRule="auto"/>
        <w:ind w:firstLine="1350"/>
        <w:jc w:val="both"/>
        <w:rPr>
          <w:rFonts w:ascii="Times New Roman" w:eastAsia="Calibri" w:hAnsi="Times New Roman" w:cs="Times New Roman"/>
          <w:sz w:val="24"/>
          <w:szCs w:val="24"/>
          <w:lang w:val="en-GB"/>
        </w:rPr>
      </w:pPr>
    </w:p>
    <w:p w:rsidR="00A65ECB" w:rsidRPr="00AC2B12" w:rsidRDefault="005F2ADF" w:rsidP="006646AE">
      <w:pPr>
        <w:spacing w:after="0" w:line="360" w:lineRule="auto"/>
        <w:jc w:val="both"/>
        <w:rPr>
          <w:rFonts w:ascii="Times New Roman" w:eastAsia="Calibri" w:hAnsi="Times New Roman" w:cs="Times New Roman"/>
          <w:sz w:val="24"/>
          <w:szCs w:val="24"/>
          <w:u w:val="single"/>
          <w:lang w:val="en-GB"/>
        </w:rPr>
      </w:pPr>
      <w:r>
        <w:rPr>
          <w:rFonts w:ascii="Times New Roman" w:eastAsia="Calibri" w:hAnsi="Times New Roman" w:cs="Times New Roman"/>
          <w:sz w:val="24"/>
          <w:szCs w:val="24"/>
          <w:u w:val="single"/>
          <w:lang w:val="en-GB"/>
        </w:rPr>
        <w:t>THE STATE CASE</w:t>
      </w:r>
    </w:p>
    <w:p w:rsidR="00DD462D" w:rsidRDefault="00A65ECB" w:rsidP="006646AE">
      <w:pPr>
        <w:spacing w:after="0" w:line="360" w:lineRule="auto"/>
        <w:ind w:firstLine="14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The </w:t>
      </w:r>
      <w:r w:rsidR="005F2ADF">
        <w:rPr>
          <w:rFonts w:ascii="Times New Roman" w:eastAsia="Calibri" w:hAnsi="Times New Roman" w:cs="Times New Roman"/>
          <w:sz w:val="24"/>
          <w:szCs w:val="24"/>
          <w:lang w:val="en-GB"/>
        </w:rPr>
        <w:t>S</w:t>
      </w:r>
      <w:r>
        <w:rPr>
          <w:rFonts w:ascii="Times New Roman" w:eastAsia="Calibri" w:hAnsi="Times New Roman" w:cs="Times New Roman"/>
          <w:sz w:val="24"/>
          <w:szCs w:val="24"/>
          <w:lang w:val="en-GB"/>
        </w:rPr>
        <w:t xml:space="preserve">tate case was centered on the evidence of three witness, namely Agness Descree Tapiwa Gambura (the </w:t>
      </w:r>
      <w:r w:rsidR="00DD462D">
        <w:rPr>
          <w:rFonts w:ascii="Times New Roman" w:eastAsia="Calibri" w:hAnsi="Times New Roman" w:cs="Times New Roman"/>
          <w:sz w:val="24"/>
          <w:szCs w:val="24"/>
          <w:lang w:val="en-GB"/>
        </w:rPr>
        <w:t xml:space="preserve">Gweru </w:t>
      </w:r>
      <w:r>
        <w:rPr>
          <w:rFonts w:ascii="Times New Roman" w:eastAsia="Calibri" w:hAnsi="Times New Roman" w:cs="Times New Roman"/>
          <w:sz w:val="24"/>
          <w:szCs w:val="24"/>
          <w:lang w:val="en-GB"/>
        </w:rPr>
        <w:t xml:space="preserve">Provincial Registar), Changara (the internal auditor) and Assistant Inspector Simon Sibanda who was </w:t>
      </w:r>
      <w:r w:rsidR="00E432C9">
        <w:rPr>
          <w:rFonts w:ascii="Times New Roman" w:eastAsia="Calibri" w:hAnsi="Times New Roman" w:cs="Times New Roman"/>
          <w:sz w:val="24"/>
          <w:szCs w:val="24"/>
          <w:lang w:val="en-GB"/>
        </w:rPr>
        <w:t>the</w:t>
      </w:r>
      <w:r>
        <w:rPr>
          <w:rFonts w:ascii="Times New Roman" w:eastAsia="Calibri" w:hAnsi="Times New Roman" w:cs="Times New Roman"/>
          <w:sz w:val="24"/>
          <w:szCs w:val="24"/>
          <w:lang w:val="en-GB"/>
        </w:rPr>
        <w:t xml:space="preserve"> leader o</w:t>
      </w:r>
      <w:r w:rsidR="00E432C9">
        <w:rPr>
          <w:rFonts w:ascii="Times New Roman" w:eastAsia="Calibri" w:hAnsi="Times New Roman" w:cs="Times New Roman"/>
          <w:sz w:val="24"/>
          <w:szCs w:val="24"/>
          <w:lang w:val="en-GB"/>
        </w:rPr>
        <w:t xml:space="preserve">f the investigating team which recovered some of the ETDs from various travellers at </w:t>
      </w:r>
      <w:r w:rsidR="005F2ADF">
        <w:rPr>
          <w:rFonts w:ascii="Times New Roman" w:eastAsia="Calibri" w:hAnsi="Times New Roman" w:cs="Times New Roman"/>
          <w:sz w:val="24"/>
          <w:szCs w:val="24"/>
          <w:lang w:val="en-GB"/>
        </w:rPr>
        <w:t xml:space="preserve">the border post at </w:t>
      </w:r>
      <w:r w:rsidR="00E432C9">
        <w:rPr>
          <w:rFonts w:ascii="Times New Roman" w:eastAsia="Calibri" w:hAnsi="Times New Roman" w:cs="Times New Roman"/>
          <w:sz w:val="24"/>
          <w:szCs w:val="24"/>
          <w:lang w:val="en-GB"/>
        </w:rPr>
        <w:t>Beitbridge, Chirundu, Kariba and Plumtree.</w:t>
      </w:r>
    </w:p>
    <w:p w:rsidR="00E432C9" w:rsidRDefault="00E432C9" w:rsidP="006646AE">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sidR="00AC2B12">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 xml:space="preserve">Other than relying on </w:t>
      </w:r>
      <w:r w:rsidRPr="00903E52">
        <w:rPr>
          <w:rFonts w:ascii="Times New Roman" w:eastAsia="Calibri" w:hAnsi="Times New Roman" w:cs="Times New Roman"/>
          <w:i/>
          <w:sz w:val="24"/>
          <w:szCs w:val="24"/>
          <w:lang w:val="en-GB"/>
        </w:rPr>
        <w:t xml:space="preserve">viva voce </w:t>
      </w:r>
      <w:r>
        <w:rPr>
          <w:rFonts w:ascii="Times New Roman" w:eastAsia="Calibri" w:hAnsi="Times New Roman" w:cs="Times New Roman"/>
          <w:sz w:val="24"/>
          <w:szCs w:val="24"/>
          <w:lang w:val="en-GB"/>
        </w:rPr>
        <w:t xml:space="preserve">evidence from the three witnesses, the state case was also anchored on a number of issue vouchers for the ETDs and exhibit 4 </w:t>
      </w:r>
      <w:r w:rsidR="00AC2B12">
        <w:rPr>
          <w:rFonts w:ascii="Times New Roman" w:eastAsia="Calibri" w:hAnsi="Times New Roman" w:cs="Times New Roman"/>
          <w:sz w:val="24"/>
          <w:szCs w:val="24"/>
          <w:lang w:val="en-GB"/>
        </w:rPr>
        <w:t>(the</w:t>
      </w:r>
      <w:r>
        <w:rPr>
          <w:rFonts w:ascii="Times New Roman" w:eastAsia="Calibri" w:hAnsi="Times New Roman" w:cs="Times New Roman"/>
          <w:sz w:val="24"/>
          <w:szCs w:val="24"/>
          <w:lang w:val="en-GB"/>
        </w:rPr>
        <w:t xml:space="preserve"> security items register, for the Gweru office) which assumed centre stage in the proceedings in the lower court.</w:t>
      </w:r>
    </w:p>
    <w:p w:rsidR="00DD462D" w:rsidRDefault="00DD462D" w:rsidP="006646AE">
      <w:pPr>
        <w:spacing w:after="0" w:line="360" w:lineRule="auto"/>
        <w:jc w:val="both"/>
        <w:rPr>
          <w:rFonts w:ascii="Times New Roman" w:eastAsia="Calibri" w:hAnsi="Times New Roman" w:cs="Times New Roman"/>
          <w:sz w:val="24"/>
          <w:szCs w:val="24"/>
          <w:lang w:val="en-GB"/>
        </w:rPr>
      </w:pPr>
    </w:p>
    <w:p w:rsidR="005F2ADF" w:rsidRDefault="005F2ADF" w:rsidP="006646AE">
      <w:pPr>
        <w:spacing w:after="0" w:line="360" w:lineRule="auto"/>
        <w:jc w:val="both"/>
        <w:rPr>
          <w:rFonts w:ascii="Times New Roman" w:eastAsia="Calibri" w:hAnsi="Times New Roman" w:cs="Times New Roman"/>
          <w:sz w:val="24"/>
          <w:szCs w:val="24"/>
          <w:u w:val="single"/>
          <w:lang w:val="en-GB"/>
        </w:rPr>
      </w:pPr>
      <w:r>
        <w:rPr>
          <w:rFonts w:ascii="Times New Roman" w:eastAsia="Calibri" w:hAnsi="Times New Roman" w:cs="Times New Roman"/>
          <w:sz w:val="24"/>
          <w:szCs w:val="24"/>
          <w:u w:val="single"/>
          <w:lang w:val="en-GB"/>
        </w:rPr>
        <w:t>THE APPELLANT’S CASE</w:t>
      </w:r>
    </w:p>
    <w:p w:rsidR="005F2ADF" w:rsidRDefault="005F2ADF" w:rsidP="006646AE">
      <w:pPr>
        <w:spacing w:after="0" w:line="360" w:lineRule="auto"/>
        <w:jc w:val="both"/>
        <w:rPr>
          <w:rFonts w:ascii="Times New Roman" w:eastAsia="Calibri" w:hAnsi="Times New Roman" w:cs="Times New Roman"/>
          <w:sz w:val="24"/>
          <w:szCs w:val="24"/>
          <w:lang w:val="en-GB"/>
        </w:rPr>
      </w:pPr>
      <w:r w:rsidRPr="005F2ADF">
        <w:rPr>
          <w:rFonts w:ascii="Times New Roman" w:eastAsia="Calibri" w:hAnsi="Times New Roman" w:cs="Times New Roman"/>
          <w:sz w:val="24"/>
          <w:szCs w:val="24"/>
          <w:lang w:val="en-GB"/>
        </w:rPr>
        <w:tab/>
      </w:r>
      <w:r w:rsidRPr="005F2ADF">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The appellant’s case in the court a quo, largely consisted of her evidence and that of her co-accused persons.</w:t>
      </w:r>
    </w:p>
    <w:p w:rsidR="005F2ADF" w:rsidRPr="005F2ADF" w:rsidRDefault="005F2ADF" w:rsidP="006646AE">
      <w:pPr>
        <w:spacing w:after="0" w:line="360" w:lineRule="auto"/>
        <w:jc w:val="both"/>
        <w:rPr>
          <w:rFonts w:ascii="Times New Roman" w:eastAsia="Calibri" w:hAnsi="Times New Roman" w:cs="Times New Roman"/>
          <w:sz w:val="24"/>
          <w:szCs w:val="24"/>
          <w:lang w:val="en-GB"/>
        </w:rPr>
      </w:pPr>
    </w:p>
    <w:p w:rsidR="00AC2B12" w:rsidRPr="00DD462D" w:rsidRDefault="00DD462D" w:rsidP="006646AE">
      <w:pPr>
        <w:spacing w:after="0" w:line="360" w:lineRule="auto"/>
        <w:jc w:val="both"/>
        <w:rPr>
          <w:rFonts w:ascii="Times New Roman" w:eastAsia="Calibri" w:hAnsi="Times New Roman" w:cs="Times New Roman"/>
          <w:sz w:val="24"/>
          <w:szCs w:val="24"/>
          <w:u w:val="single"/>
          <w:lang w:val="en-GB"/>
        </w:rPr>
      </w:pPr>
      <w:r w:rsidRPr="00DD462D">
        <w:rPr>
          <w:rFonts w:ascii="Times New Roman" w:eastAsia="Calibri" w:hAnsi="Times New Roman" w:cs="Times New Roman"/>
          <w:sz w:val="24"/>
          <w:szCs w:val="24"/>
          <w:u w:val="single"/>
          <w:lang w:val="en-GB"/>
        </w:rPr>
        <w:t>THE CONVICTION BY THE LOWER COURT</w:t>
      </w:r>
    </w:p>
    <w:p w:rsidR="00E432C9" w:rsidRDefault="00E432C9" w:rsidP="006646AE">
      <w:pPr>
        <w:spacing w:after="0" w:line="360" w:lineRule="auto"/>
        <w:ind w:firstLine="14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In assessing the evidence that was placed before her, the learned Magistrate reasoned as follows:</w:t>
      </w:r>
    </w:p>
    <w:p w:rsidR="00E432C9" w:rsidRPr="007452C1" w:rsidRDefault="00E432C9" w:rsidP="006646AE">
      <w:pPr>
        <w:spacing w:after="0" w:line="360" w:lineRule="auto"/>
        <w:ind w:left="1440"/>
        <w:jc w:val="both"/>
        <w:rPr>
          <w:rFonts w:ascii="Times New Roman" w:eastAsia="Calibri" w:hAnsi="Times New Roman" w:cs="Times New Roman"/>
          <w:sz w:val="20"/>
          <w:szCs w:val="20"/>
          <w:lang w:val="en-GB"/>
        </w:rPr>
      </w:pPr>
      <w:r>
        <w:rPr>
          <w:rFonts w:ascii="Times New Roman" w:eastAsia="Calibri" w:hAnsi="Times New Roman" w:cs="Times New Roman"/>
          <w:sz w:val="24"/>
          <w:szCs w:val="24"/>
          <w:lang w:val="en-GB"/>
        </w:rPr>
        <w:t>“</w:t>
      </w:r>
      <w:r w:rsidRPr="007452C1">
        <w:rPr>
          <w:rFonts w:ascii="Times New Roman" w:eastAsia="Calibri" w:hAnsi="Times New Roman" w:cs="Times New Roman"/>
          <w:sz w:val="20"/>
          <w:szCs w:val="20"/>
          <w:lang w:val="en-GB"/>
        </w:rPr>
        <w:t xml:space="preserve">Under Cross examination the accused admitted that the basics of accounting would require one to account for what they hold in trust and that at the time they were </w:t>
      </w:r>
      <w:r w:rsidR="00AC2B12" w:rsidRPr="007452C1">
        <w:rPr>
          <w:rFonts w:ascii="Times New Roman" w:eastAsia="Calibri" w:hAnsi="Times New Roman" w:cs="Times New Roman"/>
          <w:sz w:val="20"/>
          <w:szCs w:val="20"/>
          <w:lang w:val="en-GB"/>
        </w:rPr>
        <w:t>custodians</w:t>
      </w:r>
      <w:r w:rsidRPr="007452C1">
        <w:rPr>
          <w:rFonts w:ascii="Times New Roman" w:eastAsia="Calibri" w:hAnsi="Times New Roman" w:cs="Times New Roman"/>
          <w:sz w:val="20"/>
          <w:szCs w:val="20"/>
          <w:lang w:val="en-GB"/>
        </w:rPr>
        <w:t xml:space="preserve"> of security items. The accused also admitted </w:t>
      </w:r>
      <w:r w:rsidR="00AC2B12" w:rsidRPr="007452C1">
        <w:rPr>
          <w:rFonts w:ascii="Times New Roman" w:eastAsia="Calibri" w:hAnsi="Times New Roman" w:cs="Times New Roman"/>
          <w:sz w:val="20"/>
          <w:szCs w:val="20"/>
          <w:lang w:val="en-GB"/>
        </w:rPr>
        <w:t>that as</w:t>
      </w:r>
      <w:r w:rsidRPr="007452C1">
        <w:rPr>
          <w:rFonts w:ascii="Times New Roman" w:eastAsia="Calibri" w:hAnsi="Times New Roman" w:cs="Times New Roman"/>
          <w:sz w:val="20"/>
          <w:szCs w:val="20"/>
          <w:lang w:val="en-GB"/>
        </w:rPr>
        <w:t xml:space="preserve"> a result, they were required to take caution of the safety of the document</w:t>
      </w:r>
      <w:r w:rsidR="00DD462D" w:rsidRPr="007452C1">
        <w:rPr>
          <w:rFonts w:ascii="Times New Roman" w:eastAsia="Calibri" w:hAnsi="Times New Roman" w:cs="Times New Roman"/>
          <w:sz w:val="20"/>
          <w:szCs w:val="20"/>
          <w:lang w:val="en-GB"/>
        </w:rPr>
        <w:t>s</w:t>
      </w:r>
      <w:r w:rsidRPr="007452C1">
        <w:rPr>
          <w:rFonts w:ascii="Times New Roman" w:eastAsia="Calibri" w:hAnsi="Times New Roman" w:cs="Times New Roman"/>
          <w:sz w:val="20"/>
          <w:szCs w:val="20"/>
          <w:lang w:val="en-GB"/>
        </w:rPr>
        <w:t xml:space="preserve"> thereby put in place measures that those items were safe.</w:t>
      </w:r>
    </w:p>
    <w:p w:rsidR="00DD462D" w:rsidRPr="007452C1" w:rsidRDefault="00DD462D" w:rsidP="006646AE">
      <w:pPr>
        <w:spacing w:after="0" w:line="360" w:lineRule="auto"/>
        <w:ind w:left="1440"/>
        <w:jc w:val="both"/>
        <w:rPr>
          <w:rFonts w:ascii="Times New Roman" w:eastAsia="Calibri" w:hAnsi="Times New Roman" w:cs="Times New Roman"/>
          <w:sz w:val="20"/>
          <w:szCs w:val="20"/>
          <w:lang w:val="en-GB"/>
        </w:rPr>
      </w:pPr>
    </w:p>
    <w:p w:rsidR="00E432C9" w:rsidRPr="007452C1" w:rsidRDefault="005736D5" w:rsidP="006646AE">
      <w:pPr>
        <w:spacing w:after="0" w:line="360" w:lineRule="auto"/>
        <w:ind w:left="1440"/>
        <w:jc w:val="both"/>
        <w:rPr>
          <w:rFonts w:ascii="Times New Roman" w:eastAsia="Calibri" w:hAnsi="Times New Roman" w:cs="Times New Roman"/>
          <w:sz w:val="20"/>
          <w:szCs w:val="20"/>
          <w:lang w:val="en-GB"/>
        </w:rPr>
      </w:pPr>
      <w:r w:rsidRPr="007452C1">
        <w:rPr>
          <w:rFonts w:ascii="Times New Roman" w:eastAsia="Calibri" w:hAnsi="Times New Roman" w:cs="Times New Roman"/>
          <w:sz w:val="20"/>
          <w:szCs w:val="20"/>
          <w:lang w:val="en-GB"/>
        </w:rPr>
        <w:t>B</w:t>
      </w:r>
      <w:r w:rsidR="00E432C9" w:rsidRPr="007452C1">
        <w:rPr>
          <w:rFonts w:ascii="Times New Roman" w:eastAsia="Calibri" w:hAnsi="Times New Roman" w:cs="Times New Roman"/>
          <w:sz w:val="20"/>
          <w:szCs w:val="20"/>
          <w:lang w:val="en-GB"/>
        </w:rPr>
        <w:t>y their own admissions</w:t>
      </w:r>
      <w:r w:rsidR="00903E52" w:rsidRPr="007452C1">
        <w:rPr>
          <w:rFonts w:ascii="Times New Roman" w:eastAsia="Calibri" w:hAnsi="Times New Roman" w:cs="Times New Roman"/>
          <w:sz w:val="20"/>
          <w:szCs w:val="20"/>
          <w:lang w:val="en-GB"/>
        </w:rPr>
        <w:t xml:space="preserve"> it is clear from</w:t>
      </w:r>
      <w:r w:rsidRPr="007452C1">
        <w:rPr>
          <w:rFonts w:ascii="Times New Roman" w:eastAsia="Calibri" w:hAnsi="Times New Roman" w:cs="Times New Roman"/>
          <w:sz w:val="20"/>
          <w:szCs w:val="20"/>
          <w:lang w:val="en-GB"/>
        </w:rPr>
        <w:t xml:space="preserve"> the evidence that the accused were all in the accounts office and the basics of accounting were all known to them. The accused even stated their defence outline that it </w:t>
      </w:r>
      <w:r w:rsidR="00AC2B12" w:rsidRPr="007452C1">
        <w:rPr>
          <w:rFonts w:ascii="Times New Roman" w:eastAsia="Calibri" w:hAnsi="Times New Roman" w:cs="Times New Roman"/>
          <w:sz w:val="20"/>
          <w:szCs w:val="20"/>
          <w:lang w:val="en-GB"/>
        </w:rPr>
        <w:t>could</w:t>
      </w:r>
      <w:r w:rsidRPr="007452C1">
        <w:rPr>
          <w:rFonts w:ascii="Times New Roman" w:eastAsia="Calibri" w:hAnsi="Times New Roman" w:cs="Times New Roman"/>
          <w:sz w:val="20"/>
          <w:szCs w:val="20"/>
          <w:lang w:val="en-GB"/>
        </w:rPr>
        <w:t xml:space="preserve"> not be anyone from outside their office who could have stolen the ETDs but someone from within. This therefore goes on to confirm that was said by the state witness that the accused were the ones that were solely responsible for the office keys and </w:t>
      </w:r>
      <w:r w:rsidR="00AC2B12" w:rsidRPr="007452C1">
        <w:rPr>
          <w:rFonts w:ascii="Times New Roman" w:eastAsia="Calibri" w:hAnsi="Times New Roman" w:cs="Times New Roman"/>
          <w:sz w:val="20"/>
          <w:szCs w:val="20"/>
          <w:lang w:val="en-GB"/>
        </w:rPr>
        <w:t>that</w:t>
      </w:r>
      <w:r w:rsidRPr="007452C1">
        <w:rPr>
          <w:rFonts w:ascii="Times New Roman" w:eastAsia="Calibri" w:hAnsi="Times New Roman" w:cs="Times New Roman"/>
          <w:sz w:val="20"/>
          <w:szCs w:val="20"/>
          <w:lang w:val="en-GB"/>
        </w:rPr>
        <w:t xml:space="preserve"> there was no report of a break in or theft.</w:t>
      </w:r>
    </w:p>
    <w:p w:rsidR="00DD462D" w:rsidRPr="007452C1" w:rsidRDefault="00DD462D" w:rsidP="006646AE">
      <w:pPr>
        <w:spacing w:after="0" w:line="360" w:lineRule="auto"/>
        <w:ind w:left="1440"/>
        <w:jc w:val="both"/>
        <w:rPr>
          <w:rFonts w:ascii="Times New Roman" w:eastAsia="Calibri" w:hAnsi="Times New Roman" w:cs="Times New Roman"/>
          <w:sz w:val="20"/>
          <w:szCs w:val="20"/>
          <w:lang w:val="en-GB"/>
        </w:rPr>
      </w:pPr>
    </w:p>
    <w:p w:rsidR="005736D5" w:rsidRPr="007452C1" w:rsidRDefault="005736D5" w:rsidP="006646AE">
      <w:pPr>
        <w:spacing w:after="0" w:line="360" w:lineRule="auto"/>
        <w:ind w:left="1440"/>
        <w:jc w:val="both"/>
        <w:rPr>
          <w:rFonts w:ascii="Times New Roman" w:eastAsia="Calibri" w:hAnsi="Times New Roman" w:cs="Times New Roman"/>
          <w:sz w:val="20"/>
          <w:szCs w:val="20"/>
          <w:lang w:val="en-GB"/>
        </w:rPr>
      </w:pPr>
      <w:r w:rsidRPr="007452C1">
        <w:rPr>
          <w:rFonts w:ascii="Times New Roman" w:eastAsia="Calibri" w:hAnsi="Times New Roman" w:cs="Times New Roman"/>
          <w:sz w:val="20"/>
          <w:szCs w:val="20"/>
          <w:lang w:val="en-GB"/>
        </w:rPr>
        <w:t xml:space="preserve">It is noted from the security items register that there were certain anomalies that were noted. Accused persons were expected to endorse their names on recipients and collections but this was not done. Such anomalies could not be explained </w:t>
      </w:r>
      <w:r w:rsidR="00AC2B12" w:rsidRPr="007452C1">
        <w:rPr>
          <w:rFonts w:ascii="Times New Roman" w:eastAsia="Calibri" w:hAnsi="Times New Roman" w:cs="Times New Roman"/>
          <w:sz w:val="20"/>
          <w:szCs w:val="20"/>
          <w:lang w:val="en-GB"/>
        </w:rPr>
        <w:t xml:space="preserve">either </w:t>
      </w:r>
      <w:r w:rsidRPr="007452C1">
        <w:rPr>
          <w:rFonts w:ascii="Times New Roman" w:eastAsia="Calibri" w:hAnsi="Times New Roman" w:cs="Times New Roman"/>
          <w:sz w:val="20"/>
          <w:szCs w:val="20"/>
          <w:lang w:val="en-GB"/>
        </w:rPr>
        <w:t xml:space="preserve">considering the volumes of the documents that they were receiving and the security risk the documents were. Surely accused were expected to exercise extreme caution in </w:t>
      </w:r>
      <w:r w:rsidR="00AC2B12" w:rsidRPr="007452C1">
        <w:rPr>
          <w:rFonts w:ascii="Times New Roman" w:eastAsia="Calibri" w:hAnsi="Times New Roman" w:cs="Times New Roman"/>
          <w:sz w:val="20"/>
          <w:szCs w:val="20"/>
          <w:lang w:val="en-GB"/>
        </w:rPr>
        <w:t>this regard</w:t>
      </w:r>
      <w:r w:rsidRPr="007452C1">
        <w:rPr>
          <w:rFonts w:ascii="Times New Roman" w:eastAsia="Calibri" w:hAnsi="Times New Roman" w:cs="Times New Roman"/>
          <w:sz w:val="20"/>
          <w:szCs w:val="20"/>
          <w:lang w:val="en-GB"/>
        </w:rPr>
        <w:t>.</w:t>
      </w:r>
    </w:p>
    <w:p w:rsidR="00500149" w:rsidRPr="007452C1" w:rsidRDefault="00500149" w:rsidP="006646AE">
      <w:pPr>
        <w:spacing w:after="0" w:line="360" w:lineRule="auto"/>
        <w:ind w:left="1440"/>
        <w:jc w:val="both"/>
        <w:rPr>
          <w:rFonts w:ascii="Times New Roman" w:eastAsia="Calibri" w:hAnsi="Times New Roman" w:cs="Times New Roman"/>
          <w:sz w:val="20"/>
          <w:szCs w:val="20"/>
          <w:lang w:val="en-GB"/>
        </w:rPr>
      </w:pPr>
    </w:p>
    <w:p w:rsidR="005736D5" w:rsidRPr="007452C1" w:rsidRDefault="005736D5" w:rsidP="006646AE">
      <w:pPr>
        <w:spacing w:after="0" w:line="360" w:lineRule="auto"/>
        <w:ind w:left="1440"/>
        <w:jc w:val="both"/>
        <w:rPr>
          <w:rFonts w:ascii="Times New Roman" w:eastAsia="Calibri" w:hAnsi="Times New Roman" w:cs="Times New Roman"/>
          <w:sz w:val="20"/>
          <w:szCs w:val="20"/>
          <w:lang w:val="en-GB"/>
        </w:rPr>
      </w:pPr>
      <w:r w:rsidRPr="007452C1">
        <w:rPr>
          <w:rFonts w:ascii="Times New Roman" w:eastAsia="Calibri" w:hAnsi="Times New Roman" w:cs="Times New Roman"/>
          <w:sz w:val="20"/>
          <w:szCs w:val="20"/>
          <w:lang w:val="en-GB"/>
        </w:rPr>
        <w:t>The accused</w:t>
      </w:r>
      <w:r w:rsidR="002737BF" w:rsidRPr="007452C1">
        <w:rPr>
          <w:rFonts w:ascii="Times New Roman" w:eastAsia="Calibri" w:hAnsi="Times New Roman" w:cs="Times New Roman"/>
          <w:sz w:val="20"/>
          <w:szCs w:val="20"/>
          <w:lang w:val="en-GB"/>
        </w:rPr>
        <w:t xml:space="preserve"> person admitted that in the absence of a break in, the only reasonable explanation was that they took the </w:t>
      </w:r>
      <w:r w:rsidR="00AC2B12" w:rsidRPr="007452C1">
        <w:rPr>
          <w:rFonts w:ascii="Times New Roman" w:eastAsia="Calibri" w:hAnsi="Times New Roman" w:cs="Times New Roman"/>
          <w:sz w:val="20"/>
          <w:szCs w:val="20"/>
          <w:lang w:val="en-GB"/>
        </w:rPr>
        <w:t>documents</w:t>
      </w:r>
      <w:r w:rsidR="002737BF" w:rsidRPr="007452C1">
        <w:rPr>
          <w:rFonts w:ascii="Times New Roman" w:eastAsia="Calibri" w:hAnsi="Times New Roman" w:cs="Times New Roman"/>
          <w:sz w:val="20"/>
          <w:szCs w:val="20"/>
          <w:lang w:val="en-GB"/>
        </w:rPr>
        <w:t xml:space="preserve"> and that they admitted having failed to account for the documents.</w:t>
      </w:r>
    </w:p>
    <w:p w:rsidR="00DD462D" w:rsidRPr="007452C1" w:rsidRDefault="00DD462D" w:rsidP="006646AE">
      <w:pPr>
        <w:spacing w:after="0" w:line="360" w:lineRule="auto"/>
        <w:ind w:left="1440"/>
        <w:jc w:val="both"/>
        <w:rPr>
          <w:rFonts w:ascii="Times New Roman" w:eastAsia="Calibri" w:hAnsi="Times New Roman" w:cs="Times New Roman"/>
          <w:sz w:val="20"/>
          <w:szCs w:val="20"/>
          <w:lang w:val="en-GB"/>
        </w:rPr>
      </w:pPr>
    </w:p>
    <w:p w:rsidR="002737BF" w:rsidRPr="007452C1" w:rsidRDefault="002737BF" w:rsidP="006646AE">
      <w:pPr>
        <w:spacing w:after="0" w:line="360" w:lineRule="auto"/>
        <w:ind w:left="1440"/>
        <w:jc w:val="both"/>
        <w:rPr>
          <w:rFonts w:ascii="Times New Roman" w:eastAsia="Calibri" w:hAnsi="Times New Roman" w:cs="Times New Roman"/>
          <w:sz w:val="20"/>
          <w:szCs w:val="20"/>
          <w:lang w:val="en-GB"/>
        </w:rPr>
      </w:pPr>
      <w:r w:rsidRPr="007452C1">
        <w:rPr>
          <w:rFonts w:ascii="Times New Roman" w:eastAsia="Calibri" w:hAnsi="Times New Roman" w:cs="Times New Roman"/>
          <w:sz w:val="20"/>
          <w:szCs w:val="20"/>
          <w:lang w:val="en-GB"/>
        </w:rPr>
        <w:t xml:space="preserve">In my view this was an admission the charge by the accused persons and I have no such doubt that this admission in their defence case was only made as a realization that the state witness had been able to give their evidence well and that their credibility could not be doubted at all by the court. On the other hand the court noted that the accused just made a bare denial of the charge. There was no </w:t>
      </w:r>
      <w:r w:rsidRPr="007452C1">
        <w:rPr>
          <w:rFonts w:ascii="Times New Roman" w:eastAsia="Calibri" w:hAnsi="Times New Roman" w:cs="Times New Roman"/>
          <w:sz w:val="20"/>
          <w:szCs w:val="20"/>
          <w:lang w:val="en-GB"/>
        </w:rPr>
        <w:lastRenderedPageBreak/>
        <w:t xml:space="preserve">defence at all to offer to the </w:t>
      </w:r>
      <w:r w:rsidR="00AC2B12" w:rsidRPr="007452C1">
        <w:rPr>
          <w:rFonts w:ascii="Times New Roman" w:eastAsia="Calibri" w:hAnsi="Times New Roman" w:cs="Times New Roman"/>
          <w:sz w:val="20"/>
          <w:szCs w:val="20"/>
          <w:lang w:val="en-GB"/>
        </w:rPr>
        <w:t>court and</w:t>
      </w:r>
      <w:r w:rsidRPr="007452C1">
        <w:rPr>
          <w:rFonts w:ascii="Times New Roman" w:eastAsia="Calibri" w:hAnsi="Times New Roman" w:cs="Times New Roman"/>
          <w:sz w:val="20"/>
          <w:szCs w:val="20"/>
          <w:lang w:val="en-GB"/>
        </w:rPr>
        <w:t xml:space="preserve"> surely having realised the strength of the state’s case against their case, the accused had to plead to the charge.</w:t>
      </w:r>
    </w:p>
    <w:p w:rsidR="00DD462D" w:rsidRPr="007452C1" w:rsidRDefault="00DD462D" w:rsidP="006646AE">
      <w:pPr>
        <w:spacing w:after="0" w:line="360" w:lineRule="auto"/>
        <w:ind w:left="1440"/>
        <w:jc w:val="both"/>
        <w:rPr>
          <w:rFonts w:ascii="Times New Roman" w:eastAsia="Calibri" w:hAnsi="Times New Roman" w:cs="Times New Roman"/>
          <w:sz w:val="20"/>
          <w:szCs w:val="20"/>
          <w:lang w:val="en-GB"/>
        </w:rPr>
      </w:pPr>
    </w:p>
    <w:p w:rsidR="002737BF" w:rsidRDefault="002737BF" w:rsidP="006646AE">
      <w:pPr>
        <w:spacing w:after="0" w:line="360" w:lineRule="auto"/>
        <w:ind w:left="1440"/>
        <w:jc w:val="both"/>
        <w:rPr>
          <w:rFonts w:ascii="Times New Roman" w:eastAsia="Calibri" w:hAnsi="Times New Roman" w:cs="Times New Roman"/>
          <w:sz w:val="24"/>
          <w:szCs w:val="24"/>
          <w:lang w:val="en-GB"/>
        </w:rPr>
      </w:pPr>
      <w:r w:rsidRPr="007452C1">
        <w:rPr>
          <w:rFonts w:ascii="Times New Roman" w:eastAsia="Calibri" w:hAnsi="Times New Roman" w:cs="Times New Roman"/>
          <w:sz w:val="20"/>
          <w:szCs w:val="20"/>
          <w:lang w:val="en-GB"/>
        </w:rPr>
        <w:t>It is on this basis that the court finds in favour of the state that accused were holding trust property. When they were asked to account for it they failed, and more so these documents were found in the hands of wrong people or people that did not deserve to have them. I therefore find the accused all guilty of the main charge and acquitted on the attendance.</w:t>
      </w:r>
      <w:r>
        <w:rPr>
          <w:rFonts w:ascii="Times New Roman" w:eastAsia="Calibri" w:hAnsi="Times New Roman" w:cs="Times New Roman"/>
          <w:sz w:val="24"/>
          <w:szCs w:val="24"/>
          <w:lang w:val="en-GB"/>
        </w:rPr>
        <w:t>”</w:t>
      </w:r>
      <w:r w:rsidR="00681993">
        <w:rPr>
          <w:rStyle w:val="FootnoteReference"/>
          <w:rFonts w:ascii="Times New Roman" w:eastAsia="Calibri" w:hAnsi="Times New Roman" w:cs="Times New Roman"/>
          <w:sz w:val="24"/>
          <w:szCs w:val="24"/>
          <w:lang w:val="en-GB"/>
        </w:rPr>
        <w:footnoteReference w:id="1"/>
      </w:r>
    </w:p>
    <w:p w:rsidR="00281440" w:rsidRDefault="00281440" w:rsidP="006646AE">
      <w:pPr>
        <w:spacing w:after="0" w:line="360" w:lineRule="auto"/>
        <w:jc w:val="both"/>
        <w:rPr>
          <w:rFonts w:ascii="Times New Roman" w:eastAsia="Calibri" w:hAnsi="Times New Roman" w:cs="Times New Roman"/>
          <w:sz w:val="24"/>
          <w:szCs w:val="24"/>
          <w:lang w:val="en-GB"/>
        </w:rPr>
      </w:pPr>
    </w:p>
    <w:p w:rsidR="00DD462D" w:rsidRPr="00281440" w:rsidRDefault="00281440" w:rsidP="006646AE">
      <w:pPr>
        <w:spacing w:after="0" w:line="360" w:lineRule="auto"/>
        <w:jc w:val="both"/>
        <w:rPr>
          <w:rFonts w:ascii="Times New Roman" w:eastAsia="Calibri" w:hAnsi="Times New Roman" w:cs="Times New Roman"/>
          <w:sz w:val="24"/>
          <w:szCs w:val="24"/>
          <w:u w:val="single"/>
          <w:lang w:val="en-GB"/>
        </w:rPr>
      </w:pPr>
      <w:r w:rsidRPr="00281440">
        <w:rPr>
          <w:rFonts w:ascii="Times New Roman" w:eastAsia="Calibri" w:hAnsi="Times New Roman" w:cs="Times New Roman"/>
          <w:sz w:val="24"/>
          <w:szCs w:val="24"/>
          <w:u w:val="single"/>
          <w:lang w:val="en-GB"/>
        </w:rPr>
        <w:t>THE APPELLANT’S SUBMISSION</w:t>
      </w:r>
    </w:p>
    <w:p w:rsidR="00CC6DD5" w:rsidRDefault="00CC6DD5" w:rsidP="006646AE">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ab/>
        <w:t xml:space="preserve">In attacking the judgment of the court </w:t>
      </w:r>
      <w:r w:rsidRPr="00CC6DD5">
        <w:rPr>
          <w:rFonts w:ascii="Times New Roman" w:eastAsia="Calibri" w:hAnsi="Times New Roman" w:cs="Times New Roman"/>
          <w:i/>
          <w:sz w:val="24"/>
          <w:szCs w:val="24"/>
          <w:lang w:val="en-GB"/>
        </w:rPr>
        <w:t>a quo</w:t>
      </w:r>
      <w:r>
        <w:rPr>
          <w:rFonts w:ascii="Times New Roman" w:eastAsia="Calibri" w:hAnsi="Times New Roman" w:cs="Times New Roman"/>
          <w:sz w:val="24"/>
          <w:szCs w:val="24"/>
          <w:lang w:val="en-GB"/>
        </w:rPr>
        <w:t>, M</w:t>
      </w:r>
      <w:r w:rsidR="00E92010">
        <w:rPr>
          <w:rFonts w:ascii="Times New Roman" w:eastAsia="Calibri" w:hAnsi="Times New Roman" w:cs="Times New Roman"/>
          <w:sz w:val="24"/>
          <w:szCs w:val="24"/>
          <w:lang w:val="en-GB"/>
        </w:rPr>
        <w:t xml:space="preserve">r </w:t>
      </w:r>
      <w:r w:rsidR="00E92010" w:rsidRPr="006646AE">
        <w:rPr>
          <w:rFonts w:ascii="Times New Roman" w:eastAsia="Calibri" w:hAnsi="Times New Roman" w:cs="Times New Roman"/>
          <w:i/>
          <w:sz w:val="24"/>
          <w:szCs w:val="24"/>
          <w:lang w:val="en-GB"/>
        </w:rPr>
        <w:t>Kufaruweng</w:t>
      </w:r>
      <w:r w:rsidRPr="006646AE">
        <w:rPr>
          <w:rFonts w:ascii="Times New Roman" w:eastAsia="Calibri" w:hAnsi="Times New Roman" w:cs="Times New Roman"/>
          <w:i/>
          <w:sz w:val="24"/>
          <w:szCs w:val="24"/>
          <w:lang w:val="en-GB"/>
        </w:rPr>
        <w:t>a</w:t>
      </w:r>
      <w:r>
        <w:rPr>
          <w:rFonts w:ascii="Times New Roman" w:eastAsia="Calibri" w:hAnsi="Times New Roman" w:cs="Times New Roman"/>
          <w:sz w:val="24"/>
          <w:szCs w:val="24"/>
          <w:lang w:val="en-GB"/>
        </w:rPr>
        <w:t xml:space="preserve"> who appeared for the appellant argued that there was virtually nothing in terms of the material that was placed before the trial magistrate that could sustain a conviction of the appellant and her co-accused persons. Counsel had no brief from the other three accused persons in the court </w:t>
      </w:r>
      <w:r w:rsidRPr="00CC6DD5">
        <w:rPr>
          <w:rFonts w:ascii="Times New Roman" w:eastAsia="Calibri" w:hAnsi="Times New Roman" w:cs="Times New Roman"/>
          <w:i/>
          <w:sz w:val="24"/>
          <w:szCs w:val="24"/>
          <w:lang w:val="en-GB"/>
        </w:rPr>
        <w:t>a quo</w:t>
      </w:r>
      <w:r>
        <w:rPr>
          <w:rFonts w:ascii="Times New Roman" w:eastAsia="Calibri" w:hAnsi="Times New Roman" w:cs="Times New Roman"/>
          <w:sz w:val="24"/>
          <w:szCs w:val="24"/>
          <w:lang w:val="en-GB"/>
        </w:rPr>
        <w:t xml:space="preserve"> but he found it difficult</w:t>
      </w:r>
      <w:r w:rsidR="00593F63">
        <w:rPr>
          <w:rFonts w:ascii="Times New Roman" w:eastAsia="Calibri" w:hAnsi="Times New Roman" w:cs="Times New Roman"/>
          <w:sz w:val="24"/>
          <w:szCs w:val="24"/>
          <w:lang w:val="en-GB"/>
        </w:rPr>
        <w:t xml:space="preserve"> not to refer to</w:t>
      </w:r>
      <w:r>
        <w:rPr>
          <w:rFonts w:ascii="Times New Roman" w:eastAsia="Calibri" w:hAnsi="Times New Roman" w:cs="Times New Roman"/>
          <w:sz w:val="24"/>
          <w:szCs w:val="24"/>
          <w:lang w:val="en-GB"/>
        </w:rPr>
        <w:t xml:space="preserve"> them as he laid the ground of acquittal on appeal of the appellant.</w:t>
      </w:r>
    </w:p>
    <w:p w:rsidR="00281440" w:rsidRDefault="00CC6DD5" w:rsidP="006646AE">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ab/>
        <w:t>Counsel argued that, intention</w:t>
      </w:r>
      <w:r w:rsidR="00DA0213">
        <w:rPr>
          <w:rFonts w:ascii="Times New Roman" w:eastAsia="Calibri" w:hAnsi="Times New Roman" w:cs="Times New Roman"/>
          <w:sz w:val="24"/>
          <w:szCs w:val="24"/>
          <w:lang w:val="en-GB"/>
        </w:rPr>
        <w:t>,</w:t>
      </w:r>
      <w:r w:rsidR="009A5244">
        <w:rPr>
          <w:rFonts w:ascii="Times New Roman" w:eastAsia="Calibri" w:hAnsi="Times New Roman" w:cs="Times New Roman"/>
          <w:sz w:val="24"/>
          <w:szCs w:val="24"/>
          <w:lang w:val="en-GB"/>
        </w:rPr>
        <w:t xml:space="preserve"> being a vital</w:t>
      </w:r>
      <w:r w:rsidR="004764CB">
        <w:rPr>
          <w:rFonts w:ascii="Times New Roman" w:eastAsia="Calibri" w:hAnsi="Times New Roman" w:cs="Times New Roman"/>
          <w:sz w:val="24"/>
          <w:szCs w:val="24"/>
          <w:lang w:val="en-GB"/>
        </w:rPr>
        <w:t xml:space="preserve"> component of the offence for which the appellant was charged was not established in the court a quo. It was further argued by </w:t>
      </w:r>
      <w:r w:rsidR="009A5244">
        <w:rPr>
          <w:rFonts w:ascii="Times New Roman" w:eastAsia="Calibri" w:hAnsi="Times New Roman" w:cs="Times New Roman"/>
          <w:sz w:val="24"/>
          <w:szCs w:val="24"/>
          <w:lang w:val="en-GB"/>
        </w:rPr>
        <w:t>counsel that the evidence did not disclose that the appellant had failed to account for the ETDs in order to bring her conviction within the ambit of the offence charged. It had not been demonstrated that the appellant had deliberately refused to or refrained from accounting for the stolen ETDs, so the argument went.</w:t>
      </w:r>
    </w:p>
    <w:p w:rsidR="009A5244" w:rsidRDefault="009A5244" w:rsidP="006646AE">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ab/>
        <w:t xml:space="preserve">Finally, appellant’s counsel put up the argument that the court </w:t>
      </w:r>
      <w:r w:rsidRPr="009A5244">
        <w:rPr>
          <w:rFonts w:ascii="Times New Roman" w:eastAsia="Calibri" w:hAnsi="Times New Roman" w:cs="Times New Roman"/>
          <w:i/>
          <w:sz w:val="24"/>
          <w:szCs w:val="24"/>
          <w:lang w:val="en-GB"/>
        </w:rPr>
        <w:t>a quo</w:t>
      </w:r>
      <w:r>
        <w:rPr>
          <w:rFonts w:ascii="Times New Roman" w:eastAsia="Calibri" w:hAnsi="Times New Roman" w:cs="Times New Roman"/>
          <w:sz w:val="24"/>
          <w:szCs w:val="24"/>
          <w:lang w:val="en-GB"/>
        </w:rPr>
        <w:t xml:space="preserve"> deliberately understated the</w:t>
      </w:r>
      <w:r w:rsidR="00F80C95">
        <w:rPr>
          <w:rFonts w:ascii="Times New Roman" w:eastAsia="Calibri" w:hAnsi="Times New Roman" w:cs="Times New Roman"/>
          <w:sz w:val="24"/>
          <w:szCs w:val="24"/>
          <w:lang w:val="en-GB"/>
        </w:rPr>
        <w:t xml:space="preserve"> implications of the undeniable fact that the appellant did not have exclusive access to the safe where the ETDs were kept.</w:t>
      </w:r>
    </w:p>
    <w:p w:rsidR="00F80C95" w:rsidRDefault="00F80C95" w:rsidP="006646AE">
      <w:pPr>
        <w:spacing w:after="0" w:line="360" w:lineRule="auto"/>
        <w:jc w:val="both"/>
        <w:rPr>
          <w:rFonts w:ascii="Times New Roman" w:eastAsia="Calibri" w:hAnsi="Times New Roman" w:cs="Times New Roman"/>
          <w:sz w:val="24"/>
          <w:szCs w:val="24"/>
          <w:lang w:val="en-GB"/>
        </w:rPr>
      </w:pPr>
    </w:p>
    <w:p w:rsidR="00F80C95" w:rsidRDefault="00F80C95" w:rsidP="006646AE">
      <w:pPr>
        <w:spacing w:after="0" w:line="360" w:lineRule="auto"/>
        <w:jc w:val="both"/>
        <w:rPr>
          <w:rFonts w:ascii="Times New Roman" w:eastAsia="Calibri" w:hAnsi="Times New Roman" w:cs="Times New Roman"/>
          <w:sz w:val="24"/>
          <w:szCs w:val="24"/>
          <w:u w:val="single"/>
          <w:lang w:val="en-GB"/>
        </w:rPr>
      </w:pPr>
      <w:r w:rsidRPr="00F80C95">
        <w:rPr>
          <w:rFonts w:ascii="Times New Roman" w:eastAsia="Calibri" w:hAnsi="Times New Roman" w:cs="Times New Roman"/>
          <w:sz w:val="24"/>
          <w:szCs w:val="24"/>
          <w:u w:val="single"/>
          <w:lang w:val="en-GB"/>
        </w:rPr>
        <w:t>THE RESPONDENT’S SUBMISSIONS</w:t>
      </w:r>
    </w:p>
    <w:p w:rsidR="006646AE" w:rsidRPr="00F80C95" w:rsidRDefault="006646AE" w:rsidP="006646AE">
      <w:pPr>
        <w:spacing w:after="0" w:line="360" w:lineRule="auto"/>
        <w:jc w:val="both"/>
        <w:rPr>
          <w:rFonts w:ascii="Times New Roman" w:eastAsia="Calibri" w:hAnsi="Times New Roman" w:cs="Times New Roman"/>
          <w:sz w:val="24"/>
          <w:szCs w:val="24"/>
          <w:u w:val="single"/>
          <w:lang w:val="en-GB"/>
        </w:rPr>
      </w:pPr>
    </w:p>
    <w:p w:rsidR="00F80C95" w:rsidRDefault="00F80C95" w:rsidP="006646AE">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ab/>
        <w:t>Contrary to the position of the defence counsel, Mr I. Muchini who appeared for the State put up a spirited argument in support of the appellant’s conviction.</w:t>
      </w:r>
    </w:p>
    <w:p w:rsidR="00F80C95" w:rsidRDefault="00F80C95" w:rsidP="006646AE">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ab/>
      </w:r>
      <w:r>
        <w:rPr>
          <w:rFonts w:ascii="Times New Roman" w:eastAsia="Calibri" w:hAnsi="Times New Roman" w:cs="Times New Roman"/>
          <w:sz w:val="24"/>
          <w:szCs w:val="24"/>
          <w:lang w:val="en-GB"/>
        </w:rPr>
        <w:tab/>
        <w:t>The State counsel properly identified the elements of theft as defined in Section 113(2)9a) of the Criminal Law (Codification &amp; Reform) Act [Chap 9:23] and submitted that all these had been satisfied hence the appellant’s conviction.</w:t>
      </w:r>
    </w:p>
    <w:p w:rsidR="00F80C95" w:rsidRDefault="00F80C95" w:rsidP="006646AE">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ab/>
        <w:t>Counsel highlighted the fact that in order to satisfy the elements of the offence charged, the State was able to establish that the appellant and her co-accused were the custodians of the ETDs.</w:t>
      </w:r>
      <w:r w:rsidR="00681993">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Counsel read the evidence to mean that the</w:t>
      </w:r>
      <w:r w:rsidR="00681993">
        <w:rPr>
          <w:rFonts w:ascii="Times New Roman" w:eastAsia="Calibri" w:hAnsi="Times New Roman" w:cs="Times New Roman"/>
          <w:sz w:val="24"/>
          <w:szCs w:val="24"/>
          <w:lang w:val="en-GB"/>
        </w:rPr>
        <w:t xml:space="preserve"> fact that the appellant and her</w:t>
      </w:r>
      <w:r>
        <w:rPr>
          <w:rFonts w:ascii="Times New Roman" w:eastAsia="Calibri" w:hAnsi="Times New Roman" w:cs="Times New Roman"/>
          <w:sz w:val="24"/>
          <w:szCs w:val="24"/>
          <w:lang w:val="en-GB"/>
        </w:rPr>
        <w:t xml:space="preserve"> co-accused person</w:t>
      </w:r>
      <w:r w:rsidR="00681993">
        <w:rPr>
          <w:rFonts w:ascii="Times New Roman" w:eastAsia="Calibri" w:hAnsi="Times New Roman" w:cs="Times New Roman"/>
          <w:sz w:val="24"/>
          <w:szCs w:val="24"/>
          <w:lang w:val="en-GB"/>
        </w:rPr>
        <w:t>s</w:t>
      </w:r>
      <w:r>
        <w:rPr>
          <w:rFonts w:ascii="Times New Roman" w:eastAsia="Calibri" w:hAnsi="Times New Roman" w:cs="Times New Roman"/>
          <w:sz w:val="24"/>
          <w:szCs w:val="24"/>
          <w:lang w:val="en-GB"/>
        </w:rPr>
        <w:t xml:space="preserve"> had negligently managed exhibit 4 was indicative of their guilt.</w:t>
      </w:r>
    </w:p>
    <w:p w:rsidR="00681993" w:rsidRDefault="00681993" w:rsidP="006646AE">
      <w:pPr>
        <w:spacing w:after="0" w:line="360" w:lineRule="auto"/>
        <w:jc w:val="both"/>
        <w:rPr>
          <w:rFonts w:ascii="Times New Roman" w:eastAsia="Calibri" w:hAnsi="Times New Roman" w:cs="Times New Roman"/>
          <w:sz w:val="24"/>
          <w:szCs w:val="24"/>
          <w:lang w:val="en-GB"/>
        </w:rPr>
      </w:pPr>
    </w:p>
    <w:p w:rsidR="00F80C95" w:rsidRDefault="00F80C95" w:rsidP="006646AE">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ab/>
        <w:t>In conclusion the State Counsel argued that the appellant and her co-accused persons had failed to proffer any reasonable explanation for the disappearance of the ETDs or a defence to the charge.</w:t>
      </w:r>
    </w:p>
    <w:p w:rsidR="00CC6DD5" w:rsidRDefault="00CC6DD5" w:rsidP="006646AE">
      <w:pPr>
        <w:spacing w:after="0" w:line="360" w:lineRule="auto"/>
        <w:jc w:val="both"/>
        <w:rPr>
          <w:rFonts w:ascii="Times New Roman" w:eastAsia="Calibri" w:hAnsi="Times New Roman" w:cs="Times New Roman"/>
          <w:sz w:val="24"/>
          <w:szCs w:val="24"/>
          <w:lang w:val="en-GB"/>
        </w:rPr>
      </w:pPr>
    </w:p>
    <w:p w:rsidR="002737BF" w:rsidRPr="002737BF" w:rsidRDefault="00DD462D" w:rsidP="006646AE">
      <w:pPr>
        <w:spacing w:after="0" w:line="360" w:lineRule="auto"/>
        <w:jc w:val="both"/>
        <w:rPr>
          <w:rFonts w:ascii="Times New Roman" w:eastAsia="Calibri" w:hAnsi="Times New Roman" w:cs="Times New Roman"/>
          <w:sz w:val="24"/>
          <w:szCs w:val="24"/>
          <w:u w:val="single"/>
          <w:lang w:val="en-GB"/>
        </w:rPr>
      </w:pPr>
      <w:r>
        <w:rPr>
          <w:rFonts w:ascii="Times New Roman" w:eastAsia="Calibri" w:hAnsi="Times New Roman" w:cs="Times New Roman"/>
          <w:sz w:val="24"/>
          <w:szCs w:val="24"/>
          <w:u w:val="single"/>
          <w:lang w:val="en-GB"/>
        </w:rPr>
        <w:t>THE LEGAL POSITION</w:t>
      </w:r>
    </w:p>
    <w:p w:rsidR="002737BF" w:rsidRDefault="002737BF" w:rsidP="006646AE">
      <w:pPr>
        <w:spacing w:after="0" w:line="360" w:lineRule="auto"/>
        <w:ind w:firstLine="14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At the end of it all</w:t>
      </w:r>
      <w:r w:rsidR="00A81DED">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 the court </w:t>
      </w:r>
      <w:r w:rsidR="00DD462D" w:rsidRPr="00A81DED">
        <w:rPr>
          <w:rFonts w:ascii="Times New Roman" w:eastAsia="Calibri" w:hAnsi="Times New Roman" w:cs="Times New Roman"/>
          <w:i/>
          <w:sz w:val="24"/>
          <w:szCs w:val="24"/>
          <w:lang w:val="en-GB"/>
        </w:rPr>
        <w:t>a quo</w:t>
      </w:r>
      <w:r w:rsidR="00DD462D">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found the appellant and her co-accused guilty of the main count and acquitted them on the alternative count of criminal abuse of duty as public officers.</w:t>
      </w:r>
    </w:p>
    <w:p w:rsidR="00A81DED" w:rsidRDefault="00A81DED" w:rsidP="006646AE">
      <w:pPr>
        <w:spacing w:after="0" w:line="360" w:lineRule="auto"/>
        <w:ind w:firstLine="14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In this judgment I will therefore be guided by the law which regulate</w:t>
      </w:r>
      <w:r w:rsidR="00DA0213">
        <w:rPr>
          <w:rFonts w:ascii="Times New Roman" w:eastAsia="Calibri" w:hAnsi="Times New Roman" w:cs="Times New Roman"/>
          <w:sz w:val="24"/>
          <w:szCs w:val="24"/>
          <w:lang w:val="en-GB"/>
        </w:rPr>
        <w:t>s</w:t>
      </w:r>
      <w:r>
        <w:rPr>
          <w:rFonts w:ascii="Times New Roman" w:eastAsia="Calibri" w:hAnsi="Times New Roman" w:cs="Times New Roman"/>
          <w:sz w:val="24"/>
          <w:szCs w:val="24"/>
          <w:lang w:val="en-GB"/>
        </w:rPr>
        <w:t xml:space="preserve"> convictions under section 113(2)(a) of the Criminal Law (Codification &amp; Reform) Act </w:t>
      </w:r>
      <w:r w:rsidR="00C426A8">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Chap 9:23</w:t>
      </w:r>
      <w:r w:rsidR="00C426A8">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w:t>
      </w:r>
    </w:p>
    <w:p w:rsidR="0091453F" w:rsidRDefault="001B0B78" w:rsidP="006646AE">
      <w:pPr>
        <w:spacing w:after="0" w:line="360" w:lineRule="auto"/>
        <w:ind w:firstLine="14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Intent </w:t>
      </w:r>
      <w:r w:rsidR="0049058D">
        <w:rPr>
          <w:rFonts w:ascii="Times New Roman" w:eastAsia="Calibri" w:hAnsi="Times New Roman" w:cs="Times New Roman"/>
          <w:sz w:val="24"/>
          <w:szCs w:val="24"/>
          <w:lang w:val="en-GB"/>
        </w:rPr>
        <w:t>to steal (animus fura</w:t>
      </w:r>
      <w:r>
        <w:rPr>
          <w:rFonts w:ascii="Times New Roman" w:eastAsia="Calibri" w:hAnsi="Times New Roman" w:cs="Times New Roman"/>
          <w:sz w:val="24"/>
          <w:szCs w:val="24"/>
          <w:lang w:val="en-GB"/>
        </w:rPr>
        <w:t>ndi) is an essential element of theft. This position of our law is unders</w:t>
      </w:r>
      <w:r w:rsidR="00BE3088">
        <w:rPr>
          <w:rFonts w:ascii="Times New Roman" w:eastAsia="Calibri" w:hAnsi="Times New Roman" w:cs="Times New Roman"/>
          <w:sz w:val="24"/>
          <w:szCs w:val="24"/>
          <w:lang w:val="en-GB"/>
        </w:rPr>
        <w:t>cored</w:t>
      </w:r>
      <w:r>
        <w:rPr>
          <w:rFonts w:ascii="Times New Roman" w:eastAsia="Calibri" w:hAnsi="Times New Roman" w:cs="Times New Roman"/>
          <w:sz w:val="24"/>
          <w:szCs w:val="24"/>
          <w:lang w:val="en-GB"/>
        </w:rPr>
        <w:t xml:space="preserve"> by Jonath</w:t>
      </w:r>
      <w:r w:rsidR="00BE3088">
        <w:rPr>
          <w:rFonts w:ascii="Times New Roman" w:eastAsia="Calibri" w:hAnsi="Times New Roman" w:cs="Times New Roman"/>
          <w:sz w:val="24"/>
          <w:szCs w:val="24"/>
          <w:lang w:val="en-GB"/>
        </w:rPr>
        <w:t>an Burche</w:t>
      </w:r>
      <w:r>
        <w:rPr>
          <w:rFonts w:ascii="Times New Roman" w:eastAsia="Calibri" w:hAnsi="Times New Roman" w:cs="Times New Roman"/>
          <w:sz w:val="24"/>
          <w:szCs w:val="24"/>
          <w:lang w:val="en-GB"/>
        </w:rPr>
        <w:t xml:space="preserve">ll when he states as follows: </w:t>
      </w:r>
      <w:r w:rsidR="0091453F">
        <w:rPr>
          <w:rFonts w:ascii="Times New Roman" w:eastAsia="Calibri" w:hAnsi="Times New Roman" w:cs="Times New Roman"/>
          <w:sz w:val="24"/>
          <w:szCs w:val="24"/>
          <w:lang w:val="en-GB"/>
        </w:rPr>
        <w:t>-</w:t>
      </w:r>
    </w:p>
    <w:p w:rsidR="00AC2B12" w:rsidRDefault="0091453F" w:rsidP="006646AE">
      <w:pPr>
        <w:spacing w:after="0" w:line="360" w:lineRule="auto"/>
        <w:ind w:left="14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w:t>
      </w:r>
      <w:r w:rsidR="001B0B78" w:rsidRPr="006646AE">
        <w:rPr>
          <w:rFonts w:ascii="Times New Roman" w:eastAsia="Calibri" w:hAnsi="Times New Roman" w:cs="Times New Roman"/>
          <w:sz w:val="20"/>
          <w:szCs w:val="20"/>
          <w:lang w:val="en-GB"/>
        </w:rPr>
        <w:t>The fault element of theft is intention. Given the definition of the crime, this means that the accused must intentionally effect an appropriation, intending to deprive the owner permanently of his property or control over his prop</w:t>
      </w:r>
      <w:r w:rsidRPr="006646AE">
        <w:rPr>
          <w:rFonts w:ascii="Times New Roman" w:eastAsia="Calibri" w:hAnsi="Times New Roman" w:cs="Times New Roman"/>
          <w:sz w:val="20"/>
          <w:szCs w:val="20"/>
          <w:lang w:val="en-GB"/>
        </w:rPr>
        <w:t>erty, and knowing that he or she is acting unlawfully in taking</w:t>
      </w:r>
      <w:r w:rsidR="00DA0213" w:rsidRPr="006646AE">
        <w:rPr>
          <w:rFonts w:ascii="Times New Roman" w:eastAsia="Calibri" w:hAnsi="Times New Roman" w:cs="Times New Roman"/>
          <w:sz w:val="20"/>
          <w:szCs w:val="20"/>
          <w:lang w:val="en-GB"/>
        </w:rPr>
        <w:t xml:space="preserve"> it</w:t>
      </w:r>
      <w:r>
        <w:rPr>
          <w:rFonts w:ascii="Times New Roman" w:eastAsia="Calibri" w:hAnsi="Times New Roman" w:cs="Times New Roman"/>
          <w:sz w:val="24"/>
          <w:szCs w:val="24"/>
          <w:lang w:val="en-GB"/>
        </w:rPr>
        <w:t>.”</w:t>
      </w:r>
      <w:r w:rsidR="00BE3088">
        <w:rPr>
          <w:rStyle w:val="FootnoteReference"/>
          <w:rFonts w:ascii="Times New Roman" w:eastAsia="Calibri" w:hAnsi="Times New Roman" w:cs="Times New Roman"/>
          <w:sz w:val="24"/>
          <w:szCs w:val="24"/>
          <w:lang w:val="en-GB"/>
        </w:rPr>
        <w:footnoteReference w:id="2"/>
      </w:r>
    </w:p>
    <w:p w:rsidR="006646AE" w:rsidRDefault="006646AE" w:rsidP="006646AE">
      <w:pPr>
        <w:spacing w:after="0" w:line="360" w:lineRule="auto"/>
        <w:ind w:left="1440"/>
        <w:jc w:val="both"/>
        <w:rPr>
          <w:rFonts w:ascii="Times New Roman" w:eastAsia="Calibri" w:hAnsi="Times New Roman" w:cs="Times New Roman"/>
          <w:sz w:val="24"/>
          <w:szCs w:val="24"/>
          <w:lang w:val="en-GB"/>
        </w:rPr>
      </w:pPr>
    </w:p>
    <w:p w:rsidR="00AC2B12" w:rsidRDefault="001C62F6" w:rsidP="006646AE">
      <w:pPr>
        <w:spacing w:after="0" w:line="360" w:lineRule="auto"/>
        <w:ind w:firstLine="14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Section 309 of the Criminal Procedure &amp; Evidence Act [Chap 9:07] was specifically crafted to cover </w:t>
      </w:r>
      <w:r w:rsidRPr="001C62F6">
        <w:rPr>
          <w:rFonts w:ascii="Times New Roman" w:eastAsia="Calibri" w:hAnsi="Times New Roman" w:cs="Times New Roman"/>
          <w:i/>
          <w:sz w:val="24"/>
          <w:szCs w:val="24"/>
          <w:lang w:val="en-GB"/>
        </w:rPr>
        <w:t>inter alia</w:t>
      </w:r>
      <w:r>
        <w:rPr>
          <w:rFonts w:ascii="Times New Roman" w:eastAsia="Calibri" w:hAnsi="Times New Roman" w:cs="Times New Roman"/>
          <w:sz w:val="24"/>
          <w:szCs w:val="24"/>
          <w:lang w:val="en-GB"/>
        </w:rPr>
        <w:t xml:space="preserve">, the situation that confronted the court </w:t>
      </w:r>
      <w:r w:rsidRPr="001C62F6">
        <w:rPr>
          <w:rFonts w:ascii="Times New Roman" w:eastAsia="Calibri" w:hAnsi="Times New Roman" w:cs="Times New Roman"/>
          <w:i/>
          <w:sz w:val="24"/>
          <w:szCs w:val="24"/>
          <w:lang w:val="en-GB"/>
        </w:rPr>
        <w:t>a quo</w:t>
      </w:r>
      <w:r>
        <w:rPr>
          <w:rFonts w:ascii="Times New Roman" w:eastAsia="Calibri" w:hAnsi="Times New Roman" w:cs="Times New Roman"/>
          <w:sz w:val="24"/>
          <w:szCs w:val="24"/>
          <w:lang w:val="en-GB"/>
        </w:rPr>
        <w:t xml:space="preserve"> in the instant case. McNally J</w:t>
      </w:r>
      <w:r w:rsidR="00DD462D">
        <w:rPr>
          <w:rFonts w:ascii="Times New Roman" w:eastAsia="Calibri" w:hAnsi="Times New Roman" w:cs="Times New Roman"/>
          <w:sz w:val="24"/>
          <w:szCs w:val="24"/>
          <w:lang w:val="en-GB"/>
        </w:rPr>
        <w:t>A in</w:t>
      </w:r>
      <w:r>
        <w:rPr>
          <w:rFonts w:ascii="Times New Roman" w:eastAsia="Calibri" w:hAnsi="Times New Roman" w:cs="Times New Roman"/>
          <w:sz w:val="24"/>
          <w:szCs w:val="24"/>
          <w:lang w:val="en-GB"/>
        </w:rPr>
        <w:t xml:space="preserve"> the case of </w:t>
      </w:r>
      <w:r w:rsidRPr="001C62F6">
        <w:rPr>
          <w:rFonts w:ascii="Times New Roman" w:eastAsia="Calibri" w:hAnsi="Times New Roman" w:cs="Times New Roman"/>
          <w:i/>
          <w:sz w:val="24"/>
          <w:szCs w:val="24"/>
          <w:lang w:val="en-GB"/>
        </w:rPr>
        <w:t>Oliver Mapurisa vs The State</w:t>
      </w:r>
      <w:r w:rsidR="00BE3088">
        <w:rPr>
          <w:rStyle w:val="FootnoteReference"/>
          <w:rFonts w:ascii="Times New Roman" w:eastAsia="Calibri" w:hAnsi="Times New Roman" w:cs="Times New Roman"/>
          <w:i/>
          <w:sz w:val="24"/>
          <w:szCs w:val="24"/>
          <w:lang w:val="en-GB"/>
        </w:rPr>
        <w:footnoteReference w:id="3"/>
      </w:r>
      <w:r w:rsidRPr="001C62F6">
        <w:rPr>
          <w:rFonts w:ascii="Times New Roman" w:eastAsia="Calibri" w:hAnsi="Times New Roman" w:cs="Times New Roman"/>
          <w:i/>
          <w:sz w:val="24"/>
          <w:szCs w:val="24"/>
          <w:lang w:val="en-GB"/>
        </w:rPr>
        <w:t xml:space="preserve"> </w:t>
      </w:r>
      <w:r>
        <w:rPr>
          <w:rFonts w:ascii="Times New Roman" w:eastAsia="Calibri" w:hAnsi="Times New Roman" w:cs="Times New Roman"/>
          <w:sz w:val="24"/>
          <w:szCs w:val="24"/>
          <w:lang w:val="en-GB"/>
        </w:rPr>
        <w:t xml:space="preserve">had occasion to provide some </w:t>
      </w:r>
      <w:r>
        <w:rPr>
          <w:rFonts w:ascii="Times New Roman" w:eastAsia="Calibri" w:hAnsi="Times New Roman" w:cs="Times New Roman"/>
          <w:sz w:val="24"/>
          <w:szCs w:val="24"/>
          <w:lang w:val="en-GB"/>
        </w:rPr>
        <w:lastRenderedPageBreak/>
        <w:t>guidance in interpreting this section (then section 286). The learned Judge of Appeal crafted the position of the law as follows: -</w:t>
      </w:r>
    </w:p>
    <w:p w:rsidR="001C62F6" w:rsidRDefault="001C62F6" w:rsidP="006646AE">
      <w:pPr>
        <w:spacing w:after="0" w:line="360" w:lineRule="auto"/>
        <w:ind w:firstLine="14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“In attempting to prove theft by an official of goods under his control, it is a common and acceptable practice for the state to prove the existence of a system of control </w:t>
      </w:r>
      <w:r w:rsidRPr="0092303F">
        <w:rPr>
          <w:rFonts w:ascii="Times New Roman" w:eastAsia="Calibri" w:hAnsi="Times New Roman" w:cs="Times New Roman"/>
          <w:sz w:val="24"/>
          <w:szCs w:val="24"/>
          <w:u w:val="single"/>
          <w:lang w:val="en-GB"/>
        </w:rPr>
        <w:t>which demonstrates that the goods are missing, and that there is no other explanation for their absence than that the official concerned has misappropriated them</w:t>
      </w:r>
      <w:r>
        <w:rPr>
          <w:rFonts w:ascii="Times New Roman" w:eastAsia="Calibri" w:hAnsi="Times New Roman" w:cs="Times New Roman"/>
          <w:sz w:val="24"/>
          <w:szCs w:val="24"/>
          <w:lang w:val="en-GB"/>
        </w:rPr>
        <w:t>. The technique of proof is enshrined in the C</w:t>
      </w:r>
      <w:r w:rsidR="00431C22">
        <w:rPr>
          <w:rFonts w:ascii="Times New Roman" w:eastAsia="Calibri" w:hAnsi="Times New Roman" w:cs="Times New Roman"/>
          <w:sz w:val="24"/>
          <w:szCs w:val="24"/>
          <w:lang w:val="en-GB"/>
        </w:rPr>
        <w:t>riminal Procedure and Evidence A</w:t>
      </w:r>
      <w:r>
        <w:rPr>
          <w:rFonts w:ascii="Times New Roman" w:eastAsia="Calibri" w:hAnsi="Times New Roman" w:cs="Times New Roman"/>
          <w:sz w:val="24"/>
          <w:szCs w:val="24"/>
          <w:lang w:val="en-GB"/>
        </w:rPr>
        <w:t>ct, in Section 286. It is known as proof of a general deficiency.</w:t>
      </w:r>
    </w:p>
    <w:p w:rsidR="001C62F6" w:rsidRDefault="001C62F6" w:rsidP="006646AE">
      <w:pPr>
        <w:spacing w:after="0" w:line="360" w:lineRule="auto"/>
        <w:ind w:firstLine="14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This method of proof requires a careful and thorough presentation of evidence by the prosecutor. </w:t>
      </w:r>
      <w:r w:rsidRPr="0092303F">
        <w:rPr>
          <w:rFonts w:ascii="Times New Roman" w:eastAsia="Calibri" w:hAnsi="Times New Roman" w:cs="Times New Roman"/>
          <w:sz w:val="24"/>
          <w:szCs w:val="24"/>
          <w:u w:val="single"/>
          <w:lang w:val="en-GB"/>
        </w:rPr>
        <w:t>All possible loopholes must be plugged</w:t>
      </w:r>
      <w:r>
        <w:rPr>
          <w:rFonts w:ascii="Times New Roman" w:eastAsia="Calibri" w:hAnsi="Times New Roman" w:cs="Times New Roman"/>
          <w:sz w:val="24"/>
          <w:szCs w:val="24"/>
          <w:lang w:val="en-GB"/>
        </w:rPr>
        <w:t>. Three things ess</w:t>
      </w:r>
      <w:r w:rsidR="00431C22">
        <w:rPr>
          <w:rFonts w:ascii="Times New Roman" w:eastAsia="Calibri" w:hAnsi="Times New Roman" w:cs="Times New Roman"/>
          <w:sz w:val="24"/>
          <w:szCs w:val="24"/>
          <w:lang w:val="en-GB"/>
        </w:rPr>
        <w:t>entially have to be established-</w:t>
      </w:r>
    </w:p>
    <w:p w:rsidR="001C62F6" w:rsidRPr="001C62F6" w:rsidRDefault="001C62F6" w:rsidP="006646AE">
      <w:pPr>
        <w:pStyle w:val="ListParagraph"/>
        <w:numPr>
          <w:ilvl w:val="0"/>
          <w:numId w:val="4"/>
        </w:numPr>
        <w:spacing w:after="0" w:line="360" w:lineRule="auto"/>
        <w:jc w:val="both"/>
        <w:rPr>
          <w:rFonts w:ascii="Times New Roman" w:eastAsia="Calibri" w:hAnsi="Times New Roman" w:cs="Times New Roman"/>
          <w:sz w:val="24"/>
          <w:szCs w:val="24"/>
          <w:lang w:val="en-GB"/>
        </w:rPr>
      </w:pPr>
      <w:r w:rsidRPr="001C62F6">
        <w:rPr>
          <w:rFonts w:ascii="Times New Roman" w:eastAsia="Calibri" w:hAnsi="Times New Roman" w:cs="Times New Roman"/>
          <w:sz w:val="24"/>
          <w:szCs w:val="24"/>
          <w:lang w:val="en-GB"/>
        </w:rPr>
        <w:t>Goods received by the accused into his custody are recorded by him.</w:t>
      </w:r>
    </w:p>
    <w:p w:rsidR="001C62F6" w:rsidRDefault="001C62F6" w:rsidP="006646AE">
      <w:pPr>
        <w:pStyle w:val="ListParagraph"/>
        <w:numPr>
          <w:ilvl w:val="0"/>
          <w:numId w:val="4"/>
        </w:numPr>
        <w:spacing w:after="0" w:line="360" w:lineRule="auto"/>
        <w:jc w:val="both"/>
        <w:rPr>
          <w:rFonts w:ascii="Times New Roman" w:eastAsia="Calibri" w:hAnsi="Times New Roman" w:cs="Times New Roman"/>
          <w:sz w:val="24"/>
          <w:szCs w:val="24"/>
          <w:lang w:val="en-GB"/>
        </w:rPr>
      </w:pPr>
      <w:r w:rsidRPr="001C62F6">
        <w:rPr>
          <w:rFonts w:ascii="Times New Roman" w:eastAsia="Calibri" w:hAnsi="Times New Roman" w:cs="Times New Roman"/>
          <w:sz w:val="24"/>
          <w:szCs w:val="24"/>
          <w:lang w:val="en-GB"/>
        </w:rPr>
        <w:t>While they are in his custody no-one else has the ability to remove them.</w:t>
      </w:r>
    </w:p>
    <w:p w:rsidR="001C62F6" w:rsidRPr="00DA0213" w:rsidRDefault="00DA0213" w:rsidP="006646AE">
      <w:pPr>
        <w:spacing w:after="0" w:line="360" w:lineRule="auto"/>
        <w:ind w:left="720" w:firstLine="72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w:t>
      </w:r>
      <w:r w:rsidR="001C62F6" w:rsidRPr="00DA0213">
        <w:rPr>
          <w:rFonts w:ascii="Times New Roman" w:eastAsia="Calibri" w:hAnsi="Times New Roman" w:cs="Times New Roman"/>
          <w:sz w:val="24"/>
          <w:szCs w:val="24"/>
          <w:lang w:val="en-GB"/>
        </w:rPr>
        <w:t>nd</w:t>
      </w:r>
    </w:p>
    <w:p w:rsidR="001C62F6" w:rsidRDefault="001C62F6" w:rsidP="006646AE">
      <w:pPr>
        <w:pStyle w:val="ListParagraph"/>
        <w:numPr>
          <w:ilvl w:val="0"/>
          <w:numId w:val="4"/>
        </w:num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When</w:t>
      </w:r>
      <w:r w:rsidR="00E54284">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they leave his custody legitimately there is a recording system involving the signature of the recipient.”</w:t>
      </w:r>
      <w:r w:rsidR="00DA0213">
        <w:rPr>
          <w:rFonts w:ascii="Times New Roman" w:eastAsia="Calibri" w:hAnsi="Times New Roman" w:cs="Times New Roman"/>
          <w:sz w:val="24"/>
          <w:szCs w:val="24"/>
          <w:lang w:val="en-GB"/>
        </w:rPr>
        <w:t xml:space="preserve"> (my emphasis)</w:t>
      </w:r>
    </w:p>
    <w:p w:rsidR="006646AE" w:rsidRDefault="006646AE" w:rsidP="006646AE">
      <w:pPr>
        <w:spacing w:after="0" w:line="360" w:lineRule="auto"/>
        <w:jc w:val="both"/>
        <w:rPr>
          <w:rFonts w:ascii="Times New Roman" w:eastAsia="Calibri" w:hAnsi="Times New Roman" w:cs="Times New Roman"/>
          <w:sz w:val="24"/>
          <w:szCs w:val="24"/>
          <w:u w:val="single"/>
          <w:lang w:val="en-GB"/>
        </w:rPr>
      </w:pPr>
    </w:p>
    <w:p w:rsidR="001C62F6" w:rsidRDefault="009628B8" w:rsidP="006646AE">
      <w:pPr>
        <w:spacing w:after="0" w:line="360" w:lineRule="auto"/>
        <w:jc w:val="both"/>
        <w:rPr>
          <w:rFonts w:ascii="Times New Roman" w:eastAsia="Calibri" w:hAnsi="Times New Roman" w:cs="Times New Roman"/>
          <w:sz w:val="24"/>
          <w:szCs w:val="24"/>
          <w:u w:val="single"/>
          <w:lang w:val="en-GB"/>
        </w:rPr>
      </w:pPr>
      <w:r w:rsidRPr="00DD462D">
        <w:rPr>
          <w:rFonts w:ascii="Times New Roman" w:eastAsia="Calibri" w:hAnsi="Times New Roman" w:cs="Times New Roman"/>
          <w:sz w:val="24"/>
          <w:szCs w:val="24"/>
          <w:u w:val="single"/>
          <w:lang w:val="en-GB"/>
        </w:rPr>
        <w:t>A</w:t>
      </w:r>
      <w:r>
        <w:rPr>
          <w:rFonts w:ascii="Times New Roman" w:eastAsia="Calibri" w:hAnsi="Times New Roman" w:cs="Times New Roman"/>
          <w:sz w:val="24"/>
          <w:szCs w:val="24"/>
          <w:u w:val="single"/>
          <w:lang w:val="en-GB"/>
        </w:rPr>
        <w:t xml:space="preserve">NALYSIS </w:t>
      </w:r>
      <w:r w:rsidR="00DD462D" w:rsidRPr="00DD462D">
        <w:rPr>
          <w:rFonts w:ascii="Times New Roman" w:eastAsia="Calibri" w:hAnsi="Times New Roman" w:cs="Times New Roman"/>
          <w:sz w:val="24"/>
          <w:szCs w:val="24"/>
          <w:u w:val="single"/>
          <w:lang w:val="en-GB"/>
        </w:rPr>
        <w:t>OF THE JUDGMENT OF THE LOWER COURT</w:t>
      </w:r>
    </w:p>
    <w:p w:rsidR="00DD462D" w:rsidRPr="00DD462D" w:rsidRDefault="00DD462D" w:rsidP="006646AE">
      <w:pPr>
        <w:spacing w:after="0" w:line="360" w:lineRule="auto"/>
        <w:jc w:val="both"/>
        <w:rPr>
          <w:rFonts w:ascii="Times New Roman" w:eastAsia="Calibri" w:hAnsi="Times New Roman" w:cs="Times New Roman"/>
          <w:sz w:val="24"/>
          <w:szCs w:val="24"/>
          <w:u w:val="single"/>
          <w:lang w:val="en-GB"/>
        </w:rPr>
      </w:pPr>
    </w:p>
    <w:p w:rsidR="001C62F6" w:rsidRDefault="00B03E1B" w:rsidP="006646AE">
      <w:pPr>
        <w:spacing w:after="0" w:line="360" w:lineRule="auto"/>
        <w:ind w:firstLine="14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The learned Magistrate in the court </w:t>
      </w:r>
      <w:r w:rsidRPr="00B03E1B">
        <w:rPr>
          <w:rFonts w:ascii="Times New Roman" w:eastAsia="Calibri" w:hAnsi="Times New Roman" w:cs="Times New Roman"/>
          <w:i/>
          <w:sz w:val="24"/>
          <w:szCs w:val="24"/>
          <w:lang w:val="en-GB"/>
        </w:rPr>
        <w:t>a quo</w:t>
      </w:r>
      <w:r>
        <w:rPr>
          <w:rFonts w:ascii="Times New Roman" w:eastAsia="Calibri" w:hAnsi="Times New Roman" w:cs="Times New Roman"/>
          <w:sz w:val="24"/>
          <w:szCs w:val="24"/>
          <w:lang w:val="en-GB"/>
        </w:rPr>
        <w:t xml:space="preserve"> correctly noted that there was overwhelming evidence that the ETDs had been received and locked </w:t>
      </w:r>
      <w:r w:rsidR="002659F8">
        <w:rPr>
          <w:rFonts w:ascii="Times New Roman" w:eastAsia="Calibri" w:hAnsi="Times New Roman" w:cs="Times New Roman"/>
          <w:sz w:val="24"/>
          <w:szCs w:val="24"/>
          <w:lang w:val="en-GB"/>
        </w:rPr>
        <w:t xml:space="preserve">up </w:t>
      </w:r>
      <w:r>
        <w:rPr>
          <w:rFonts w:ascii="Times New Roman" w:eastAsia="Calibri" w:hAnsi="Times New Roman" w:cs="Times New Roman"/>
          <w:sz w:val="24"/>
          <w:szCs w:val="24"/>
          <w:lang w:val="en-GB"/>
        </w:rPr>
        <w:t>in the safe in the appellant’s office and that the appell</w:t>
      </w:r>
      <w:r w:rsidR="002659F8">
        <w:rPr>
          <w:rFonts w:ascii="Times New Roman" w:eastAsia="Calibri" w:hAnsi="Times New Roman" w:cs="Times New Roman"/>
          <w:sz w:val="24"/>
          <w:szCs w:val="24"/>
          <w:lang w:val="en-GB"/>
        </w:rPr>
        <w:t>ant and his co-accused were the</w:t>
      </w:r>
      <w:r>
        <w:rPr>
          <w:rFonts w:ascii="Times New Roman" w:eastAsia="Calibri" w:hAnsi="Times New Roman" w:cs="Times New Roman"/>
          <w:sz w:val="24"/>
          <w:szCs w:val="24"/>
          <w:lang w:val="en-GB"/>
        </w:rPr>
        <w:t xml:space="preserve"> only people who had access to the safe in question. </w:t>
      </w:r>
    </w:p>
    <w:p w:rsidR="00B03E1B" w:rsidRDefault="00B03E1B" w:rsidP="006646AE">
      <w:pPr>
        <w:spacing w:after="0" w:line="360" w:lineRule="auto"/>
        <w:ind w:firstLine="14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With respect, it would seem that the court a quo then proceeded to misdirect itself </w:t>
      </w:r>
      <w:r w:rsidR="00F33CAB">
        <w:rPr>
          <w:rFonts w:ascii="Times New Roman" w:eastAsia="Calibri" w:hAnsi="Times New Roman" w:cs="Times New Roman"/>
          <w:sz w:val="24"/>
          <w:szCs w:val="24"/>
          <w:lang w:val="en-GB"/>
        </w:rPr>
        <w:t>by</w:t>
      </w:r>
      <w:r>
        <w:rPr>
          <w:rFonts w:ascii="Times New Roman" w:eastAsia="Calibri" w:hAnsi="Times New Roman" w:cs="Times New Roman"/>
          <w:sz w:val="24"/>
          <w:szCs w:val="24"/>
          <w:lang w:val="en-GB"/>
        </w:rPr>
        <w:t xml:space="preserve"> using such a finding as a basis for criminal liability against the appellant and her co-accused. This is so because</w:t>
      </w:r>
      <w:r w:rsidR="00F33CAB">
        <w:rPr>
          <w:rFonts w:ascii="Times New Roman" w:eastAsia="Calibri" w:hAnsi="Times New Roman" w:cs="Times New Roman"/>
          <w:sz w:val="24"/>
          <w:szCs w:val="24"/>
          <w:lang w:val="en-GB"/>
        </w:rPr>
        <w:t xml:space="preserve"> as correctly noted by </w:t>
      </w:r>
      <w:r w:rsidR="00C01FC9">
        <w:rPr>
          <w:rFonts w:ascii="Times New Roman" w:eastAsia="Calibri" w:hAnsi="Times New Roman" w:cs="Times New Roman"/>
          <w:sz w:val="24"/>
          <w:szCs w:val="24"/>
          <w:lang w:val="en-GB"/>
        </w:rPr>
        <w:t>the appellant’s</w:t>
      </w:r>
      <w:r w:rsidR="00F33CAB">
        <w:rPr>
          <w:rFonts w:ascii="Times New Roman" w:eastAsia="Calibri" w:hAnsi="Times New Roman" w:cs="Times New Roman"/>
          <w:sz w:val="24"/>
          <w:szCs w:val="24"/>
          <w:lang w:val="en-GB"/>
        </w:rPr>
        <w:t xml:space="preserve"> counsel,</w:t>
      </w:r>
      <w:r>
        <w:rPr>
          <w:rFonts w:ascii="Times New Roman" w:eastAsia="Calibri" w:hAnsi="Times New Roman" w:cs="Times New Roman"/>
          <w:sz w:val="24"/>
          <w:szCs w:val="24"/>
          <w:lang w:val="en-GB"/>
        </w:rPr>
        <w:t xml:space="preserve"> the evidence accepted was that the appellant did not have exclusive access to the safe where the ETDs were kept</w:t>
      </w:r>
      <w:r w:rsidR="00F33CAB">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 </w:t>
      </w:r>
      <w:r w:rsidR="00DD462D">
        <w:rPr>
          <w:rFonts w:ascii="Times New Roman" w:eastAsia="Calibri" w:hAnsi="Times New Roman" w:cs="Times New Roman"/>
          <w:sz w:val="24"/>
          <w:szCs w:val="24"/>
          <w:lang w:val="en-GB"/>
        </w:rPr>
        <w:t>A</w:t>
      </w:r>
      <w:r>
        <w:rPr>
          <w:rFonts w:ascii="Times New Roman" w:eastAsia="Calibri" w:hAnsi="Times New Roman" w:cs="Times New Roman"/>
          <w:sz w:val="24"/>
          <w:szCs w:val="24"/>
          <w:lang w:val="en-GB"/>
        </w:rPr>
        <w:t xml:space="preserve">ll the four accused persons had access to that safe. It is quite possible as the evidence from all the four accused persons suggested that any one of them could have stolen the </w:t>
      </w:r>
      <w:r w:rsidR="00483345">
        <w:rPr>
          <w:rFonts w:ascii="Times New Roman" w:eastAsia="Calibri" w:hAnsi="Times New Roman" w:cs="Times New Roman"/>
          <w:sz w:val="24"/>
          <w:szCs w:val="24"/>
          <w:lang w:val="en-GB"/>
        </w:rPr>
        <w:t>documents</w:t>
      </w:r>
      <w:r>
        <w:rPr>
          <w:rFonts w:ascii="Times New Roman" w:eastAsia="Calibri" w:hAnsi="Times New Roman" w:cs="Times New Roman"/>
          <w:sz w:val="24"/>
          <w:szCs w:val="24"/>
          <w:lang w:val="en-GB"/>
        </w:rPr>
        <w:t xml:space="preserve">. If this observation is correct (which should be the position), then it would be wrong to adopt a tariff approach </w:t>
      </w:r>
      <w:r w:rsidR="00F33CAB">
        <w:rPr>
          <w:rFonts w:ascii="Times New Roman" w:eastAsia="Calibri" w:hAnsi="Times New Roman" w:cs="Times New Roman"/>
          <w:sz w:val="24"/>
          <w:szCs w:val="24"/>
          <w:lang w:val="en-GB"/>
        </w:rPr>
        <w:t xml:space="preserve">to </w:t>
      </w:r>
      <w:r w:rsidR="00F33CAB">
        <w:rPr>
          <w:rFonts w:ascii="Times New Roman" w:eastAsia="Calibri" w:hAnsi="Times New Roman" w:cs="Times New Roman"/>
          <w:sz w:val="24"/>
          <w:szCs w:val="24"/>
          <w:lang w:val="en-GB"/>
        </w:rPr>
        <w:lastRenderedPageBreak/>
        <w:t xml:space="preserve">conviction </w:t>
      </w:r>
      <w:r w:rsidR="00C01FC9">
        <w:rPr>
          <w:rFonts w:ascii="Times New Roman" w:eastAsia="Calibri" w:hAnsi="Times New Roman" w:cs="Times New Roman"/>
          <w:sz w:val="24"/>
          <w:szCs w:val="24"/>
          <w:lang w:val="en-GB"/>
        </w:rPr>
        <w:t>by reasoning as follows; “because one of you</w:t>
      </w:r>
      <w:r>
        <w:rPr>
          <w:rFonts w:ascii="Times New Roman" w:eastAsia="Calibri" w:hAnsi="Times New Roman" w:cs="Times New Roman"/>
          <w:sz w:val="24"/>
          <w:szCs w:val="24"/>
          <w:lang w:val="en-GB"/>
        </w:rPr>
        <w:t xml:space="preserve"> </w:t>
      </w:r>
      <w:r w:rsidR="00C01FC9">
        <w:rPr>
          <w:rFonts w:ascii="Times New Roman" w:eastAsia="Calibri" w:hAnsi="Times New Roman" w:cs="Times New Roman"/>
          <w:sz w:val="24"/>
          <w:szCs w:val="24"/>
          <w:lang w:val="en-GB"/>
        </w:rPr>
        <w:t>stole</w:t>
      </w:r>
      <w:r>
        <w:rPr>
          <w:rFonts w:ascii="Times New Roman" w:eastAsia="Calibri" w:hAnsi="Times New Roman" w:cs="Times New Roman"/>
          <w:sz w:val="24"/>
          <w:szCs w:val="24"/>
          <w:lang w:val="en-GB"/>
        </w:rPr>
        <w:t xml:space="preserve"> then all of you must have stolen”. This is a case of theft where the intention of the individual must be considered before one can be visited with criminal liability.</w:t>
      </w:r>
    </w:p>
    <w:p w:rsidR="00B03E1B" w:rsidRDefault="00B03E1B" w:rsidP="006646AE">
      <w:pPr>
        <w:spacing w:after="0" w:line="360" w:lineRule="auto"/>
        <w:ind w:firstLine="14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The only other way the appellant could have been found guilty was if she was found to have acted in common purpose with her co-accused or as a co-perpetrator in terms of section </w:t>
      </w:r>
      <w:r w:rsidR="00C01FC9">
        <w:rPr>
          <w:rFonts w:ascii="Times New Roman" w:eastAsia="Calibri" w:hAnsi="Times New Roman" w:cs="Times New Roman"/>
          <w:sz w:val="24"/>
          <w:szCs w:val="24"/>
          <w:lang w:val="en-GB"/>
        </w:rPr>
        <w:t>1</w:t>
      </w:r>
      <w:r>
        <w:rPr>
          <w:rFonts w:ascii="Times New Roman" w:eastAsia="Calibri" w:hAnsi="Times New Roman" w:cs="Times New Roman"/>
          <w:sz w:val="24"/>
          <w:szCs w:val="24"/>
          <w:lang w:val="en-GB"/>
        </w:rPr>
        <w:t>96</w:t>
      </w:r>
      <w:r w:rsidR="00C01FC9">
        <w:rPr>
          <w:rFonts w:ascii="Times New Roman" w:eastAsia="Calibri" w:hAnsi="Times New Roman" w:cs="Times New Roman"/>
          <w:sz w:val="24"/>
          <w:szCs w:val="24"/>
          <w:lang w:val="en-GB"/>
        </w:rPr>
        <w:t>A</w:t>
      </w:r>
      <w:r>
        <w:rPr>
          <w:rFonts w:ascii="Times New Roman" w:eastAsia="Calibri" w:hAnsi="Times New Roman" w:cs="Times New Roman"/>
          <w:sz w:val="24"/>
          <w:szCs w:val="24"/>
          <w:lang w:val="en-GB"/>
        </w:rPr>
        <w:t xml:space="preserve"> of the Criminal Law (Codification and Reform) Act [Chap 9:23].</w:t>
      </w:r>
    </w:p>
    <w:p w:rsidR="00B03E1B" w:rsidRDefault="00B03E1B" w:rsidP="006646AE">
      <w:pPr>
        <w:spacing w:after="0" w:line="360" w:lineRule="auto"/>
        <w:ind w:firstLine="14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There was no evidence which was tendered in the proceedings to show that the appellant and her co-accused</w:t>
      </w:r>
      <w:r w:rsidR="00D561C2">
        <w:rPr>
          <w:rFonts w:ascii="Times New Roman" w:eastAsia="Calibri" w:hAnsi="Times New Roman" w:cs="Times New Roman"/>
          <w:sz w:val="24"/>
          <w:szCs w:val="24"/>
          <w:lang w:val="en-GB"/>
        </w:rPr>
        <w:t xml:space="preserve"> had planned to steal the ETDs and indeed</w:t>
      </w:r>
      <w:r w:rsidR="008B6929">
        <w:rPr>
          <w:rFonts w:ascii="Times New Roman" w:eastAsia="Calibri" w:hAnsi="Times New Roman" w:cs="Times New Roman"/>
          <w:sz w:val="24"/>
          <w:szCs w:val="24"/>
          <w:lang w:val="en-GB"/>
        </w:rPr>
        <w:t>,</w:t>
      </w:r>
      <w:r w:rsidR="00D561C2">
        <w:rPr>
          <w:rFonts w:ascii="Times New Roman" w:eastAsia="Calibri" w:hAnsi="Times New Roman" w:cs="Times New Roman"/>
          <w:sz w:val="24"/>
          <w:szCs w:val="24"/>
          <w:lang w:val="en-GB"/>
        </w:rPr>
        <w:t xml:space="preserve"> stole them. </w:t>
      </w:r>
      <w:r>
        <w:rPr>
          <w:rFonts w:ascii="Times New Roman" w:eastAsia="Calibri" w:hAnsi="Times New Roman" w:cs="Times New Roman"/>
          <w:sz w:val="24"/>
          <w:szCs w:val="24"/>
          <w:lang w:val="en-GB"/>
        </w:rPr>
        <w:t>It was in m</w:t>
      </w:r>
      <w:r w:rsidR="00C01FC9">
        <w:rPr>
          <w:rFonts w:ascii="Times New Roman" w:eastAsia="Calibri" w:hAnsi="Times New Roman" w:cs="Times New Roman"/>
          <w:sz w:val="24"/>
          <w:szCs w:val="24"/>
          <w:lang w:val="en-GB"/>
        </w:rPr>
        <w:t>y view far</w:t>
      </w:r>
      <w:r w:rsidR="00891768">
        <w:rPr>
          <w:rFonts w:ascii="Times New Roman" w:eastAsia="Calibri" w:hAnsi="Times New Roman" w:cs="Times New Roman"/>
          <w:sz w:val="24"/>
          <w:szCs w:val="24"/>
          <w:lang w:val="en-GB"/>
        </w:rPr>
        <w:t>fetched to</w:t>
      </w:r>
      <w:r>
        <w:rPr>
          <w:rFonts w:ascii="Times New Roman" w:eastAsia="Calibri" w:hAnsi="Times New Roman" w:cs="Times New Roman"/>
          <w:sz w:val="24"/>
          <w:szCs w:val="24"/>
          <w:lang w:val="en-GB"/>
        </w:rPr>
        <w:t xml:space="preserve"> infer from the limited evid</w:t>
      </w:r>
      <w:r w:rsidR="003B78FA">
        <w:rPr>
          <w:rFonts w:ascii="Times New Roman" w:eastAsia="Calibri" w:hAnsi="Times New Roman" w:cs="Times New Roman"/>
          <w:sz w:val="24"/>
          <w:szCs w:val="24"/>
          <w:lang w:val="en-GB"/>
        </w:rPr>
        <w:t>ence that this was the position because each of the few accused persons including the appellant gave reasonable explanation of what may have happened to the ETDs. They all said that any one of them could have taken the ETDs acting independently.</w:t>
      </w:r>
      <w:r w:rsidR="00C01FC9">
        <w:rPr>
          <w:rFonts w:ascii="Times New Roman" w:eastAsia="Calibri" w:hAnsi="Times New Roman" w:cs="Times New Roman"/>
          <w:sz w:val="24"/>
          <w:szCs w:val="24"/>
          <w:lang w:val="en-GB"/>
        </w:rPr>
        <w:t xml:space="preserve"> Their main defence was that they did not know how the ETDs had been removed from the safe.</w:t>
      </w:r>
    </w:p>
    <w:p w:rsidR="00F44829" w:rsidRDefault="00F44829" w:rsidP="006646AE">
      <w:pPr>
        <w:spacing w:after="0" w:line="360" w:lineRule="auto"/>
        <w:ind w:firstLine="14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It would appear that if anything</w:t>
      </w:r>
      <w:r w:rsidR="00345075">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 the findings of the court a quo show</w:t>
      </w:r>
      <w:r w:rsidR="00345075">
        <w:rPr>
          <w:rFonts w:ascii="Times New Roman" w:eastAsia="Calibri" w:hAnsi="Times New Roman" w:cs="Times New Roman"/>
          <w:sz w:val="24"/>
          <w:szCs w:val="24"/>
          <w:lang w:val="en-GB"/>
        </w:rPr>
        <w:t>ed</w:t>
      </w:r>
      <w:r>
        <w:rPr>
          <w:rFonts w:ascii="Times New Roman" w:eastAsia="Calibri" w:hAnsi="Times New Roman" w:cs="Times New Roman"/>
          <w:sz w:val="24"/>
          <w:szCs w:val="24"/>
          <w:lang w:val="en-GB"/>
        </w:rPr>
        <w:t xml:space="preserve"> that the appellant and her colleagues were working with no supervision at all. There </w:t>
      </w:r>
      <w:r w:rsidR="004E70AE">
        <w:rPr>
          <w:rFonts w:ascii="Times New Roman" w:eastAsia="Calibri" w:hAnsi="Times New Roman" w:cs="Times New Roman"/>
          <w:sz w:val="24"/>
          <w:szCs w:val="24"/>
          <w:lang w:val="en-GB"/>
        </w:rPr>
        <w:t>is evidence that their work was not regularly checked as confirmed by the numerous errors which they made on exhibit 4.</w:t>
      </w:r>
    </w:p>
    <w:p w:rsidR="00E54284" w:rsidRDefault="004E70AE" w:rsidP="006646AE">
      <w:pPr>
        <w:spacing w:after="0" w:line="360" w:lineRule="auto"/>
        <w:ind w:firstLine="14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The evidence also shows that there were some flashes of negligence in the recording of information on exhibit 4 but such negligence cannot possibly be elevated to criminal liability in a theft case under this section.</w:t>
      </w:r>
      <w:r w:rsidR="00345075">
        <w:rPr>
          <w:rFonts w:ascii="Times New Roman" w:eastAsia="Calibri" w:hAnsi="Times New Roman" w:cs="Times New Roman"/>
          <w:sz w:val="24"/>
          <w:szCs w:val="24"/>
          <w:lang w:val="en-GB"/>
        </w:rPr>
        <w:t xml:space="preserve"> The threshold for criminal liability is much higher than for civil liability.</w:t>
      </w:r>
    </w:p>
    <w:p w:rsidR="00E60DB2" w:rsidRDefault="004E70AE" w:rsidP="006646AE">
      <w:pPr>
        <w:spacing w:after="0" w:line="360" w:lineRule="auto"/>
        <w:ind w:firstLine="14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There were some conclusion</w:t>
      </w:r>
      <w:r w:rsidR="00C01FC9">
        <w:rPr>
          <w:rFonts w:ascii="Times New Roman" w:eastAsia="Calibri" w:hAnsi="Times New Roman" w:cs="Times New Roman"/>
          <w:sz w:val="24"/>
          <w:szCs w:val="24"/>
          <w:lang w:val="en-GB"/>
        </w:rPr>
        <w:t>s</w:t>
      </w:r>
      <w:r>
        <w:rPr>
          <w:rFonts w:ascii="Times New Roman" w:eastAsia="Calibri" w:hAnsi="Times New Roman" w:cs="Times New Roman"/>
          <w:sz w:val="24"/>
          <w:szCs w:val="24"/>
          <w:lang w:val="en-GB"/>
        </w:rPr>
        <w:t xml:space="preserve"> which were made by the court </w:t>
      </w:r>
      <w:r w:rsidRPr="004E70AE">
        <w:rPr>
          <w:rFonts w:ascii="Times New Roman" w:eastAsia="Calibri" w:hAnsi="Times New Roman" w:cs="Times New Roman"/>
          <w:i/>
          <w:sz w:val="24"/>
          <w:szCs w:val="24"/>
          <w:lang w:val="en-GB"/>
        </w:rPr>
        <w:t>a quo</w:t>
      </w:r>
      <w:r>
        <w:rPr>
          <w:rFonts w:ascii="Times New Roman" w:eastAsia="Calibri" w:hAnsi="Times New Roman" w:cs="Times New Roman"/>
          <w:sz w:val="24"/>
          <w:szCs w:val="24"/>
          <w:lang w:val="en-GB"/>
        </w:rPr>
        <w:t xml:space="preserve"> which are not </w:t>
      </w:r>
      <w:r w:rsidR="00C01FC9">
        <w:rPr>
          <w:rFonts w:ascii="Times New Roman" w:eastAsia="Calibri" w:hAnsi="Times New Roman" w:cs="Times New Roman"/>
          <w:sz w:val="24"/>
          <w:szCs w:val="24"/>
          <w:lang w:val="en-GB"/>
        </w:rPr>
        <w:t>supported by</w:t>
      </w:r>
      <w:r>
        <w:rPr>
          <w:rFonts w:ascii="Times New Roman" w:eastAsia="Calibri" w:hAnsi="Times New Roman" w:cs="Times New Roman"/>
          <w:sz w:val="24"/>
          <w:szCs w:val="24"/>
          <w:lang w:val="en-GB"/>
        </w:rPr>
        <w:t xml:space="preserve"> the </w:t>
      </w:r>
      <w:r w:rsidR="00E60DB2">
        <w:rPr>
          <w:rFonts w:ascii="Times New Roman" w:eastAsia="Calibri" w:hAnsi="Times New Roman" w:cs="Times New Roman"/>
          <w:sz w:val="24"/>
          <w:szCs w:val="24"/>
          <w:lang w:val="en-GB"/>
        </w:rPr>
        <w:t xml:space="preserve">evidence led in court. For example, it cannot possibly be the correct finding that in the absence of evidence of the safe having been broken to gain entry, then the only reasonable inference is that </w:t>
      </w:r>
      <w:r w:rsidR="00E60DB2" w:rsidRPr="00E60DB2">
        <w:rPr>
          <w:rFonts w:ascii="Times New Roman" w:eastAsia="Calibri" w:hAnsi="Times New Roman" w:cs="Times New Roman"/>
          <w:sz w:val="24"/>
          <w:szCs w:val="24"/>
          <w:u w:val="single"/>
          <w:lang w:val="en-GB"/>
        </w:rPr>
        <w:t>all</w:t>
      </w:r>
      <w:r w:rsidR="00E60DB2">
        <w:rPr>
          <w:rFonts w:ascii="Times New Roman" w:eastAsia="Calibri" w:hAnsi="Times New Roman" w:cs="Times New Roman"/>
          <w:sz w:val="24"/>
          <w:szCs w:val="24"/>
          <w:lang w:val="en-GB"/>
        </w:rPr>
        <w:t xml:space="preserve"> the accused including the appellant stole the ETDs.</w:t>
      </w:r>
      <w:r w:rsidR="008B6929">
        <w:rPr>
          <w:rFonts w:ascii="Times New Roman" w:eastAsia="Calibri" w:hAnsi="Times New Roman" w:cs="Times New Roman"/>
          <w:sz w:val="24"/>
          <w:szCs w:val="24"/>
          <w:lang w:val="en-GB"/>
        </w:rPr>
        <w:t xml:space="preserve"> </w:t>
      </w:r>
      <w:r w:rsidR="00E60DB2">
        <w:rPr>
          <w:rFonts w:ascii="Times New Roman" w:eastAsia="Calibri" w:hAnsi="Times New Roman" w:cs="Times New Roman"/>
          <w:sz w:val="24"/>
          <w:szCs w:val="24"/>
          <w:lang w:val="en-GB"/>
        </w:rPr>
        <w:t xml:space="preserve">It cannot be ruled </w:t>
      </w:r>
      <w:r w:rsidR="00740ABA">
        <w:rPr>
          <w:rFonts w:ascii="Times New Roman" w:eastAsia="Calibri" w:hAnsi="Times New Roman" w:cs="Times New Roman"/>
          <w:sz w:val="24"/>
          <w:szCs w:val="24"/>
          <w:lang w:val="en-GB"/>
        </w:rPr>
        <w:t xml:space="preserve">out that any </w:t>
      </w:r>
      <w:r w:rsidR="008B6929">
        <w:rPr>
          <w:rFonts w:ascii="Times New Roman" w:eastAsia="Calibri" w:hAnsi="Times New Roman" w:cs="Times New Roman"/>
          <w:sz w:val="24"/>
          <w:szCs w:val="24"/>
          <w:lang w:val="en-GB"/>
        </w:rPr>
        <w:t xml:space="preserve">one </w:t>
      </w:r>
      <w:r w:rsidR="00740ABA">
        <w:rPr>
          <w:rFonts w:ascii="Times New Roman" w:eastAsia="Calibri" w:hAnsi="Times New Roman" w:cs="Times New Roman"/>
          <w:sz w:val="24"/>
          <w:szCs w:val="24"/>
          <w:lang w:val="en-GB"/>
        </w:rPr>
        <w:t xml:space="preserve">of the four accused persons could have acted on their own </w:t>
      </w:r>
      <w:r w:rsidR="00483345">
        <w:rPr>
          <w:rFonts w:ascii="Times New Roman" w:eastAsia="Calibri" w:hAnsi="Times New Roman" w:cs="Times New Roman"/>
          <w:sz w:val="24"/>
          <w:szCs w:val="24"/>
          <w:lang w:val="en-GB"/>
        </w:rPr>
        <w:t>without the</w:t>
      </w:r>
      <w:r w:rsidR="00740ABA">
        <w:rPr>
          <w:rFonts w:ascii="Times New Roman" w:eastAsia="Calibri" w:hAnsi="Times New Roman" w:cs="Times New Roman"/>
          <w:sz w:val="24"/>
          <w:szCs w:val="24"/>
          <w:lang w:val="en-GB"/>
        </w:rPr>
        <w:t xml:space="preserve"> knowledge of the others. In </w:t>
      </w:r>
      <w:r w:rsidR="00483345">
        <w:rPr>
          <w:rFonts w:ascii="Times New Roman" w:eastAsia="Calibri" w:hAnsi="Times New Roman" w:cs="Times New Roman"/>
          <w:sz w:val="24"/>
          <w:szCs w:val="24"/>
          <w:lang w:val="en-GB"/>
        </w:rPr>
        <w:t>fact,</w:t>
      </w:r>
      <w:r w:rsidR="00740ABA">
        <w:rPr>
          <w:rFonts w:ascii="Times New Roman" w:eastAsia="Calibri" w:hAnsi="Times New Roman" w:cs="Times New Roman"/>
          <w:sz w:val="24"/>
          <w:szCs w:val="24"/>
          <w:lang w:val="en-GB"/>
        </w:rPr>
        <w:t xml:space="preserve"> this is what each of the accused persons stated in their evidence, both in chief and under cross examination.</w:t>
      </w:r>
    </w:p>
    <w:p w:rsidR="00740ABA" w:rsidRDefault="00740ABA" w:rsidP="006646AE">
      <w:pPr>
        <w:spacing w:after="0" w:line="360" w:lineRule="auto"/>
        <w:ind w:firstLine="14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The evidence as recorded</w:t>
      </w:r>
      <w:r w:rsidR="00345075">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 contrary to the finding</w:t>
      </w:r>
      <w:r w:rsidR="00C01FC9">
        <w:rPr>
          <w:rFonts w:ascii="Times New Roman" w:eastAsia="Calibri" w:hAnsi="Times New Roman" w:cs="Times New Roman"/>
          <w:sz w:val="24"/>
          <w:szCs w:val="24"/>
          <w:lang w:val="en-GB"/>
        </w:rPr>
        <w:t>s</w:t>
      </w:r>
      <w:r>
        <w:rPr>
          <w:rFonts w:ascii="Times New Roman" w:eastAsia="Calibri" w:hAnsi="Times New Roman" w:cs="Times New Roman"/>
          <w:sz w:val="24"/>
          <w:szCs w:val="24"/>
          <w:lang w:val="en-GB"/>
        </w:rPr>
        <w:t xml:space="preserve"> of the court a quo does not show that any of the state witnesses gave credible evidence on the actual theft itself. All of them were </w:t>
      </w:r>
      <w:r>
        <w:rPr>
          <w:rFonts w:ascii="Times New Roman" w:eastAsia="Calibri" w:hAnsi="Times New Roman" w:cs="Times New Roman"/>
          <w:sz w:val="24"/>
          <w:szCs w:val="24"/>
          <w:lang w:val="en-GB"/>
        </w:rPr>
        <w:lastRenderedPageBreak/>
        <w:t>quite clear that they did not know how the ETDs were removed from the safe.</w:t>
      </w:r>
      <w:r w:rsidR="00345075">
        <w:rPr>
          <w:rFonts w:ascii="Times New Roman" w:eastAsia="Calibri" w:hAnsi="Times New Roman" w:cs="Times New Roman"/>
          <w:sz w:val="24"/>
          <w:szCs w:val="24"/>
          <w:lang w:val="en-GB"/>
        </w:rPr>
        <w:t xml:space="preserve"> Even if it is accepted, that</w:t>
      </w:r>
      <w:r w:rsidR="008503CD">
        <w:rPr>
          <w:rFonts w:ascii="Times New Roman" w:eastAsia="Calibri" w:hAnsi="Times New Roman" w:cs="Times New Roman"/>
          <w:sz w:val="24"/>
          <w:szCs w:val="24"/>
          <w:lang w:val="en-GB"/>
        </w:rPr>
        <w:t xml:space="preserve"> the</w:t>
      </w:r>
      <w:r w:rsidR="00345075">
        <w:rPr>
          <w:rFonts w:ascii="Times New Roman" w:eastAsia="Calibri" w:hAnsi="Times New Roman" w:cs="Times New Roman"/>
          <w:sz w:val="24"/>
          <w:szCs w:val="24"/>
          <w:lang w:val="en-GB"/>
        </w:rPr>
        <w:t xml:space="preserve"> </w:t>
      </w:r>
      <w:r w:rsidR="008503CD">
        <w:rPr>
          <w:rFonts w:ascii="Times New Roman" w:eastAsia="Calibri" w:hAnsi="Times New Roman" w:cs="Times New Roman"/>
          <w:sz w:val="24"/>
          <w:szCs w:val="24"/>
          <w:lang w:val="en-GB"/>
        </w:rPr>
        <w:t>three</w:t>
      </w:r>
      <w:r w:rsidR="00345075">
        <w:rPr>
          <w:rFonts w:ascii="Times New Roman" w:eastAsia="Calibri" w:hAnsi="Times New Roman" w:cs="Times New Roman"/>
          <w:sz w:val="24"/>
          <w:szCs w:val="24"/>
          <w:lang w:val="en-GB"/>
        </w:rPr>
        <w:t xml:space="preserve"> state witnesses were credible in so far as their individual accounts to court were concerned (as the court a quo seemed to suggest), that on its o</w:t>
      </w:r>
      <w:r w:rsidR="007D65AB">
        <w:rPr>
          <w:rFonts w:ascii="Times New Roman" w:eastAsia="Calibri" w:hAnsi="Times New Roman" w:cs="Times New Roman"/>
          <w:sz w:val="24"/>
          <w:szCs w:val="24"/>
          <w:lang w:val="en-GB"/>
        </w:rPr>
        <w:t>wn would not have been decisive because this was a case which required more than the credibility of the State witnesses to secure a conviction.</w:t>
      </w:r>
      <w:r w:rsidR="00B669CA">
        <w:rPr>
          <w:rFonts w:ascii="Times New Roman" w:eastAsia="Calibri" w:hAnsi="Times New Roman" w:cs="Times New Roman"/>
          <w:sz w:val="24"/>
          <w:szCs w:val="24"/>
          <w:lang w:val="en-GB"/>
        </w:rPr>
        <w:t xml:space="preserve"> Even circumstantial evidence could not possibly </w:t>
      </w:r>
      <w:r w:rsidR="008503CD">
        <w:rPr>
          <w:rFonts w:ascii="Times New Roman" w:eastAsia="Calibri" w:hAnsi="Times New Roman" w:cs="Times New Roman"/>
          <w:sz w:val="24"/>
          <w:szCs w:val="24"/>
          <w:lang w:val="en-GB"/>
        </w:rPr>
        <w:t>have been relied upon</w:t>
      </w:r>
      <w:r w:rsidR="00B669CA">
        <w:rPr>
          <w:rFonts w:ascii="Times New Roman" w:eastAsia="Calibri" w:hAnsi="Times New Roman" w:cs="Times New Roman"/>
          <w:sz w:val="24"/>
          <w:szCs w:val="24"/>
          <w:lang w:val="en-GB"/>
        </w:rPr>
        <w:t xml:space="preserve"> to convict the appellant and her colleague</w:t>
      </w:r>
      <w:r w:rsidR="008503CD">
        <w:rPr>
          <w:rFonts w:ascii="Times New Roman" w:eastAsia="Calibri" w:hAnsi="Times New Roman" w:cs="Times New Roman"/>
          <w:sz w:val="24"/>
          <w:szCs w:val="24"/>
          <w:lang w:val="en-GB"/>
        </w:rPr>
        <w:t xml:space="preserve">s because of its insufficiency given the </w:t>
      </w:r>
      <w:r w:rsidR="00AE32C3">
        <w:rPr>
          <w:rFonts w:ascii="Times New Roman" w:eastAsia="Calibri" w:hAnsi="Times New Roman" w:cs="Times New Roman"/>
          <w:sz w:val="24"/>
          <w:szCs w:val="24"/>
          <w:lang w:val="en-GB"/>
        </w:rPr>
        <w:t>circumstances of</w:t>
      </w:r>
      <w:r w:rsidR="008503CD">
        <w:rPr>
          <w:rFonts w:ascii="Times New Roman" w:eastAsia="Calibri" w:hAnsi="Times New Roman" w:cs="Times New Roman"/>
          <w:sz w:val="24"/>
          <w:szCs w:val="24"/>
          <w:lang w:val="en-GB"/>
        </w:rPr>
        <w:t xml:space="preserve"> this case. See the case of </w:t>
      </w:r>
      <w:r w:rsidR="00B669CA">
        <w:rPr>
          <w:rFonts w:ascii="Times New Roman" w:eastAsia="Calibri" w:hAnsi="Times New Roman" w:cs="Times New Roman"/>
          <w:sz w:val="24"/>
          <w:szCs w:val="24"/>
          <w:lang w:val="en-GB"/>
        </w:rPr>
        <w:t>R v Blom</w:t>
      </w:r>
      <w:r w:rsidR="008503CD">
        <w:rPr>
          <w:rFonts w:ascii="Times New Roman" w:eastAsia="Calibri" w:hAnsi="Times New Roman" w:cs="Times New Roman"/>
          <w:sz w:val="24"/>
          <w:szCs w:val="24"/>
          <w:lang w:val="en-GB"/>
        </w:rPr>
        <w:t>.</w:t>
      </w:r>
      <w:r w:rsidR="00B669CA">
        <w:rPr>
          <w:rStyle w:val="FootnoteReference"/>
          <w:rFonts w:ascii="Times New Roman" w:eastAsia="Calibri" w:hAnsi="Times New Roman" w:cs="Times New Roman"/>
          <w:sz w:val="24"/>
          <w:szCs w:val="24"/>
          <w:lang w:val="en-GB"/>
        </w:rPr>
        <w:footnoteReference w:id="4"/>
      </w:r>
    </w:p>
    <w:p w:rsidR="00740ABA" w:rsidRDefault="00740ABA" w:rsidP="006646AE">
      <w:pPr>
        <w:spacing w:after="0" w:line="360" w:lineRule="auto"/>
        <w:ind w:firstLine="14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The head of the investigation team that </w:t>
      </w:r>
      <w:r w:rsidR="007B374D">
        <w:rPr>
          <w:rFonts w:ascii="Times New Roman" w:eastAsia="Calibri" w:hAnsi="Times New Roman" w:cs="Times New Roman"/>
          <w:sz w:val="24"/>
          <w:szCs w:val="24"/>
          <w:lang w:val="en-GB"/>
        </w:rPr>
        <w:t>recovered</w:t>
      </w:r>
      <w:r>
        <w:rPr>
          <w:rFonts w:ascii="Times New Roman" w:eastAsia="Calibri" w:hAnsi="Times New Roman" w:cs="Times New Roman"/>
          <w:sz w:val="24"/>
          <w:szCs w:val="24"/>
          <w:lang w:val="en-GB"/>
        </w:rPr>
        <w:t xml:space="preserve"> the ETDs from </w:t>
      </w:r>
      <w:r w:rsidR="007B374D">
        <w:rPr>
          <w:rFonts w:ascii="Times New Roman" w:eastAsia="Calibri" w:hAnsi="Times New Roman" w:cs="Times New Roman"/>
          <w:sz w:val="24"/>
          <w:szCs w:val="24"/>
          <w:lang w:val="en-GB"/>
        </w:rPr>
        <w:t>various</w:t>
      </w:r>
      <w:r>
        <w:rPr>
          <w:rFonts w:ascii="Times New Roman" w:eastAsia="Calibri" w:hAnsi="Times New Roman" w:cs="Times New Roman"/>
          <w:sz w:val="24"/>
          <w:szCs w:val="24"/>
          <w:lang w:val="en-GB"/>
        </w:rPr>
        <w:t xml:space="preserve"> border posts co</w:t>
      </w:r>
      <w:r w:rsidR="00345075">
        <w:rPr>
          <w:rFonts w:ascii="Times New Roman" w:eastAsia="Calibri" w:hAnsi="Times New Roman" w:cs="Times New Roman"/>
          <w:sz w:val="24"/>
          <w:szCs w:val="24"/>
          <w:lang w:val="en-GB"/>
        </w:rPr>
        <w:t>u</w:t>
      </w:r>
      <w:r>
        <w:rPr>
          <w:rFonts w:ascii="Times New Roman" w:eastAsia="Calibri" w:hAnsi="Times New Roman" w:cs="Times New Roman"/>
          <w:sz w:val="24"/>
          <w:szCs w:val="24"/>
          <w:lang w:val="en-GB"/>
        </w:rPr>
        <w:t xml:space="preserve">ld have done better by finding out from the </w:t>
      </w:r>
      <w:r w:rsidR="007B374D">
        <w:rPr>
          <w:rFonts w:ascii="Times New Roman" w:eastAsia="Calibri" w:hAnsi="Times New Roman" w:cs="Times New Roman"/>
          <w:sz w:val="24"/>
          <w:szCs w:val="24"/>
          <w:lang w:val="en-GB"/>
        </w:rPr>
        <w:t>holders</w:t>
      </w:r>
      <w:r>
        <w:rPr>
          <w:rFonts w:ascii="Times New Roman" w:eastAsia="Calibri" w:hAnsi="Times New Roman" w:cs="Times New Roman"/>
          <w:sz w:val="24"/>
          <w:szCs w:val="24"/>
          <w:lang w:val="en-GB"/>
        </w:rPr>
        <w:t xml:space="preserve"> of the ETD where they had obtained the </w:t>
      </w:r>
      <w:r w:rsidR="007B374D">
        <w:rPr>
          <w:rFonts w:ascii="Times New Roman" w:eastAsia="Calibri" w:hAnsi="Times New Roman" w:cs="Times New Roman"/>
          <w:sz w:val="24"/>
          <w:szCs w:val="24"/>
          <w:lang w:val="en-GB"/>
        </w:rPr>
        <w:t>documents</w:t>
      </w:r>
      <w:r>
        <w:rPr>
          <w:rFonts w:ascii="Times New Roman" w:eastAsia="Calibri" w:hAnsi="Times New Roman" w:cs="Times New Roman"/>
          <w:sz w:val="24"/>
          <w:szCs w:val="24"/>
          <w:lang w:val="en-GB"/>
        </w:rPr>
        <w:t xml:space="preserve"> from. Surprisingly, not a single beneficiary of the ETDs was called to testify. For </w:t>
      </w:r>
      <w:r w:rsidR="007B374D">
        <w:rPr>
          <w:rFonts w:ascii="Times New Roman" w:eastAsia="Calibri" w:hAnsi="Times New Roman" w:cs="Times New Roman"/>
          <w:sz w:val="24"/>
          <w:szCs w:val="24"/>
          <w:lang w:val="en-GB"/>
        </w:rPr>
        <w:t>example,</w:t>
      </w:r>
      <w:r>
        <w:rPr>
          <w:rFonts w:ascii="Times New Roman" w:eastAsia="Calibri" w:hAnsi="Times New Roman" w:cs="Times New Roman"/>
          <w:sz w:val="24"/>
          <w:szCs w:val="24"/>
          <w:lang w:val="en-GB"/>
        </w:rPr>
        <w:t xml:space="preserve"> there is no coge</w:t>
      </w:r>
      <w:r w:rsidR="00B669CA">
        <w:rPr>
          <w:rFonts w:ascii="Times New Roman" w:eastAsia="Calibri" w:hAnsi="Times New Roman" w:cs="Times New Roman"/>
          <w:sz w:val="24"/>
          <w:szCs w:val="24"/>
          <w:lang w:val="en-GB"/>
        </w:rPr>
        <w:t>nt reason why Sheila Zinhu (p82</w:t>
      </w:r>
      <w:r>
        <w:rPr>
          <w:rFonts w:ascii="Times New Roman" w:eastAsia="Calibri" w:hAnsi="Times New Roman" w:cs="Times New Roman"/>
          <w:sz w:val="24"/>
          <w:szCs w:val="24"/>
          <w:lang w:val="en-GB"/>
        </w:rPr>
        <w:t xml:space="preserve"> </w:t>
      </w:r>
      <w:r w:rsidR="007D65AB">
        <w:rPr>
          <w:rFonts w:ascii="Times New Roman" w:eastAsia="Calibri" w:hAnsi="Times New Roman" w:cs="Times New Roman"/>
          <w:sz w:val="24"/>
          <w:szCs w:val="24"/>
          <w:lang w:val="en-GB"/>
        </w:rPr>
        <w:t>of record</w:t>
      </w:r>
      <w:r w:rsidR="00B669CA">
        <w:rPr>
          <w:rFonts w:ascii="Times New Roman" w:eastAsia="Calibri" w:hAnsi="Times New Roman" w:cs="Times New Roman"/>
          <w:sz w:val="24"/>
          <w:szCs w:val="24"/>
          <w:lang w:val="en-GB"/>
        </w:rPr>
        <w:t>)</w:t>
      </w:r>
      <w:r w:rsidR="007D65AB">
        <w:rPr>
          <w:rFonts w:ascii="Times New Roman" w:eastAsia="Calibri" w:hAnsi="Times New Roman" w:cs="Times New Roman"/>
          <w:sz w:val="24"/>
          <w:szCs w:val="24"/>
          <w:lang w:val="en-GB"/>
        </w:rPr>
        <w:t xml:space="preserve"> </w:t>
      </w:r>
      <w:r w:rsidR="00B669CA">
        <w:rPr>
          <w:rFonts w:ascii="Times New Roman" w:eastAsia="Calibri" w:hAnsi="Times New Roman" w:cs="Times New Roman"/>
          <w:sz w:val="24"/>
          <w:szCs w:val="24"/>
          <w:lang w:val="en-GB"/>
        </w:rPr>
        <w:t>or Zivhu (p83</w:t>
      </w:r>
      <w:r>
        <w:rPr>
          <w:rFonts w:ascii="Times New Roman" w:eastAsia="Calibri" w:hAnsi="Times New Roman" w:cs="Times New Roman"/>
          <w:sz w:val="24"/>
          <w:szCs w:val="24"/>
          <w:lang w:val="en-GB"/>
        </w:rPr>
        <w:t xml:space="preserve"> </w:t>
      </w:r>
      <w:r w:rsidR="00B669CA">
        <w:rPr>
          <w:rFonts w:ascii="Times New Roman" w:eastAsia="Calibri" w:hAnsi="Times New Roman" w:cs="Times New Roman"/>
          <w:sz w:val="24"/>
          <w:szCs w:val="24"/>
          <w:lang w:val="en-GB"/>
        </w:rPr>
        <w:t>of</w:t>
      </w:r>
      <w:r w:rsidR="007D65AB">
        <w:rPr>
          <w:rFonts w:ascii="Times New Roman" w:eastAsia="Calibri" w:hAnsi="Times New Roman" w:cs="Times New Roman"/>
          <w:sz w:val="24"/>
          <w:szCs w:val="24"/>
          <w:lang w:val="en-GB"/>
        </w:rPr>
        <w:t xml:space="preserve"> record</w:t>
      </w:r>
      <w:r w:rsidR="00B669CA">
        <w:rPr>
          <w:rFonts w:ascii="Times New Roman" w:eastAsia="Calibri" w:hAnsi="Times New Roman" w:cs="Times New Roman"/>
          <w:sz w:val="24"/>
          <w:szCs w:val="24"/>
          <w:lang w:val="en-GB"/>
        </w:rPr>
        <w:t>)</w:t>
      </w:r>
      <w:r w:rsidR="007263D8">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who was found in possession of one of the ETDs was not called as a witness to explain who actually gave her the ETD.</w:t>
      </w:r>
      <w:r w:rsidR="00345075">
        <w:rPr>
          <w:rFonts w:ascii="Times New Roman" w:eastAsia="Calibri" w:hAnsi="Times New Roman" w:cs="Times New Roman"/>
          <w:sz w:val="24"/>
          <w:szCs w:val="24"/>
          <w:lang w:val="en-GB"/>
        </w:rPr>
        <w:t xml:space="preserve"> If this had been done</w:t>
      </w:r>
      <w:r w:rsidR="0068067A">
        <w:rPr>
          <w:rFonts w:ascii="Times New Roman" w:eastAsia="Calibri" w:hAnsi="Times New Roman" w:cs="Times New Roman"/>
          <w:sz w:val="24"/>
          <w:szCs w:val="24"/>
          <w:lang w:val="en-GB"/>
        </w:rPr>
        <w:t>,</w:t>
      </w:r>
      <w:r w:rsidR="00345075">
        <w:rPr>
          <w:rFonts w:ascii="Times New Roman" w:eastAsia="Calibri" w:hAnsi="Times New Roman" w:cs="Times New Roman"/>
          <w:sz w:val="24"/>
          <w:szCs w:val="24"/>
          <w:lang w:val="en-GB"/>
        </w:rPr>
        <w:t xml:space="preserve"> a clue to the theft of the ETDs could probably have been established beyond a reasonable doubt.</w:t>
      </w:r>
    </w:p>
    <w:p w:rsidR="00E54284" w:rsidRDefault="00E54284" w:rsidP="00E54284">
      <w:pPr>
        <w:spacing w:after="0" w:line="480" w:lineRule="auto"/>
        <w:ind w:firstLine="1440"/>
        <w:jc w:val="both"/>
        <w:rPr>
          <w:rFonts w:ascii="Times New Roman" w:eastAsia="Calibri" w:hAnsi="Times New Roman" w:cs="Times New Roman"/>
          <w:sz w:val="24"/>
          <w:szCs w:val="24"/>
          <w:lang w:val="en-GB"/>
        </w:rPr>
      </w:pPr>
    </w:p>
    <w:p w:rsidR="00740ABA" w:rsidRDefault="00740ABA" w:rsidP="006646AE">
      <w:pPr>
        <w:spacing w:after="0" w:line="360" w:lineRule="auto"/>
        <w:ind w:firstLine="14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The appel</w:t>
      </w:r>
      <w:r w:rsidR="007B374D">
        <w:rPr>
          <w:rFonts w:ascii="Times New Roman" w:eastAsia="Calibri" w:hAnsi="Times New Roman" w:cs="Times New Roman"/>
          <w:sz w:val="24"/>
          <w:szCs w:val="24"/>
          <w:lang w:val="en-GB"/>
        </w:rPr>
        <w:t xml:space="preserve">lant was adamant throughout the proceedings that she did not steal or take the ETDs and that she did not know how the documents ended up in underserving hands. It is not true that her position was unreasonable given the </w:t>
      </w:r>
      <w:r w:rsidR="00E54284">
        <w:rPr>
          <w:rFonts w:ascii="Times New Roman" w:eastAsia="Calibri" w:hAnsi="Times New Roman" w:cs="Times New Roman"/>
          <w:sz w:val="24"/>
          <w:szCs w:val="24"/>
          <w:lang w:val="en-GB"/>
        </w:rPr>
        <w:t>awkward</w:t>
      </w:r>
      <w:r w:rsidR="007B374D">
        <w:rPr>
          <w:rFonts w:ascii="Times New Roman" w:eastAsia="Calibri" w:hAnsi="Times New Roman" w:cs="Times New Roman"/>
          <w:sz w:val="24"/>
          <w:szCs w:val="24"/>
          <w:lang w:val="en-GB"/>
        </w:rPr>
        <w:t xml:space="preserve"> set up of the account</w:t>
      </w:r>
      <w:r w:rsidR="00431C22">
        <w:rPr>
          <w:rFonts w:ascii="Times New Roman" w:eastAsia="Calibri" w:hAnsi="Times New Roman" w:cs="Times New Roman"/>
          <w:sz w:val="24"/>
          <w:szCs w:val="24"/>
          <w:lang w:val="en-GB"/>
        </w:rPr>
        <w:t>s</w:t>
      </w:r>
      <w:r w:rsidR="007B374D">
        <w:rPr>
          <w:rFonts w:ascii="Times New Roman" w:eastAsia="Calibri" w:hAnsi="Times New Roman" w:cs="Times New Roman"/>
          <w:sz w:val="24"/>
          <w:szCs w:val="24"/>
          <w:lang w:val="en-GB"/>
        </w:rPr>
        <w:t xml:space="preserve"> office where any</w:t>
      </w:r>
      <w:r w:rsidR="00431C22">
        <w:rPr>
          <w:rFonts w:ascii="Times New Roman" w:eastAsia="Calibri" w:hAnsi="Times New Roman" w:cs="Times New Roman"/>
          <w:sz w:val="24"/>
          <w:szCs w:val="24"/>
          <w:lang w:val="en-GB"/>
        </w:rPr>
        <w:t xml:space="preserve"> </w:t>
      </w:r>
      <w:r w:rsidR="007B374D">
        <w:rPr>
          <w:rFonts w:ascii="Times New Roman" w:eastAsia="Calibri" w:hAnsi="Times New Roman" w:cs="Times New Roman"/>
          <w:sz w:val="24"/>
          <w:szCs w:val="24"/>
          <w:lang w:val="en-GB"/>
        </w:rPr>
        <w:t xml:space="preserve">one of the four </w:t>
      </w:r>
      <w:r w:rsidR="00345075">
        <w:rPr>
          <w:rFonts w:ascii="Times New Roman" w:eastAsia="Calibri" w:hAnsi="Times New Roman" w:cs="Times New Roman"/>
          <w:sz w:val="24"/>
          <w:szCs w:val="24"/>
          <w:lang w:val="en-GB"/>
        </w:rPr>
        <w:t xml:space="preserve">accused persons </w:t>
      </w:r>
      <w:r w:rsidR="007B374D">
        <w:rPr>
          <w:rFonts w:ascii="Times New Roman" w:eastAsia="Calibri" w:hAnsi="Times New Roman" w:cs="Times New Roman"/>
          <w:sz w:val="24"/>
          <w:szCs w:val="24"/>
          <w:lang w:val="en-GB"/>
        </w:rPr>
        <w:t>had uncontrolled access to the safe.</w:t>
      </w:r>
    </w:p>
    <w:p w:rsidR="00E54284" w:rsidRDefault="00E54284" w:rsidP="006646AE">
      <w:pPr>
        <w:spacing w:after="0" w:line="360" w:lineRule="auto"/>
        <w:ind w:firstLine="1440"/>
        <w:jc w:val="both"/>
        <w:rPr>
          <w:rFonts w:ascii="Times New Roman" w:eastAsia="Calibri" w:hAnsi="Times New Roman" w:cs="Times New Roman"/>
          <w:sz w:val="24"/>
          <w:szCs w:val="24"/>
          <w:lang w:val="en-GB"/>
        </w:rPr>
      </w:pPr>
    </w:p>
    <w:p w:rsidR="007B374D" w:rsidRDefault="007B374D" w:rsidP="006646AE">
      <w:pPr>
        <w:spacing w:after="0" w:line="360" w:lineRule="auto"/>
        <w:ind w:firstLine="14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The observation made by the state counsel that there was chaos in the accounts office was correct. However, this evidence cannot be used as the basis for criminal liability. It should be remembered that the appellant</w:t>
      </w:r>
      <w:r w:rsidR="00345075">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 a holder of a BA degree in African </w:t>
      </w:r>
      <w:r w:rsidR="00345075">
        <w:rPr>
          <w:rFonts w:ascii="Times New Roman" w:eastAsia="Calibri" w:hAnsi="Times New Roman" w:cs="Times New Roman"/>
          <w:sz w:val="24"/>
          <w:szCs w:val="24"/>
          <w:lang w:val="en-GB"/>
        </w:rPr>
        <w:t>Languages and C</w:t>
      </w:r>
      <w:r>
        <w:rPr>
          <w:rFonts w:ascii="Times New Roman" w:eastAsia="Calibri" w:hAnsi="Times New Roman" w:cs="Times New Roman"/>
          <w:sz w:val="24"/>
          <w:szCs w:val="24"/>
          <w:lang w:val="en-GB"/>
        </w:rPr>
        <w:t>ulture</w:t>
      </w:r>
      <w:r w:rsidR="00345075">
        <w:rPr>
          <w:rFonts w:ascii="Times New Roman" w:eastAsia="Calibri" w:hAnsi="Times New Roman" w:cs="Times New Roman"/>
          <w:sz w:val="24"/>
          <w:szCs w:val="24"/>
          <w:lang w:val="en-GB"/>
        </w:rPr>
        <w:t xml:space="preserve"> made it abundantly clear in her</w:t>
      </w:r>
      <w:r>
        <w:rPr>
          <w:rFonts w:ascii="Times New Roman" w:eastAsia="Calibri" w:hAnsi="Times New Roman" w:cs="Times New Roman"/>
          <w:sz w:val="24"/>
          <w:szCs w:val="24"/>
          <w:lang w:val="en-GB"/>
        </w:rPr>
        <w:t xml:space="preserve"> testimony that she had not been properly trained in accounts despite working in </w:t>
      </w:r>
      <w:r w:rsidR="00345075">
        <w:rPr>
          <w:rFonts w:ascii="Times New Roman" w:eastAsia="Calibri" w:hAnsi="Times New Roman" w:cs="Times New Roman"/>
          <w:sz w:val="24"/>
          <w:szCs w:val="24"/>
          <w:lang w:val="en-GB"/>
        </w:rPr>
        <w:t>the</w:t>
      </w:r>
      <w:r>
        <w:rPr>
          <w:rFonts w:ascii="Times New Roman" w:eastAsia="Calibri" w:hAnsi="Times New Roman" w:cs="Times New Roman"/>
          <w:sz w:val="24"/>
          <w:szCs w:val="24"/>
          <w:lang w:val="en-GB"/>
        </w:rPr>
        <w:t xml:space="preserve"> accounts office. The appellant said she had no idea what Treasury Instruction Handbook was all about. Her evidence was not controverted.</w:t>
      </w:r>
    </w:p>
    <w:p w:rsidR="00E54284" w:rsidRDefault="00E54284" w:rsidP="006646AE">
      <w:pPr>
        <w:spacing w:after="0" w:line="360" w:lineRule="auto"/>
        <w:ind w:firstLine="1440"/>
        <w:jc w:val="both"/>
        <w:rPr>
          <w:rFonts w:ascii="Times New Roman" w:eastAsia="Calibri" w:hAnsi="Times New Roman" w:cs="Times New Roman"/>
          <w:sz w:val="24"/>
          <w:szCs w:val="24"/>
          <w:lang w:val="en-GB"/>
        </w:rPr>
      </w:pPr>
    </w:p>
    <w:p w:rsidR="007B374D" w:rsidRDefault="007B374D" w:rsidP="006646AE">
      <w:pPr>
        <w:spacing w:after="0" w:line="360" w:lineRule="auto"/>
        <w:ind w:firstLine="14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The second accused’s testimony was that he was a driver by profession and that most of the times he was the one assigned to go and collect the office requirements from Harare. He too</w:t>
      </w:r>
      <w:r w:rsidR="00345075">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 had to do accounting duties with no training or supervision. It would appear to me that the fact that exhibit </w:t>
      </w:r>
      <w:r w:rsidR="00345075">
        <w:rPr>
          <w:rFonts w:ascii="Times New Roman" w:eastAsia="Calibri" w:hAnsi="Times New Roman" w:cs="Times New Roman"/>
          <w:sz w:val="24"/>
          <w:szCs w:val="24"/>
          <w:lang w:val="en-GB"/>
        </w:rPr>
        <w:t>4</w:t>
      </w:r>
      <w:r>
        <w:rPr>
          <w:rFonts w:ascii="Times New Roman" w:eastAsia="Calibri" w:hAnsi="Times New Roman" w:cs="Times New Roman"/>
          <w:sz w:val="24"/>
          <w:szCs w:val="24"/>
          <w:lang w:val="en-GB"/>
        </w:rPr>
        <w:t xml:space="preserve"> had numerous gaps in it – like absence of signatures, </w:t>
      </w:r>
      <w:r w:rsidR="002E4514">
        <w:rPr>
          <w:rFonts w:ascii="Times New Roman" w:eastAsia="Calibri" w:hAnsi="Times New Roman" w:cs="Times New Roman"/>
          <w:sz w:val="24"/>
          <w:szCs w:val="24"/>
          <w:lang w:val="en-GB"/>
        </w:rPr>
        <w:t>too many</w:t>
      </w:r>
      <w:r>
        <w:rPr>
          <w:rFonts w:ascii="Times New Roman" w:eastAsia="Calibri" w:hAnsi="Times New Roman" w:cs="Times New Roman"/>
          <w:sz w:val="24"/>
          <w:szCs w:val="24"/>
          <w:lang w:val="en-GB"/>
        </w:rPr>
        <w:t xml:space="preserve"> cancelled entries</w:t>
      </w:r>
      <w:r w:rsidR="002E4514">
        <w:rPr>
          <w:rFonts w:ascii="Times New Roman" w:eastAsia="Calibri" w:hAnsi="Times New Roman" w:cs="Times New Roman"/>
          <w:sz w:val="24"/>
          <w:szCs w:val="24"/>
          <w:lang w:val="en-GB"/>
        </w:rPr>
        <w:t>, spoke to dereliction of duty on the part of the Provincial Registrar who ought to have been supervising and managing this office. There is no doubt in my mind</w:t>
      </w:r>
      <w:r w:rsidR="00345075">
        <w:rPr>
          <w:rFonts w:ascii="Times New Roman" w:eastAsia="Calibri" w:hAnsi="Times New Roman" w:cs="Times New Roman"/>
          <w:sz w:val="24"/>
          <w:szCs w:val="24"/>
          <w:lang w:val="en-GB"/>
        </w:rPr>
        <w:t xml:space="preserve"> that</w:t>
      </w:r>
      <w:r w:rsidR="002E4514">
        <w:rPr>
          <w:rFonts w:ascii="Times New Roman" w:eastAsia="Calibri" w:hAnsi="Times New Roman" w:cs="Times New Roman"/>
          <w:sz w:val="24"/>
          <w:szCs w:val="24"/>
          <w:lang w:val="en-GB"/>
        </w:rPr>
        <w:t xml:space="preserve"> if there was basic supervision or routine checking of exhibit 4 and other related exhibits the disappearance of the ETDs could have been detected in time and corrective measures taken.</w:t>
      </w:r>
    </w:p>
    <w:p w:rsidR="00E54284" w:rsidRDefault="00E54284" w:rsidP="006646AE">
      <w:pPr>
        <w:spacing w:after="0" w:line="360" w:lineRule="auto"/>
        <w:ind w:firstLine="1440"/>
        <w:jc w:val="both"/>
        <w:rPr>
          <w:rFonts w:ascii="Times New Roman" w:eastAsia="Calibri" w:hAnsi="Times New Roman" w:cs="Times New Roman"/>
          <w:sz w:val="24"/>
          <w:szCs w:val="24"/>
          <w:lang w:val="en-GB"/>
        </w:rPr>
      </w:pPr>
    </w:p>
    <w:p w:rsidR="002E4514" w:rsidRDefault="002E4514" w:rsidP="006646AE">
      <w:pPr>
        <w:spacing w:after="0" w:line="360" w:lineRule="auto"/>
        <w:ind w:firstLine="14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I am more than satisfied that the appellant and her co-accused ought not to have been convicted in this case. There was simply no evidence to support the conviction.</w:t>
      </w:r>
    </w:p>
    <w:p w:rsidR="00E54284" w:rsidRDefault="00E54284" w:rsidP="006646AE">
      <w:pPr>
        <w:spacing w:after="0" w:line="360" w:lineRule="auto"/>
        <w:ind w:firstLine="1440"/>
        <w:jc w:val="both"/>
        <w:rPr>
          <w:rFonts w:ascii="Times New Roman" w:eastAsia="Calibri" w:hAnsi="Times New Roman" w:cs="Times New Roman"/>
          <w:sz w:val="24"/>
          <w:szCs w:val="24"/>
          <w:lang w:val="en-GB"/>
        </w:rPr>
      </w:pPr>
    </w:p>
    <w:p w:rsidR="002E4514" w:rsidRDefault="002E4514" w:rsidP="006646AE">
      <w:pPr>
        <w:spacing w:after="0" w:line="360" w:lineRule="auto"/>
        <w:ind w:firstLine="14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Having made this finding it is not </w:t>
      </w:r>
      <w:r w:rsidR="00E54284">
        <w:rPr>
          <w:rFonts w:ascii="Times New Roman" w:eastAsia="Calibri" w:hAnsi="Times New Roman" w:cs="Times New Roman"/>
          <w:sz w:val="24"/>
          <w:szCs w:val="24"/>
          <w:lang w:val="en-GB"/>
        </w:rPr>
        <w:t>necessary</w:t>
      </w:r>
      <w:r>
        <w:rPr>
          <w:rFonts w:ascii="Times New Roman" w:eastAsia="Calibri" w:hAnsi="Times New Roman" w:cs="Times New Roman"/>
          <w:sz w:val="24"/>
          <w:szCs w:val="24"/>
          <w:lang w:val="en-GB"/>
        </w:rPr>
        <w:t xml:space="preserve"> to consider sentence.</w:t>
      </w:r>
    </w:p>
    <w:p w:rsidR="002E4514" w:rsidRDefault="002E4514" w:rsidP="006646AE">
      <w:pPr>
        <w:spacing w:after="0" w:line="360" w:lineRule="auto"/>
        <w:ind w:left="720" w:firstLine="72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It is ordered that:</w:t>
      </w:r>
    </w:p>
    <w:p w:rsidR="002E4514" w:rsidRDefault="002E4514" w:rsidP="006646AE">
      <w:pPr>
        <w:spacing w:after="0" w:line="360" w:lineRule="auto"/>
        <w:ind w:left="720" w:firstLine="72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1. </w:t>
      </w:r>
      <w:r>
        <w:rPr>
          <w:rFonts w:ascii="Times New Roman" w:eastAsia="Calibri" w:hAnsi="Times New Roman" w:cs="Times New Roman"/>
          <w:sz w:val="24"/>
          <w:szCs w:val="24"/>
          <w:lang w:val="en-GB"/>
        </w:rPr>
        <w:tab/>
        <w:t>The appeal be and is hereby upheld.</w:t>
      </w:r>
    </w:p>
    <w:p w:rsidR="002E4514" w:rsidRDefault="002E4514" w:rsidP="006646AE">
      <w:pPr>
        <w:spacing w:after="0" w:line="360" w:lineRule="auto"/>
        <w:ind w:left="2160" w:hanging="72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w:t>
      </w:r>
      <w:r>
        <w:rPr>
          <w:rFonts w:ascii="Times New Roman" w:eastAsia="Calibri" w:hAnsi="Times New Roman" w:cs="Times New Roman"/>
          <w:sz w:val="24"/>
          <w:szCs w:val="24"/>
          <w:lang w:val="en-GB"/>
        </w:rPr>
        <w:tab/>
        <w:t xml:space="preserve">The judgment of the court a quo is set aside and substituted by the following </w:t>
      </w:r>
      <w:r w:rsidR="00903E52">
        <w:rPr>
          <w:rFonts w:ascii="Times New Roman" w:eastAsia="Calibri" w:hAnsi="Times New Roman" w:cs="Times New Roman"/>
          <w:sz w:val="24"/>
          <w:szCs w:val="24"/>
          <w:lang w:val="en-GB"/>
        </w:rPr>
        <w:t>order: -</w:t>
      </w:r>
    </w:p>
    <w:p w:rsidR="00903E52" w:rsidRDefault="00903E52" w:rsidP="006646AE">
      <w:pPr>
        <w:spacing w:after="0" w:line="360" w:lineRule="auto"/>
        <w:ind w:left="2160" w:hanging="720"/>
        <w:jc w:val="both"/>
        <w:rPr>
          <w:rFonts w:ascii="Times New Roman" w:eastAsia="Calibri" w:hAnsi="Times New Roman" w:cs="Times New Roman"/>
          <w:sz w:val="24"/>
          <w:szCs w:val="24"/>
          <w:lang w:val="en-GB"/>
        </w:rPr>
      </w:pPr>
    </w:p>
    <w:p w:rsidR="002E4514" w:rsidRDefault="002E4514" w:rsidP="006646AE">
      <w:pPr>
        <w:spacing w:after="0" w:line="360" w:lineRule="auto"/>
        <w:ind w:left="1440" w:firstLine="72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“The accused is found not guilty and acquitted”</w:t>
      </w:r>
    </w:p>
    <w:p w:rsidR="00431C22" w:rsidRDefault="00431C22" w:rsidP="006646AE">
      <w:pPr>
        <w:spacing w:after="0" w:line="360" w:lineRule="auto"/>
        <w:ind w:firstLine="720"/>
        <w:jc w:val="both"/>
        <w:rPr>
          <w:rFonts w:ascii="Times New Roman" w:eastAsia="Calibri" w:hAnsi="Times New Roman" w:cs="Times New Roman"/>
          <w:sz w:val="24"/>
          <w:szCs w:val="24"/>
          <w:lang w:val="en-GB"/>
        </w:rPr>
      </w:pPr>
    </w:p>
    <w:p w:rsidR="004F1792" w:rsidRDefault="004F1792" w:rsidP="006646AE">
      <w:pPr>
        <w:spacing w:after="0" w:line="360" w:lineRule="auto"/>
        <w:ind w:firstLine="720"/>
        <w:jc w:val="both"/>
        <w:rPr>
          <w:rFonts w:ascii="Times New Roman" w:eastAsia="Calibri" w:hAnsi="Times New Roman" w:cs="Times New Roman"/>
          <w:sz w:val="24"/>
          <w:szCs w:val="24"/>
          <w:lang w:val="en-GB"/>
        </w:rPr>
      </w:pPr>
    </w:p>
    <w:p w:rsidR="002E4514" w:rsidRDefault="002E4514" w:rsidP="002E4514">
      <w:pPr>
        <w:spacing w:after="0" w:line="480" w:lineRule="auto"/>
        <w:ind w:firstLine="720"/>
        <w:jc w:val="both"/>
        <w:rPr>
          <w:rFonts w:ascii="Times New Roman" w:eastAsia="Calibri" w:hAnsi="Times New Roman" w:cs="Times New Roman"/>
          <w:sz w:val="24"/>
          <w:szCs w:val="24"/>
          <w:lang w:val="en-GB"/>
        </w:rPr>
      </w:pPr>
    </w:p>
    <w:p w:rsidR="002E4514" w:rsidRDefault="00483345" w:rsidP="002E4514">
      <w:pPr>
        <w:spacing w:after="0" w:line="480" w:lineRule="auto"/>
        <w:ind w:firstLine="72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Tag</w:t>
      </w:r>
      <w:r w:rsidR="002E4514">
        <w:rPr>
          <w:rFonts w:ascii="Times New Roman" w:eastAsia="Calibri" w:hAnsi="Times New Roman" w:cs="Times New Roman"/>
          <w:sz w:val="24"/>
          <w:szCs w:val="24"/>
          <w:lang w:val="en-GB"/>
        </w:rPr>
        <w:t xml:space="preserve">u J      </w:t>
      </w:r>
      <w:r w:rsidR="00431C22">
        <w:rPr>
          <w:rFonts w:ascii="Times New Roman" w:eastAsia="Calibri" w:hAnsi="Times New Roman" w:cs="Times New Roman"/>
          <w:sz w:val="24"/>
          <w:szCs w:val="24"/>
          <w:lang w:val="en-GB"/>
        </w:rPr>
        <w:t xml:space="preserve">agrees </w:t>
      </w:r>
      <w:r w:rsidR="002E4514">
        <w:rPr>
          <w:rFonts w:ascii="Times New Roman" w:eastAsia="Calibri" w:hAnsi="Times New Roman" w:cs="Times New Roman"/>
          <w:sz w:val="24"/>
          <w:szCs w:val="24"/>
          <w:lang w:val="en-GB"/>
        </w:rPr>
        <w:t xml:space="preserve">          </w:t>
      </w:r>
      <w:r w:rsidR="00431C22">
        <w:rPr>
          <w:rFonts w:ascii="Times New Roman" w:eastAsia="Calibri" w:hAnsi="Times New Roman" w:cs="Times New Roman"/>
          <w:sz w:val="24"/>
          <w:szCs w:val="24"/>
          <w:lang w:val="en-GB"/>
        </w:rPr>
        <w:t xml:space="preserve">                              </w:t>
      </w:r>
      <w:r w:rsidR="002E4514">
        <w:rPr>
          <w:rFonts w:ascii="Times New Roman" w:eastAsia="Calibri" w:hAnsi="Times New Roman" w:cs="Times New Roman"/>
          <w:sz w:val="24"/>
          <w:szCs w:val="24"/>
          <w:lang w:val="en-GB"/>
        </w:rPr>
        <w:t xml:space="preserve"> ----------------------------------</w:t>
      </w:r>
    </w:p>
    <w:p w:rsidR="002E4514" w:rsidRPr="001C62F6" w:rsidRDefault="002E4514" w:rsidP="00B03E1B">
      <w:pPr>
        <w:spacing w:after="0" w:line="480" w:lineRule="auto"/>
        <w:ind w:firstLine="720"/>
        <w:jc w:val="both"/>
        <w:rPr>
          <w:rFonts w:ascii="Times New Roman" w:eastAsia="Calibri" w:hAnsi="Times New Roman" w:cs="Times New Roman"/>
          <w:sz w:val="24"/>
          <w:szCs w:val="24"/>
          <w:lang w:val="en-GB"/>
        </w:rPr>
      </w:pPr>
    </w:p>
    <w:p w:rsidR="002737BF" w:rsidRDefault="002737BF" w:rsidP="002737BF">
      <w:pPr>
        <w:spacing w:after="0" w:line="480" w:lineRule="auto"/>
        <w:ind w:firstLine="720"/>
        <w:jc w:val="both"/>
        <w:rPr>
          <w:rFonts w:ascii="Times New Roman" w:eastAsia="Calibri" w:hAnsi="Times New Roman" w:cs="Times New Roman"/>
          <w:sz w:val="24"/>
          <w:szCs w:val="24"/>
          <w:lang w:val="en-GB"/>
        </w:rPr>
      </w:pPr>
    </w:p>
    <w:p w:rsidR="00DE647E" w:rsidRPr="004A1CBF" w:rsidRDefault="00DE647E" w:rsidP="00F73CB5">
      <w:pPr>
        <w:spacing w:after="0" w:line="480" w:lineRule="auto"/>
        <w:jc w:val="both"/>
        <w:rPr>
          <w:rFonts w:ascii="Times New Roman" w:hAnsi="Times New Roman" w:cs="Times New Roman"/>
          <w:sz w:val="24"/>
          <w:szCs w:val="24"/>
        </w:rPr>
      </w:pPr>
    </w:p>
    <w:p w:rsidR="00DE647E" w:rsidRPr="004A1CBF" w:rsidRDefault="004F1792" w:rsidP="006646AE">
      <w:pPr>
        <w:spacing w:after="0" w:line="240" w:lineRule="auto"/>
        <w:jc w:val="both"/>
        <w:rPr>
          <w:rFonts w:ascii="Times New Roman" w:eastAsia="Calibri" w:hAnsi="Times New Roman" w:cs="Times New Roman"/>
          <w:sz w:val="24"/>
          <w:szCs w:val="24"/>
        </w:rPr>
      </w:pPr>
      <w:r>
        <w:rPr>
          <w:rFonts w:ascii="Times New Roman" w:hAnsi="Times New Roman" w:cs="Times New Roman"/>
          <w:i/>
          <w:sz w:val="24"/>
          <w:szCs w:val="24"/>
        </w:rPr>
        <w:t>Dzimba Jaravaza &amp; Associates</w:t>
      </w:r>
      <w:r w:rsidR="00DE647E" w:rsidRPr="004A1CBF">
        <w:rPr>
          <w:rFonts w:ascii="Times New Roman" w:hAnsi="Times New Roman" w:cs="Times New Roman"/>
          <w:sz w:val="24"/>
          <w:szCs w:val="24"/>
        </w:rPr>
        <w:t xml:space="preserve">, </w:t>
      </w:r>
      <w:r w:rsidR="000E5F78" w:rsidRPr="004A1CBF">
        <w:rPr>
          <w:rFonts w:ascii="Times New Roman" w:eastAsia="Calibri" w:hAnsi="Times New Roman" w:cs="Times New Roman"/>
          <w:sz w:val="24"/>
          <w:szCs w:val="24"/>
        </w:rPr>
        <w:t>appellant’s legal practitioner</w:t>
      </w:r>
      <w:r w:rsidR="00281440">
        <w:rPr>
          <w:rFonts w:ascii="Times New Roman" w:eastAsia="Calibri" w:hAnsi="Times New Roman" w:cs="Times New Roman"/>
          <w:sz w:val="24"/>
          <w:szCs w:val="24"/>
        </w:rPr>
        <w:t>’</w:t>
      </w:r>
      <w:r w:rsidR="000E5F78" w:rsidRPr="004A1CBF">
        <w:rPr>
          <w:rFonts w:ascii="Times New Roman" w:eastAsia="Calibri" w:hAnsi="Times New Roman" w:cs="Times New Roman"/>
          <w:sz w:val="24"/>
          <w:szCs w:val="24"/>
        </w:rPr>
        <w:t>s.</w:t>
      </w:r>
    </w:p>
    <w:p w:rsidR="00FE4E9B" w:rsidRPr="004A1CBF" w:rsidRDefault="004F1792" w:rsidP="006646A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00DE647E" w:rsidRPr="004A1CBF">
        <w:rPr>
          <w:rFonts w:ascii="Times New Roman" w:hAnsi="Times New Roman" w:cs="Times New Roman"/>
          <w:sz w:val="24"/>
          <w:szCs w:val="24"/>
        </w:rPr>
        <w:t xml:space="preserve">, </w:t>
      </w:r>
      <w:r w:rsidR="000E5F78" w:rsidRPr="004A1CBF">
        <w:rPr>
          <w:rFonts w:ascii="Times New Roman" w:hAnsi="Times New Roman" w:cs="Times New Roman"/>
          <w:sz w:val="24"/>
          <w:szCs w:val="24"/>
        </w:rPr>
        <w:t>respondent’s</w:t>
      </w:r>
      <w:r w:rsidR="00DE647E" w:rsidRPr="004A1CBF">
        <w:rPr>
          <w:rFonts w:ascii="Times New Roman" w:hAnsi="Times New Roman" w:cs="Times New Roman"/>
          <w:sz w:val="24"/>
          <w:szCs w:val="24"/>
        </w:rPr>
        <w:t xml:space="preserve"> legal </w:t>
      </w:r>
      <w:r w:rsidR="000E5F78" w:rsidRPr="004A1CBF">
        <w:rPr>
          <w:rFonts w:ascii="Times New Roman" w:hAnsi="Times New Roman" w:cs="Times New Roman"/>
          <w:sz w:val="24"/>
          <w:szCs w:val="24"/>
        </w:rPr>
        <w:t>practitioner’s</w:t>
      </w:r>
      <w:r w:rsidR="000E5F78" w:rsidRPr="004A1CBF">
        <w:rPr>
          <w:rFonts w:ascii="Times New Roman" w:eastAsia="Calibri" w:hAnsi="Times New Roman" w:cs="Times New Roman"/>
          <w:sz w:val="24"/>
          <w:szCs w:val="24"/>
        </w:rPr>
        <w:t xml:space="preserve"> </w:t>
      </w:r>
    </w:p>
    <w:p w:rsidR="00FE4E9B" w:rsidRPr="004A1CBF" w:rsidRDefault="00FE4E9B" w:rsidP="006646AE">
      <w:pPr>
        <w:spacing w:after="0" w:line="240" w:lineRule="auto"/>
        <w:jc w:val="both"/>
        <w:rPr>
          <w:rFonts w:ascii="Times New Roman" w:hAnsi="Times New Roman" w:cs="Times New Roman"/>
          <w:sz w:val="24"/>
          <w:szCs w:val="24"/>
        </w:rPr>
      </w:pPr>
    </w:p>
    <w:sectPr w:rsidR="00FE4E9B" w:rsidRPr="004A1CBF" w:rsidSect="00BD4BE3">
      <w:headerReference w:type="default" r:id="rId8"/>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EA7" w:rsidRDefault="00A33EA7" w:rsidP="00712368">
      <w:pPr>
        <w:spacing w:after="0" w:line="240" w:lineRule="auto"/>
      </w:pPr>
      <w:r>
        <w:separator/>
      </w:r>
    </w:p>
  </w:endnote>
  <w:endnote w:type="continuationSeparator" w:id="0">
    <w:p w:rsidR="00A33EA7" w:rsidRDefault="00A33EA7" w:rsidP="00712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EA7" w:rsidRDefault="00A33EA7" w:rsidP="00712368">
      <w:pPr>
        <w:spacing w:after="0" w:line="240" w:lineRule="auto"/>
      </w:pPr>
      <w:r>
        <w:separator/>
      </w:r>
    </w:p>
  </w:footnote>
  <w:footnote w:type="continuationSeparator" w:id="0">
    <w:p w:rsidR="00A33EA7" w:rsidRDefault="00A33EA7" w:rsidP="00712368">
      <w:pPr>
        <w:spacing w:after="0" w:line="240" w:lineRule="auto"/>
      </w:pPr>
      <w:r>
        <w:continuationSeparator/>
      </w:r>
    </w:p>
  </w:footnote>
  <w:footnote w:id="1">
    <w:p w:rsidR="00681993" w:rsidRDefault="00681993">
      <w:pPr>
        <w:pStyle w:val="FootnoteText"/>
      </w:pPr>
      <w:r>
        <w:rPr>
          <w:rStyle w:val="FootnoteReference"/>
        </w:rPr>
        <w:footnoteRef/>
      </w:r>
      <w:r>
        <w:t xml:space="preserve"> .  Pages 21 &amp; 22 of the record of proceedings.</w:t>
      </w:r>
    </w:p>
  </w:footnote>
  <w:footnote w:id="2">
    <w:p w:rsidR="00BE3088" w:rsidRDefault="00BE3088">
      <w:pPr>
        <w:pStyle w:val="FootnoteText"/>
      </w:pPr>
      <w:r>
        <w:rPr>
          <w:rStyle w:val="FootnoteReference"/>
        </w:rPr>
        <w:footnoteRef/>
      </w:r>
      <w:r>
        <w:t xml:space="preserve"> .  Principals of Criminal Law by Jonathan Burchell, page 700, fifth Edition, published by Juta and Company.</w:t>
      </w:r>
    </w:p>
  </w:footnote>
  <w:footnote w:id="3">
    <w:p w:rsidR="00BE3088" w:rsidRDefault="00BE3088">
      <w:pPr>
        <w:pStyle w:val="FootnoteText"/>
      </w:pPr>
      <w:r>
        <w:rPr>
          <w:rStyle w:val="FootnoteReference"/>
        </w:rPr>
        <w:footnoteRef/>
      </w:r>
      <w:r>
        <w:t xml:space="preserve"> .  Judgment No. SC53/94</w:t>
      </w:r>
    </w:p>
  </w:footnote>
  <w:footnote w:id="4">
    <w:p w:rsidR="00B669CA" w:rsidRDefault="00B669CA">
      <w:pPr>
        <w:pStyle w:val="FootnoteText"/>
      </w:pPr>
      <w:r>
        <w:rPr>
          <w:rStyle w:val="FootnoteReference"/>
        </w:rPr>
        <w:footnoteRef/>
      </w:r>
      <w:r>
        <w:t xml:space="preserve"> .  1939 AD 288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4615483"/>
      <w:docPartObj>
        <w:docPartGallery w:val="Page Numbers (Top of Page)"/>
        <w:docPartUnique/>
      </w:docPartObj>
    </w:sdtPr>
    <w:sdtEndPr>
      <w:rPr>
        <w:noProof/>
      </w:rPr>
    </w:sdtEndPr>
    <w:sdtContent>
      <w:p w:rsidR="00B0480C" w:rsidRDefault="00B0480C">
        <w:pPr>
          <w:pStyle w:val="Header"/>
          <w:jc w:val="right"/>
          <w:rPr>
            <w:noProof/>
          </w:rPr>
        </w:pPr>
        <w:r>
          <w:fldChar w:fldCharType="begin"/>
        </w:r>
        <w:r>
          <w:instrText xml:space="preserve"> PAGE   \* MERGEFORMAT </w:instrText>
        </w:r>
        <w:r>
          <w:fldChar w:fldCharType="separate"/>
        </w:r>
        <w:r w:rsidR="009B0B29">
          <w:rPr>
            <w:noProof/>
          </w:rPr>
          <w:t>4</w:t>
        </w:r>
        <w:r>
          <w:rPr>
            <w:noProof/>
          </w:rPr>
          <w:fldChar w:fldCharType="end"/>
        </w:r>
      </w:p>
      <w:p w:rsidR="00B0480C" w:rsidRPr="007E3401" w:rsidRDefault="00B0480C" w:rsidP="00B0480C">
        <w:pPr>
          <w:spacing w:after="0" w:line="240" w:lineRule="auto"/>
          <w:jc w:val="right"/>
          <w:rPr>
            <w:rFonts w:ascii="Courier New" w:hAnsi="Courier New" w:cs="Courier New"/>
            <w:b/>
            <w:noProof/>
            <w:sz w:val="24"/>
            <w:szCs w:val="24"/>
          </w:rPr>
        </w:pPr>
        <w:r>
          <w:rPr>
            <w:rFonts w:ascii="Courier New" w:hAnsi="Courier New" w:cs="Courier New"/>
            <w:b/>
            <w:noProof/>
            <w:sz w:val="24"/>
            <w:szCs w:val="24"/>
          </w:rPr>
          <w:t xml:space="preserve">HH 652-18 </w:t>
        </w:r>
      </w:p>
      <w:p w:rsidR="00B0480C" w:rsidRPr="007E3401" w:rsidRDefault="00B0480C" w:rsidP="00B0480C">
        <w:pPr>
          <w:spacing w:after="0" w:line="240" w:lineRule="auto"/>
          <w:jc w:val="right"/>
          <w:rPr>
            <w:rFonts w:ascii="Courier New" w:hAnsi="Courier New" w:cs="Courier New"/>
            <w:b/>
            <w:noProof/>
            <w:sz w:val="24"/>
            <w:szCs w:val="24"/>
          </w:rPr>
        </w:pPr>
        <w:r w:rsidRPr="00BB2B58">
          <w:rPr>
            <w:rFonts w:ascii="Times New Roman" w:hAnsi="Times New Roman" w:cs="Times New Roman"/>
            <w:b/>
            <w:noProof/>
            <w:sz w:val="24"/>
            <w:szCs w:val="24"/>
          </w:rPr>
          <w:t>Civil Appeal</w:t>
        </w:r>
        <w:r w:rsidRPr="007E3401">
          <w:rPr>
            <w:rFonts w:ascii="Courier New" w:hAnsi="Courier New" w:cs="Courier New"/>
            <w:b/>
            <w:noProof/>
            <w:sz w:val="24"/>
            <w:szCs w:val="24"/>
          </w:rPr>
          <w:t xml:space="preserve"> No.</w:t>
        </w:r>
        <w:r w:rsidRPr="00370CF0">
          <w:rPr>
            <w:rFonts w:ascii="Courier New" w:hAnsi="Courier New" w:cs="Courier New"/>
            <w:b/>
            <w:noProof/>
            <w:sz w:val="24"/>
            <w:szCs w:val="24"/>
          </w:rPr>
          <w:t xml:space="preserve"> </w:t>
        </w:r>
        <w:r>
          <w:rPr>
            <w:rFonts w:ascii="Courier New" w:hAnsi="Courier New" w:cs="Courier New"/>
            <w:b/>
            <w:noProof/>
            <w:sz w:val="24"/>
            <w:szCs w:val="24"/>
          </w:rPr>
          <w:t>7</w:t>
        </w:r>
        <w:r>
          <w:rPr>
            <w:rFonts w:ascii="Courier New" w:hAnsi="Courier New" w:cs="Courier New"/>
            <w:b/>
            <w:noProof/>
            <w:sz w:val="24"/>
            <w:szCs w:val="24"/>
          </w:rPr>
          <w:t>04/11</w:t>
        </w:r>
      </w:p>
      <w:p w:rsidR="00B0480C" w:rsidRDefault="00B0480C">
        <w:pPr>
          <w:pStyle w:val="Header"/>
          <w:jc w:val="right"/>
        </w:pPr>
      </w:p>
    </w:sdtContent>
  </w:sdt>
  <w:p w:rsidR="00365C9E" w:rsidRDefault="00365C9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C5EB6"/>
    <w:multiLevelType w:val="hybridMultilevel"/>
    <w:tmpl w:val="7EEA40A8"/>
    <w:lvl w:ilvl="0" w:tplc="ED2A247E">
      <w:start w:val="1"/>
      <w:numFmt w:val="decimal"/>
      <w:lvlText w:val="(%1)"/>
      <w:lvlJc w:val="left"/>
      <w:pPr>
        <w:ind w:left="5310" w:hanging="360"/>
      </w:pPr>
      <w:rPr>
        <w:rFonts w:hint="default"/>
      </w:rPr>
    </w:lvl>
    <w:lvl w:ilvl="1" w:tplc="08090019" w:tentative="1">
      <w:start w:val="1"/>
      <w:numFmt w:val="lowerLetter"/>
      <w:lvlText w:val="%2."/>
      <w:lvlJc w:val="left"/>
      <w:pPr>
        <w:ind w:left="6030" w:hanging="360"/>
      </w:pPr>
    </w:lvl>
    <w:lvl w:ilvl="2" w:tplc="0809001B" w:tentative="1">
      <w:start w:val="1"/>
      <w:numFmt w:val="lowerRoman"/>
      <w:lvlText w:val="%3."/>
      <w:lvlJc w:val="right"/>
      <w:pPr>
        <w:ind w:left="6750" w:hanging="180"/>
      </w:pPr>
    </w:lvl>
    <w:lvl w:ilvl="3" w:tplc="0809000F" w:tentative="1">
      <w:start w:val="1"/>
      <w:numFmt w:val="decimal"/>
      <w:lvlText w:val="%4."/>
      <w:lvlJc w:val="left"/>
      <w:pPr>
        <w:ind w:left="7470" w:hanging="360"/>
      </w:pPr>
    </w:lvl>
    <w:lvl w:ilvl="4" w:tplc="08090019" w:tentative="1">
      <w:start w:val="1"/>
      <w:numFmt w:val="lowerLetter"/>
      <w:lvlText w:val="%5."/>
      <w:lvlJc w:val="left"/>
      <w:pPr>
        <w:ind w:left="8190" w:hanging="360"/>
      </w:pPr>
    </w:lvl>
    <w:lvl w:ilvl="5" w:tplc="0809001B" w:tentative="1">
      <w:start w:val="1"/>
      <w:numFmt w:val="lowerRoman"/>
      <w:lvlText w:val="%6."/>
      <w:lvlJc w:val="right"/>
      <w:pPr>
        <w:ind w:left="8910" w:hanging="180"/>
      </w:pPr>
    </w:lvl>
    <w:lvl w:ilvl="6" w:tplc="0809000F" w:tentative="1">
      <w:start w:val="1"/>
      <w:numFmt w:val="decimal"/>
      <w:lvlText w:val="%7."/>
      <w:lvlJc w:val="left"/>
      <w:pPr>
        <w:ind w:left="9630" w:hanging="360"/>
      </w:pPr>
    </w:lvl>
    <w:lvl w:ilvl="7" w:tplc="08090019" w:tentative="1">
      <w:start w:val="1"/>
      <w:numFmt w:val="lowerLetter"/>
      <w:lvlText w:val="%8."/>
      <w:lvlJc w:val="left"/>
      <w:pPr>
        <w:ind w:left="10350" w:hanging="360"/>
      </w:pPr>
    </w:lvl>
    <w:lvl w:ilvl="8" w:tplc="0809001B" w:tentative="1">
      <w:start w:val="1"/>
      <w:numFmt w:val="lowerRoman"/>
      <w:lvlText w:val="%9."/>
      <w:lvlJc w:val="right"/>
      <w:pPr>
        <w:ind w:left="11070" w:hanging="180"/>
      </w:pPr>
    </w:lvl>
  </w:abstractNum>
  <w:abstractNum w:abstractNumId="1" w15:restartNumberingAfterBreak="0">
    <w:nsid w:val="355A761F"/>
    <w:multiLevelType w:val="hybridMultilevel"/>
    <w:tmpl w:val="C9C8900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1545C89"/>
    <w:multiLevelType w:val="hybridMultilevel"/>
    <w:tmpl w:val="6994C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20764"/>
    <w:multiLevelType w:val="hybridMultilevel"/>
    <w:tmpl w:val="5D7CD14E"/>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015"/>
    <w:rsid w:val="00004466"/>
    <w:rsid w:val="00015BE1"/>
    <w:rsid w:val="00042385"/>
    <w:rsid w:val="00047C0F"/>
    <w:rsid w:val="00053E3B"/>
    <w:rsid w:val="00060276"/>
    <w:rsid w:val="000661C2"/>
    <w:rsid w:val="00081023"/>
    <w:rsid w:val="00097549"/>
    <w:rsid w:val="000A3290"/>
    <w:rsid w:val="000D4C92"/>
    <w:rsid w:val="000E5F78"/>
    <w:rsid w:val="0011436C"/>
    <w:rsid w:val="001153F5"/>
    <w:rsid w:val="0014718E"/>
    <w:rsid w:val="0015771D"/>
    <w:rsid w:val="00180A6E"/>
    <w:rsid w:val="001B0B78"/>
    <w:rsid w:val="001C62F6"/>
    <w:rsid w:val="001F3BD6"/>
    <w:rsid w:val="001F45A7"/>
    <w:rsid w:val="00203FCC"/>
    <w:rsid w:val="002433FC"/>
    <w:rsid w:val="00257A29"/>
    <w:rsid w:val="002659F8"/>
    <w:rsid w:val="002737BF"/>
    <w:rsid w:val="00281440"/>
    <w:rsid w:val="00293836"/>
    <w:rsid w:val="002A5443"/>
    <w:rsid w:val="002D327D"/>
    <w:rsid w:val="002E4514"/>
    <w:rsid w:val="00311730"/>
    <w:rsid w:val="00312567"/>
    <w:rsid w:val="00327E20"/>
    <w:rsid w:val="003351E3"/>
    <w:rsid w:val="00345075"/>
    <w:rsid w:val="0035191E"/>
    <w:rsid w:val="00365C9E"/>
    <w:rsid w:val="00367B8D"/>
    <w:rsid w:val="00370CF0"/>
    <w:rsid w:val="00371D26"/>
    <w:rsid w:val="00373A04"/>
    <w:rsid w:val="003817DC"/>
    <w:rsid w:val="00386B99"/>
    <w:rsid w:val="003B0B34"/>
    <w:rsid w:val="003B78FA"/>
    <w:rsid w:val="003D2879"/>
    <w:rsid w:val="003D559C"/>
    <w:rsid w:val="003E5D12"/>
    <w:rsid w:val="004168E3"/>
    <w:rsid w:val="0042278B"/>
    <w:rsid w:val="00431C22"/>
    <w:rsid w:val="00433C58"/>
    <w:rsid w:val="00436232"/>
    <w:rsid w:val="0045743B"/>
    <w:rsid w:val="00462A66"/>
    <w:rsid w:val="00467627"/>
    <w:rsid w:val="004764CB"/>
    <w:rsid w:val="00483345"/>
    <w:rsid w:val="00487C88"/>
    <w:rsid w:val="0049058D"/>
    <w:rsid w:val="004A1CBF"/>
    <w:rsid w:val="004B05A4"/>
    <w:rsid w:val="004E436D"/>
    <w:rsid w:val="004E6F5D"/>
    <w:rsid w:val="004E70AE"/>
    <w:rsid w:val="004F1792"/>
    <w:rsid w:val="00500149"/>
    <w:rsid w:val="00510FA2"/>
    <w:rsid w:val="00533BDA"/>
    <w:rsid w:val="005736D5"/>
    <w:rsid w:val="005762DA"/>
    <w:rsid w:val="00593F63"/>
    <w:rsid w:val="005C0015"/>
    <w:rsid w:val="005C0AA9"/>
    <w:rsid w:val="005F2ADF"/>
    <w:rsid w:val="005F2D7B"/>
    <w:rsid w:val="00600ADE"/>
    <w:rsid w:val="00627E1C"/>
    <w:rsid w:val="00634559"/>
    <w:rsid w:val="00656D87"/>
    <w:rsid w:val="006646AE"/>
    <w:rsid w:val="0068067A"/>
    <w:rsid w:val="00681993"/>
    <w:rsid w:val="006B47C1"/>
    <w:rsid w:val="006C7ABA"/>
    <w:rsid w:val="00712368"/>
    <w:rsid w:val="007207D6"/>
    <w:rsid w:val="007263D8"/>
    <w:rsid w:val="00740ABA"/>
    <w:rsid w:val="007452C1"/>
    <w:rsid w:val="007540D1"/>
    <w:rsid w:val="00757965"/>
    <w:rsid w:val="00764773"/>
    <w:rsid w:val="007B179A"/>
    <w:rsid w:val="007B374D"/>
    <w:rsid w:val="007C5C2E"/>
    <w:rsid w:val="007D2B95"/>
    <w:rsid w:val="007D65AB"/>
    <w:rsid w:val="007D7889"/>
    <w:rsid w:val="007E3401"/>
    <w:rsid w:val="0080767A"/>
    <w:rsid w:val="008503CD"/>
    <w:rsid w:val="008570BD"/>
    <w:rsid w:val="00865B04"/>
    <w:rsid w:val="0088505D"/>
    <w:rsid w:val="00887A60"/>
    <w:rsid w:val="00891768"/>
    <w:rsid w:val="008B6929"/>
    <w:rsid w:val="008D1B31"/>
    <w:rsid w:val="008D49F0"/>
    <w:rsid w:val="0090386D"/>
    <w:rsid w:val="00903E52"/>
    <w:rsid w:val="0091453F"/>
    <w:rsid w:val="0092303F"/>
    <w:rsid w:val="009269B8"/>
    <w:rsid w:val="00930DB1"/>
    <w:rsid w:val="00945BE7"/>
    <w:rsid w:val="0095770B"/>
    <w:rsid w:val="009628B8"/>
    <w:rsid w:val="009701D1"/>
    <w:rsid w:val="00995B65"/>
    <w:rsid w:val="009A2422"/>
    <w:rsid w:val="009A4001"/>
    <w:rsid w:val="009A5244"/>
    <w:rsid w:val="009B0B29"/>
    <w:rsid w:val="009B70B4"/>
    <w:rsid w:val="009D74B6"/>
    <w:rsid w:val="009F7AB1"/>
    <w:rsid w:val="00A0567A"/>
    <w:rsid w:val="00A16572"/>
    <w:rsid w:val="00A30A70"/>
    <w:rsid w:val="00A33EA7"/>
    <w:rsid w:val="00A61A45"/>
    <w:rsid w:val="00A65ECB"/>
    <w:rsid w:val="00A77B39"/>
    <w:rsid w:val="00A81DED"/>
    <w:rsid w:val="00AC2B12"/>
    <w:rsid w:val="00AC7C50"/>
    <w:rsid w:val="00AD5536"/>
    <w:rsid w:val="00AE32C3"/>
    <w:rsid w:val="00AE3DF6"/>
    <w:rsid w:val="00AF4BB2"/>
    <w:rsid w:val="00B02931"/>
    <w:rsid w:val="00B03E1B"/>
    <w:rsid w:val="00B0480C"/>
    <w:rsid w:val="00B57E70"/>
    <w:rsid w:val="00B669CA"/>
    <w:rsid w:val="00B66CA0"/>
    <w:rsid w:val="00B71FD9"/>
    <w:rsid w:val="00B92397"/>
    <w:rsid w:val="00BB2B58"/>
    <w:rsid w:val="00BC52AF"/>
    <w:rsid w:val="00BC6AC5"/>
    <w:rsid w:val="00BD2867"/>
    <w:rsid w:val="00BD4BE3"/>
    <w:rsid w:val="00BE3088"/>
    <w:rsid w:val="00BF236C"/>
    <w:rsid w:val="00C01FC9"/>
    <w:rsid w:val="00C21506"/>
    <w:rsid w:val="00C22FD3"/>
    <w:rsid w:val="00C24293"/>
    <w:rsid w:val="00C26975"/>
    <w:rsid w:val="00C426A8"/>
    <w:rsid w:val="00C523D4"/>
    <w:rsid w:val="00C654AB"/>
    <w:rsid w:val="00C708FD"/>
    <w:rsid w:val="00C71B63"/>
    <w:rsid w:val="00C82E1B"/>
    <w:rsid w:val="00CB4BAA"/>
    <w:rsid w:val="00CC6DD5"/>
    <w:rsid w:val="00CD56DC"/>
    <w:rsid w:val="00D2002D"/>
    <w:rsid w:val="00D23789"/>
    <w:rsid w:val="00D32E4A"/>
    <w:rsid w:val="00D45E19"/>
    <w:rsid w:val="00D507E5"/>
    <w:rsid w:val="00D5136B"/>
    <w:rsid w:val="00D561C2"/>
    <w:rsid w:val="00D57ED8"/>
    <w:rsid w:val="00D64D36"/>
    <w:rsid w:val="00DA0213"/>
    <w:rsid w:val="00DB17EF"/>
    <w:rsid w:val="00DD462D"/>
    <w:rsid w:val="00DD7D4A"/>
    <w:rsid w:val="00DE647E"/>
    <w:rsid w:val="00E01C97"/>
    <w:rsid w:val="00E260A6"/>
    <w:rsid w:val="00E432C9"/>
    <w:rsid w:val="00E54284"/>
    <w:rsid w:val="00E60DB2"/>
    <w:rsid w:val="00E62D76"/>
    <w:rsid w:val="00E92010"/>
    <w:rsid w:val="00EC2373"/>
    <w:rsid w:val="00ED61A6"/>
    <w:rsid w:val="00ED7118"/>
    <w:rsid w:val="00EE37D5"/>
    <w:rsid w:val="00F02AD5"/>
    <w:rsid w:val="00F1395C"/>
    <w:rsid w:val="00F27614"/>
    <w:rsid w:val="00F33CAB"/>
    <w:rsid w:val="00F44829"/>
    <w:rsid w:val="00F73CB5"/>
    <w:rsid w:val="00F80C95"/>
    <w:rsid w:val="00FA46DF"/>
    <w:rsid w:val="00FE06B7"/>
    <w:rsid w:val="00FE1751"/>
    <w:rsid w:val="00FE4E9B"/>
    <w:rsid w:val="00FE79D1"/>
    <w:rsid w:val="00FF4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70762"/>
  <w15:chartTrackingRefBased/>
  <w15:docId w15:val="{DCFCEF0A-BA53-41D3-99E7-95C6498F3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2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368"/>
  </w:style>
  <w:style w:type="paragraph" w:styleId="Footer">
    <w:name w:val="footer"/>
    <w:basedOn w:val="Normal"/>
    <w:link w:val="FooterChar"/>
    <w:uiPriority w:val="99"/>
    <w:unhideWhenUsed/>
    <w:rsid w:val="00712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368"/>
  </w:style>
  <w:style w:type="paragraph" w:styleId="FootnoteText">
    <w:name w:val="footnote text"/>
    <w:basedOn w:val="Normal"/>
    <w:link w:val="FootnoteTextChar"/>
    <w:uiPriority w:val="99"/>
    <w:semiHidden/>
    <w:unhideWhenUsed/>
    <w:rsid w:val="00F02A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2AD5"/>
    <w:rPr>
      <w:sz w:val="20"/>
      <w:szCs w:val="20"/>
    </w:rPr>
  </w:style>
  <w:style w:type="character" w:styleId="FootnoteReference">
    <w:name w:val="footnote reference"/>
    <w:basedOn w:val="DefaultParagraphFont"/>
    <w:uiPriority w:val="99"/>
    <w:semiHidden/>
    <w:unhideWhenUsed/>
    <w:rsid w:val="00F02AD5"/>
    <w:rPr>
      <w:vertAlign w:val="superscript"/>
    </w:rPr>
  </w:style>
  <w:style w:type="paragraph" w:styleId="BalloonText">
    <w:name w:val="Balloon Text"/>
    <w:basedOn w:val="Normal"/>
    <w:link w:val="BalloonTextChar"/>
    <w:uiPriority w:val="99"/>
    <w:semiHidden/>
    <w:unhideWhenUsed/>
    <w:rsid w:val="003B0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B34"/>
    <w:rPr>
      <w:rFonts w:ascii="Segoe UI" w:hAnsi="Segoe UI" w:cs="Segoe UI"/>
      <w:sz w:val="18"/>
      <w:szCs w:val="18"/>
    </w:rPr>
  </w:style>
  <w:style w:type="paragraph" w:styleId="ListParagraph">
    <w:name w:val="List Paragraph"/>
    <w:basedOn w:val="Normal"/>
    <w:uiPriority w:val="34"/>
    <w:qFormat/>
    <w:rsid w:val="00F73C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F26E8-9E07-486D-8B3C-FE6E1A2BE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2897</Words>
  <Characters>16516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chipidzalsupreme@gmail.com</dc:creator>
  <cp:keywords/>
  <dc:description/>
  <cp:lastModifiedBy>JSC</cp:lastModifiedBy>
  <cp:revision>2</cp:revision>
  <cp:lastPrinted>2018-10-16T15:17:00Z</cp:lastPrinted>
  <dcterms:created xsi:type="dcterms:W3CDTF">2018-12-28T13:15:00Z</dcterms:created>
  <dcterms:modified xsi:type="dcterms:W3CDTF">2018-12-28T13:15:00Z</dcterms:modified>
</cp:coreProperties>
</file>