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C0" w:rsidRDefault="00330FC0" w:rsidP="00330FC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A03A5D">
        <w:rPr>
          <w:b/>
          <w:sz w:val="22"/>
          <w:szCs w:val="22"/>
        </w:rPr>
        <w:t>769</w:t>
      </w:r>
      <w:bookmarkStart w:id="0" w:name="_GoBack"/>
      <w:bookmarkEnd w:id="0"/>
      <w:r>
        <w:rPr>
          <w:b/>
          <w:sz w:val="22"/>
          <w:szCs w:val="22"/>
        </w:rPr>
        <w:t>/2016</w:t>
      </w:r>
    </w:p>
    <w:p w:rsidR="00330FC0" w:rsidRDefault="00330FC0" w:rsidP="00330FC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HARARE, </w:t>
      </w:r>
      <w:r w:rsidR="001B0268">
        <w:rPr>
          <w:b/>
          <w:sz w:val="22"/>
          <w:szCs w:val="22"/>
        </w:rPr>
        <w:t xml:space="preserve">11 OCTOBER </w:t>
      </w:r>
      <w:r>
        <w:rPr>
          <w:b/>
          <w:sz w:val="22"/>
          <w:szCs w:val="22"/>
        </w:rPr>
        <w:t>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  <w:t xml:space="preserve">       CASE NO. LC/H/</w:t>
      </w:r>
      <w:r w:rsidR="001B0268">
        <w:rPr>
          <w:b/>
          <w:sz w:val="22"/>
          <w:szCs w:val="22"/>
        </w:rPr>
        <w:t>750/15</w:t>
      </w:r>
    </w:p>
    <w:p w:rsidR="00330FC0" w:rsidRDefault="00330FC0" w:rsidP="00330FC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A03A5D">
        <w:rPr>
          <w:b/>
          <w:sz w:val="22"/>
          <w:szCs w:val="22"/>
        </w:rPr>
        <w:t xml:space="preserve">2 DECEMBER </w:t>
      </w:r>
      <w:r>
        <w:rPr>
          <w:b/>
          <w:sz w:val="22"/>
          <w:szCs w:val="22"/>
        </w:rPr>
        <w:t>2016</w:t>
      </w:r>
    </w:p>
    <w:p w:rsidR="00330FC0" w:rsidRDefault="00330FC0" w:rsidP="00330FC0">
      <w:pPr>
        <w:spacing w:line="360" w:lineRule="auto"/>
        <w:jc w:val="both"/>
      </w:pPr>
      <w:r>
        <w:t>In the matter between:-</w:t>
      </w:r>
    </w:p>
    <w:p w:rsidR="00330FC0" w:rsidRDefault="00330FC0" w:rsidP="00330FC0">
      <w:pPr>
        <w:spacing w:line="360" w:lineRule="auto"/>
        <w:jc w:val="both"/>
      </w:pPr>
    </w:p>
    <w:p w:rsidR="00330FC0" w:rsidRDefault="00875705" w:rsidP="00330FC0">
      <w:pPr>
        <w:spacing w:line="360" w:lineRule="auto"/>
        <w:jc w:val="both"/>
        <w:rPr>
          <w:b/>
        </w:rPr>
      </w:pPr>
      <w:r>
        <w:rPr>
          <w:b/>
        </w:rPr>
        <w:t>RTD COLONEL NICODEMUS GUKWA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  <w:r w:rsidR="00330FC0">
        <w:rPr>
          <w:b/>
        </w:rPr>
        <w:t xml:space="preserve"> </w:t>
      </w:r>
    </w:p>
    <w:p w:rsidR="00330FC0" w:rsidRDefault="00330FC0" w:rsidP="00330F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330FC0" w:rsidRDefault="00875705" w:rsidP="00330FC0">
      <w:pPr>
        <w:spacing w:line="360" w:lineRule="auto"/>
        <w:jc w:val="both"/>
        <w:rPr>
          <w:b/>
        </w:rPr>
      </w:pPr>
      <w:r>
        <w:rPr>
          <w:b/>
        </w:rPr>
        <w:t>GRAIN MARKETING 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0FC0">
        <w:rPr>
          <w:b/>
        </w:rPr>
        <w:t>Respondent</w:t>
      </w:r>
    </w:p>
    <w:p w:rsidR="00330FC0" w:rsidRDefault="00330FC0" w:rsidP="00330FC0">
      <w:pPr>
        <w:spacing w:line="360" w:lineRule="auto"/>
        <w:jc w:val="both"/>
        <w:rPr>
          <w:b/>
        </w:rPr>
      </w:pPr>
    </w:p>
    <w:p w:rsidR="00330FC0" w:rsidRDefault="00330FC0" w:rsidP="00330FC0">
      <w:pPr>
        <w:spacing w:line="360" w:lineRule="auto"/>
        <w:jc w:val="both"/>
      </w:pPr>
      <w:r>
        <w:t>Before The Honourable F.C. Maxwell, Judge</w:t>
      </w:r>
    </w:p>
    <w:p w:rsidR="00330FC0" w:rsidRDefault="00330FC0" w:rsidP="00330FC0">
      <w:pPr>
        <w:spacing w:line="360" w:lineRule="auto"/>
        <w:jc w:val="both"/>
      </w:pPr>
    </w:p>
    <w:p w:rsidR="002D611A" w:rsidRDefault="00875705" w:rsidP="00330FC0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2D611A">
        <w:rPr>
          <w:b/>
        </w:rPr>
        <w:tab/>
      </w:r>
      <w:r w:rsidR="002D611A">
        <w:rPr>
          <w:b/>
        </w:rPr>
        <w:tab/>
        <w:t>Mr T.D. Muskwe (Legal Practitioner)</w:t>
      </w:r>
    </w:p>
    <w:p w:rsidR="00330FC0" w:rsidRDefault="00330FC0" w:rsidP="00330FC0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2D611A">
        <w:rPr>
          <w:b/>
        </w:rPr>
        <w:tab/>
      </w:r>
      <w:r w:rsidR="002D611A">
        <w:rPr>
          <w:b/>
        </w:rPr>
        <w:tab/>
        <w:t>Mr P. Makuwaza (Legal Practitioner)</w:t>
      </w:r>
      <w:r>
        <w:rPr>
          <w:b/>
        </w:rPr>
        <w:tab/>
      </w:r>
      <w:r>
        <w:rPr>
          <w:b/>
        </w:rPr>
        <w:tab/>
      </w:r>
    </w:p>
    <w:p w:rsidR="00330FC0" w:rsidRDefault="00330FC0" w:rsidP="00330FC0">
      <w:pPr>
        <w:spacing w:line="360" w:lineRule="auto"/>
        <w:jc w:val="both"/>
        <w:rPr>
          <w:b/>
          <w:sz w:val="28"/>
          <w:szCs w:val="28"/>
        </w:rPr>
      </w:pPr>
    </w:p>
    <w:p w:rsidR="00330FC0" w:rsidRDefault="00330FC0" w:rsidP="00330FC0">
      <w:pPr>
        <w:rPr>
          <w:b/>
        </w:rPr>
      </w:pPr>
      <w:r>
        <w:rPr>
          <w:b/>
        </w:rPr>
        <w:t>MAXWELL, J:</w:t>
      </w:r>
    </w:p>
    <w:p w:rsidR="00A25D75" w:rsidRDefault="00A25D75" w:rsidP="00A25D75">
      <w:pPr>
        <w:spacing w:line="360" w:lineRule="auto"/>
        <w:jc w:val="both"/>
      </w:pPr>
    </w:p>
    <w:p w:rsidR="00F677E6" w:rsidRDefault="00F677E6" w:rsidP="00F677E6">
      <w:pPr>
        <w:jc w:val="both"/>
      </w:pPr>
    </w:p>
    <w:p w:rsidR="00A25D75" w:rsidRDefault="00A25D75" w:rsidP="00A25D75">
      <w:pPr>
        <w:spacing w:line="360" w:lineRule="auto"/>
        <w:jc w:val="both"/>
      </w:pPr>
      <w:r>
        <w:tab/>
      </w:r>
      <w:r w:rsidR="00BC5D6A">
        <w:t xml:space="preserve">Appellant was employed by the Respondent as the logistics and Distribution Manager.  On 4 March 2010 he was suspended from employment without salary and benefits on the basis of misconduct.  On 8 March 2010 he was charged with three counts of misconduct.  The allegations were that between 5 and 20 January 2010 he signed loading </w:t>
      </w:r>
      <w:r w:rsidR="00D91D9D">
        <w:t xml:space="preserve">instructions for </w:t>
      </w:r>
      <w:r w:rsidR="00107DB9">
        <w:t>Salt L</w:t>
      </w:r>
      <w:r w:rsidR="00D91D9D">
        <w:t>akes</w:t>
      </w:r>
      <w:r w:rsidR="00540138">
        <w:t xml:space="preserve"> Transport without a valid contract. He was accused of not exercising the required due diligence when executing his duties in relation thereto</w:t>
      </w:r>
      <w:r w:rsidR="001D0890">
        <w:t>.  Appellant’</w:t>
      </w:r>
      <w:r w:rsidR="00E630A8">
        <w:t>s alleged laxity</w:t>
      </w:r>
      <w:r w:rsidR="001D0890">
        <w:t xml:space="preserve"> and over delegation, over-trust and over-reliance on subord</w:t>
      </w:r>
      <w:r w:rsidR="00E630A8">
        <w:t xml:space="preserve">inates led to the loss of 120 metric tonnes of rice and 30 metric tonnes of </w:t>
      </w:r>
      <w:r w:rsidR="00107DB9">
        <w:t>maize</w:t>
      </w:r>
      <w:r w:rsidR="00B4187F">
        <w:t xml:space="preserve"> all valued at $30 000.00.</w:t>
      </w:r>
    </w:p>
    <w:p w:rsidR="00B4187F" w:rsidRDefault="00B4187F" w:rsidP="00F677E6">
      <w:pPr>
        <w:jc w:val="both"/>
      </w:pPr>
    </w:p>
    <w:p w:rsidR="00B4187F" w:rsidRDefault="00B4187F" w:rsidP="00A25D75">
      <w:pPr>
        <w:spacing w:line="360" w:lineRule="auto"/>
        <w:jc w:val="both"/>
      </w:pPr>
      <w:r>
        <w:tab/>
      </w:r>
      <w:r w:rsidR="001F67DC">
        <w:t>Following a disciplinary hearing Appellant was found guilty and was dismissed from employment with effect from 4 March 2010.  Aggrieved, Appellant appealed to this court on the following grounds;</w:t>
      </w:r>
    </w:p>
    <w:p w:rsidR="001F67DC" w:rsidRDefault="001F67DC" w:rsidP="00F677E6">
      <w:pPr>
        <w:jc w:val="both"/>
      </w:pPr>
    </w:p>
    <w:p w:rsidR="00783D6F" w:rsidRDefault="001F67DC" w:rsidP="001F67DC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It is respectfully </w:t>
      </w:r>
      <w:proofErr w:type="gramStart"/>
      <w:r>
        <w:t>submitted,</w:t>
      </w:r>
      <w:proofErr w:type="gramEnd"/>
      <w:r>
        <w:t xml:space="preserve"> that the Dis</w:t>
      </w:r>
      <w:r w:rsidR="00C2690C">
        <w:t>cip</w:t>
      </w:r>
      <w:r>
        <w:t xml:space="preserve">linary Committee presided over by the two (2) Arbitrators erred in law by proceeding with the hearing to its </w:t>
      </w:r>
      <w:r>
        <w:lastRenderedPageBreak/>
        <w:t>conclusion</w:t>
      </w:r>
      <w:r w:rsidR="00B3710C">
        <w:t xml:space="preserve"> without oral testimonies of the crucial witnesses such as </w:t>
      </w:r>
      <w:proofErr w:type="spellStart"/>
      <w:r w:rsidR="00B3710C">
        <w:t>Tsitsi</w:t>
      </w:r>
      <w:proofErr w:type="spellEnd"/>
      <w:r w:rsidR="00B3710C">
        <w:t xml:space="preserve"> </w:t>
      </w:r>
      <w:proofErr w:type="spellStart"/>
      <w:r w:rsidR="00FB51D8">
        <w:t>Bhudhiyo</w:t>
      </w:r>
      <w:proofErr w:type="spellEnd"/>
      <w:r w:rsidR="00FB51D8">
        <w:t xml:space="preserve">, </w:t>
      </w:r>
      <w:proofErr w:type="spellStart"/>
      <w:r w:rsidR="00FB51D8">
        <w:t>Kandeya</w:t>
      </w:r>
      <w:proofErr w:type="spellEnd"/>
      <w:r w:rsidR="00FB51D8">
        <w:t xml:space="preserve"> and </w:t>
      </w:r>
      <w:proofErr w:type="spellStart"/>
      <w:r w:rsidR="00FB51D8">
        <w:t>Chitung</w:t>
      </w:r>
      <w:r w:rsidR="00AE1B07">
        <w:t>w</w:t>
      </w:r>
      <w:r w:rsidR="00B3710C">
        <w:t>a</w:t>
      </w:r>
      <w:proofErr w:type="spellEnd"/>
      <w:r w:rsidR="00B3710C">
        <w:t>.</w:t>
      </w:r>
    </w:p>
    <w:p w:rsidR="00FC6AA1" w:rsidRDefault="00783D6F" w:rsidP="001F67DC">
      <w:pPr>
        <w:pStyle w:val="ListParagraph"/>
        <w:numPr>
          <w:ilvl w:val="0"/>
          <w:numId w:val="1"/>
        </w:numPr>
        <w:spacing w:line="360" w:lineRule="auto"/>
        <w:jc w:val="both"/>
      </w:pPr>
      <w:r>
        <w:t>It is respectfully submitted, that the hearing a quo erred in finding the appellant</w:t>
      </w:r>
      <w:r w:rsidR="00FC6AA1">
        <w:t xml:space="preserve"> guilty of acts of misconduct in circumstances where defence </w:t>
      </w:r>
      <w:r w:rsidR="00F37511">
        <w:t>was</w:t>
      </w:r>
      <w:r w:rsidR="00FC6AA1">
        <w:t xml:space="preserve"> not controverted or impugned; by any independent evidence.</w:t>
      </w:r>
    </w:p>
    <w:p w:rsidR="006710EC" w:rsidRDefault="00FC6AA1" w:rsidP="001F67DC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It is respectfully submitted, that the rules of natural justice were transgressed in that the officers of the Loss Control Department were  allowed to wear two (2) </w:t>
      </w:r>
      <w:r w:rsidR="00516E6F">
        <w:t>(</w:t>
      </w:r>
      <w:r>
        <w:t>sic</w:t>
      </w:r>
      <w:r w:rsidR="00516E6F">
        <w:t>)</w:t>
      </w:r>
      <w:r>
        <w:t xml:space="preserve"> i.e. as </w:t>
      </w:r>
      <w:r w:rsidR="006F28EE">
        <w:t>the investigators adjudicators and witnesses at the same time; which compromised the fairness and impartiality</w:t>
      </w:r>
      <w:r w:rsidR="006710EC">
        <w:t xml:space="preserve"> of the hearing.</w:t>
      </w:r>
    </w:p>
    <w:p w:rsidR="006710EC" w:rsidRDefault="006710EC" w:rsidP="001F67DC">
      <w:pPr>
        <w:pStyle w:val="ListParagraph"/>
        <w:numPr>
          <w:ilvl w:val="0"/>
          <w:numId w:val="1"/>
        </w:numPr>
        <w:spacing w:line="360" w:lineRule="auto"/>
        <w:jc w:val="both"/>
      </w:pPr>
      <w:r>
        <w:t>It is respectfully submitted, that the Court a quo erred in law in handing down verdict that was manifestly excessive in the circumstances.</w:t>
      </w:r>
    </w:p>
    <w:p w:rsidR="00EE73D2" w:rsidRDefault="006710EC" w:rsidP="00EE73D2">
      <w:pPr>
        <w:pStyle w:val="ListParagraph"/>
        <w:numPr>
          <w:ilvl w:val="0"/>
          <w:numId w:val="1"/>
        </w:numPr>
        <w:spacing w:line="360" w:lineRule="auto"/>
        <w:jc w:val="both"/>
      </w:pPr>
      <w:r>
        <w:t>It is respectfully submitted, that the decision by the hearing a quo was a complete misdirection of facts to the extent that it was so outrageous in its defi</w:t>
      </w:r>
      <w:r w:rsidR="00EE73D2">
        <w:t>ance of logic and accepted moral of (sic) standards that no person who had properly applied his mind to it would have arrived at such a decision.</w:t>
      </w:r>
    </w:p>
    <w:p w:rsidR="009168E8" w:rsidRDefault="009168E8" w:rsidP="00F677E6">
      <w:pPr>
        <w:jc w:val="both"/>
      </w:pPr>
    </w:p>
    <w:p w:rsidR="002640F3" w:rsidRDefault="009168E8" w:rsidP="00EE73D2">
      <w:pPr>
        <w:spacing w:line="360" w:lineRule="auto"/>
        <w:jc w:val="both"/>
      </w:pPr>
      <w:r>
        <w:t>Appellant prayed for the</w:t>
      </w:r>
      <w:r w:rsidR="00737DA9">
        <w:t xml:space="preserve"> </w:t>
      </w:r>
      <w:r w:rsidR="006D6ACE">
        <w:t>setting aside of the decision of the hearing a quo. In response Respondent stated that</w:t>
      </w:r>
      <w:r w:rsidR="002640F3">
        <w:t>;</w:t>
      </w:r>
    </w:p>
    <w:p w:rsidR="002640F3" w:rsidRDefault="002640F3" w:rsidP="00F677E6">
      <w:pPr>
        <w:jc w:val="both"/>
      </w:pPr>
    </w:p>
    <w:p w:rsidR="005C7CDB" w:rsidRDefault="002640F3" w:rsidP="002640F3">
      <w:pPr>
        <w:pStyle w:val="ListParagraph"/>
        <w:numPr>
          <w:ilvl w:val="0"/>
          <w:numId w:val="2"/>
        </w:numPr>
        <w:spacing w:line="360" w:lineRule="auto"/>
        <w:jc w:val="both"/>
      </w:pPr>
      <w:r>
        <w:t>It was not for the Committee to call the witnesses if indeed they were crucial.  It was in the province of the Respondent through</w:t>
      </w:r>
      <w:r w:rsidR="005C7CDB">
        <w:t xml:space="preserve"> the </w:t>
      </w:r>
      <w:r w:rsidR="00CD69EF">
        <w:t>complainant</w:t>
      </w:r>
      <w:r w:rsidR="005C7CDB">
        <w:t xml:space="preserve"> to choose which evidence to rely on.</w:t>
      </w:r>
    </w:p>
    <w:p w:rsidR="00DC77CC" w:rsidRDefault="00E57FF2" w:rsidP="002640F3">
      <w:pPr>
        <w:pStyle w:val="ListParagraph"/>
        <w:numPr>
          <w:ilvl w:val="0"/>
          <w:numId w:val="2"/>
        </w:numPr>
        <w:spacing w:line="360" w:lineRule="auto"/>
        <w:jc w:val="both"/>
      </w:pPr>
      <w:r>
        <w:t>At all material times the evidence by the complainant and loss control controverted and/or impugned the defence by the</w:t>
      </w:r>
      <w:r w:rsidR="00CD69EF">
        <w:t xml:space="preserve"> appellant.</w:t>
      </w:r>
      <w:r w:rsidR="006D6ACE">
        <w:t xml:space="preserve">  </w:t>
      </w:r>
    </w:p>
    <w:p w:rsidR="009B02D4" w:rsidRDefault="00DC77CC" w:rsidP="002640F3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No natural justice was transgressed. Loss Control department investigated the matter and </w:t>
      </w:r>
      <w:r w:rsidR="009A6642">
        <w:t>produced a report.  In the hearing they only presented their report and the findings they made.</w:t>
      </w:r>
    </w:p>
    <w:p w:rsidR="009B02D4" w:rsidRDefault="009B02D4" w:rsidP="002640F3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verdict cannot be excessive regard being (</w:t>
      </w:r>
      <w:r w:rsidR="00636A66">
        <w:t>s</w:t>
      </w:r>
      <w:r>
        <w:t>ic) to the circumstances of the case and the nature of the misconduct Appellant was found guilty of as they went to the root of the contract of employment.</w:t>
      </w:r>
    </w:p>
    <w:p w:rsidR="005C7F39" w:rsidRDefault="00510398" w:rsidP="002640F3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decision was fair and reasonable.  A</w:t>
      </w:r>
      <w:r w:rsidR="00636A66">
        <w:t>ppellant’s acts of misconduct we</w:t>
      </w:r>
      <w:r>
        <w:t>nt to the</w:t>
      </w:r>
      <w:r w:rsidR="006D6ACE">
        <w:t xml:space="preserve"> </w:t>
      </w:r>
      <w:r w:rsidR="008C40FD">
        <w:t>root of the employment relationship</w:t>
      </w:r>
      <w:r w:rsidR="00090086">
        <w:t xml:space="preserve">.  He neglected his duties, over-delegated his duties, over relied on subordinates and caused gross loss to the </w:t>
      </w:r>
      <w:r w:rsidR="00090086">
        <w:lastRenderedPageBreak/>
        <w:t>Res</w:t>
      </w:r>
      <w:r w:rsidR="005C7F39">
        <w:t xml:space="preserve">pondent contrary to his duty as the manager of such </w:t>
      </w:r>
      <w:r w:rsidR="00F37511">
        <w:t>an</w:t>
      </w:r>
      <w:r w:rsidR="005C7F39">
        <w:t xml:space="preserve"> important department of logistics and distribution.</w:t>
      </w:r>
    </w:p>
    <w:p w:rsidR="007D0BE4" w:rsidRDefault="007D0BE4" w:rsidP="00F677E6">
      <w:pPr>
        <w:jc w:val="both"/>
      </w:pPr>
    </w:p>
    <w:p w:rsidR="007D0BE4" w:rsidRDefault="007D0BE4" w:rsidP="007D0BE4">
      <w:pPr>
        <w:spacing w:line="360" w:lineRule="auto"/>
        <w:jc w:val="both"/>
      </w:pPr>
      <w:r>
        <w:t>Respondent prayed for the dismissal of the appeal.</w:t>
      </w:r>
    </w:p>
    <w:p w:rsidR="007D0BE4" w:rsidRDefault="007D0BE4" w:rsidP="00F677E6">
      <w:pPr>
        <w:jc w:val="both"/>
      </w:pPr>
    </w:p>
    <w:p w:rsidR="007D0BE4" w:rsidRPr="00681F22" w:rsidRDefault="009755D6" w:rsidP="007D0BE4">
      <w:pPr>
        <w:spacing w:line="360" w:lineRule="auto"/>
        <w:jc w:val="both"/>
        <w:rPr>
          <w:u w:val="single"/>
        </w:rPr>
      </w:pPr>
      <w:r>
        <w:rPr>
          <w:u w:val="single"/>
        </w:rPr>
        <w:t>Ground of A</w:t>
      </w:r>
      <w:r w:rsidR="007D0BE4" w:rsidRPr="00681F22">
        <w:rPr>
          <w:u w:val="single"/>
        </w:rPr>
        <w:t>ppeal 1</w:t>
      </w:r>
    </w:p>
    <w:p w:rsidR="007D0BE4" w:rsidRDefault="007D0BE4" w:rsidP="00081F5C">
      <w:pPr>
        <w:jc w:val="both"/>
      </w:pPr>
    </w:p>
    <w:p w:rsidR="00632D7F" w:rsidRDefault="007D0BE4" w:rsidP="007D0BE4">
      <w:pPr>
        <w:spacing w:line="360" w:lineRule="auto"/>
        <w:jc w:val="both"/>
      </w:pPr>
      <w:r>
        <w:tab/>
        <w:t>Appellant criti</w:t>
      </w:r>
      <w:r w:rsidR="00407AB7">
        <w:t xml:space="preserve">cises the Disciplinary </w:t>
      </w:r>
      <w:r w:rsidR="00594AFA">
        <w:t xml:space="preserve">Committee for proceeding with the hearing to its conclusion without </w:t>
      </w:r>
      <w:r w:rsidR="00856900">
        <w:t>oral testimony of crucial witnesses.  It is difficult to understand what the oral testimonies would prove.</w:t>
      </w:r>
      <w:r w:rsidR="006D6ACE">
        <w:t xml:space="preserve"> </w:t>
      </w:r>
      <w:r w:rsidR="000A2FD8">
        <w:t xml:space="preserve">It is common cause that Appellant did not see the contract between Respondent and </w:t>
      </w:r>
      <w:r w:rsidR="00551907">
        <w:t>S</w:t>
      </w:r>
      <w:r w:rsidR="000A2FD8">
        <w:t>alt</w:t>
      </w:r>
      <w:r w:rsidR="00C25AE4">
        <w:t xml:space="preserve"> </w:t>
      </w:r>
      <w:r w:rsidR="00BA34D7">
        <w:t>L</w:t>
      </w:r>
      <w:r w:rsidR="000A2FD8">
        <w:t xml:space="preserve">akes. He acted on the </w:t>
      </w:r>
      <w:r w:rsidR="00CE192F">
        <w:t xml:space="preserve">advice of his subordinate.  The record of proceedings shows that on two </w:t>
      </w:r>
      <w:r w:rsidR="00E26BAC">
        <w:t xml:space="preserve">occasions </w:t>
      </w:r>
      <w:r w:rsidR="00551907">
        <w:t>he asked about Salt</w:t>
      </w:r>
      <w:r w:rsidR="00C25AE4">
        <w:t xml:space="preserve"> </w:t>
      </w:r>
      <w:r w:rsidR="00BA34D7">
        <w:t>L</w:t>
      </w:r>
      <w:r w:rsidR="00551907">
        <w:t>akes as a transporter</w:t>
      </w:r>
      <w:r w:rsidR="00C25AE4">
        <w:t xml:space="preserve"> but</w:t>
      </w:r>
      <w:r w:rsidR="00632D7F">
        <w:t xml:space="preserve"> </w:t>
      </w:r>
      <w:r w:rsidR="00C25AE4">
        <w:t xml:space="preserve">did not verify its authenticity. In his report on </w:t>
      </w:r>
      <w:r w:rsidR="00F37511">
        <w:t>page 95</w:t>
      </w:r>
      <w:r w:rsidR="00632D7F">
        <w:t xml:space="preserve"> he states</w:t>
      </w:r>
    </w:p>
    <w:p w:rsidR="00632D7F" w:rsidRDefault="00632D7F" w:rsidP="00081F5C">
      <w:pPr>
        <w:jc w:val="both"/>
      </w:pPr>
    </w:p>
    <w:p w:rsidR="00FF305C" w:rsidRPr="00081F5C" w:rsidRDefault="00632D7F" w:rsidP="00081F5C">
      <w:pPr>
        <w:spacing w:line="276" w:lineRule="auto"/>
        <w:ind w:left="720"/>
        <w:jc w:val="both"/>
        <w:rPr>
          <w:sz w:val="22"/>
          <w:szCs w:val="22"/>
        </w:rPr>
      </w:pPr>
      <w:r w:rsidRPr="00081F5C">
        <w:rPr>
          <w:sz w:val="22"/>
          <w:szCs w:val="22"/>
        </w:rPr>
        <w:t xml:space="preserve">“When the loading instructions came for my signature I felt a </w:t>
      </w:r>
      <w:r w:rsidR="00BA34D7">
        <w:rPr>
          <w:sz w:val="22"/>
          <w:szCs w:val="22"/>
        </w:rPr>
        <w:t>h</w:t>
      </w:r>
      <w:r w:rsidR="00A923C8" w:rsidRPr="00081F5C">
        <w:rPr>
          <w:sz w:val="22"/>
          <w:szCs w:val="22"/>
        </w:rPr>
        <w:t>unch and again asked</w:t>
      </w:r>
      <w:r w:rsidR="00BA34D7">
        <w:rPr>
          <w:sz w:val="22"/>
          <w:szCs w:val="22"/>
        </w:rPr>
        <w:t xml:space="preserve"> whether the hardly known Salt L</w:t>
      </w:r>
      <w:r w:rsidR="00A923C8" w:rsidRPr="00081F5C">
        <w:rPr>
          <w:sz w:val="22"/>
          <w:szCs w:val="22"/>
        </w:rPr>
        <w:t>ake</w:t>
      </w:r>
      <w:r w:rsidR="00BA34D7">
        <w:rPr>
          <w:sz w:val="22"/>
          <w:szCs w:val="22"/>
        </w:rPr>
        <w:t>s</w:t>
      </w:r>
      <w:r w:rsidR="00A923C8" w:rsidRPr="00081F5C">
        <w:rPr>
          <w:sz w:val="22"/>
          <w:szCs w:val="22"/>
        </w:rPr>
        <w:t xml:space="preserve"> Transport had </w:t>
      </w:r>
      <w:r w:rsidR="00FF305C" w:rsidRPr="00081F5C">
        <w:rPr>
          <w:sz w:val="22"/>
          <w:szCs w:val="22"/>
        </w:rPr>
        <w:t>met all the standard requirements to have a valid contract with GMB.”</w:t>
      </w:r>
    </w:p>
    <w:p w:rsidR="00FF305C" w:rsidRDefault="00FF305C" w:rsidP="00081F5C">
      <w:pPr>
        <w:jc w:val="both"/>
      </w:pPr>
    </w:p>
    <w:p w:rsidR="004E0EC5" w:rsidRDefault="00FF305C" w:rsidP="007D0BE4">
      <w:pPr>
        <w:spacing w:line="360" w:lineRule="auto"/>
        <w:jc w:val="both"/>
      </w:pPr>
      <w:r>
        <w:tab/>
        <w:t>In my view the evidence before</w:t>
      </w:r>
      <w:r w:rsidR="004E1B4B">
        <w:t xml:space="preserve"> the Committee was sufficient.  In any </w:t>
      </w:r>
      <w:r w:rsidR="00594C24">
        <w:t xml:space="preserve">event nothing precluded Appellant from indicating </w:t>
      </w:r>
      <w:r w:rsidR="008E7FC8">
        <w:t xml:space="preserve">that he required </w:t>
      </w:r>
      <w:r w:rsidR="00541637">
        <w:t xml:space="preserve">the </w:t>
      </w:r>
      <w:r w:rsidR="004E0EC5">
        <w:t>witnesses to attend and give evidence.  I therefore find no merit in this ground of appeal.</w:t>
      </w:r>
    </w:p>
    <w:p w:rsidR="004E0EC5" w:rsidRDefault="004E0EC5" w:rsidP="00081F5C">
      <w:pPr>
        <w:jc w:val="both"/>
      </w:pPr>
    </w:p>
    <w:p w:rsidR="006C327C" w:rsidRPr="00E37D54" w:rsidRDefault="004E0EC5" w:rsidP="007D0BE4">
      <w:pPr>
        <w:spacing w:line="360" w:lineRule="auto"/>
        <w:jc w:val="both"/>
        <w:rPr>
          <w:u w:val="single"/>
        </w:rPr>
      </w:pPr>
      <w:r w:rsidRPr="00E37D54">
        <w:rPr>
          <w:u w:val="single"/>
        </w:rPr>
        <w:t>Ground</w:t>
      </w:r>
      <w:r w:rsidR="006C327C" w:rsidRPr="00E37D54">
        <w:rPr>
          <w:u w:val="single"/>
        </w:rPr>
        <w:t xml:space="preserve"> of Appeal 2</w:t>
      </w:r>
    </w:p>
    <w:p w:rsidR="006C327C" w:rsidRDefault="006C327C" w:rsidP="00E37D54">
      <w:pPr>
        <w:jc w:val="both"/>
      </w:pPr>
    </w:p>
    <w:p w:rsidR="00A00323" w:rsidRDefault="006C327C" w:rsidP="007D0BE4">
      <w:pPr>
        <w:spacing w:line="360" w:lineRule="auto"/>
        <w:jc w:val="both"/>
      </w:pPr>
      <w:r>
        <w:tab/>
        <w:t>Appellant alleges that his defence was not controverted or i</w:t>
      </w:r>
      <w:r w:rsidR="00B21656">
        <w:t>mpugned by any independence evidence. The defence is that he was misled by subordinates</w:t>
      </w:r>
      <w:r w:rsidR="00C724CE">
        <w:t xml:space="preserve">. Counsel for appellant argued that it is </w:t>
      </w:r>
      <w:r w:rsidR="009B79EF">
        <w:t>difficult to say why the fraudulent act of the subordinate should be visited on the Appellant.  This is in the face of the fact that</w:t>
      </w:r>
      <w:r w:rsidR="00182973">
        <w:t xml:space="preserve"> Appellant did not dispute signing the </w:t>
      </w:r>
      <w:r w:rsidR="00AA4814">
        <w:t>loading</w:t>
      </w:r>
      <w:r w:rsidR="007E2356">
        <w:t xml:space="preserve"> instructions without the </w:t>
      </w:r>
      <w:r w:rsidR="00F41CE0">
        <w:t>contract.  He does not dispute being the overseer.  In the decision of the disciplinary committee, it is stated.</w:t>
      </w:r>
    </w:p>
    <w:p w:rsidR="00A00323" w:rsidRDefault="00A00323" w:rsidP="00927BDF">
      <w:pPr>
        <w:jc w:val="both"/>
      </w:pPr>
    </w:p>
    <w:p w:rsidR="00A65999" w:rsidRDefault="00A00323" w:rsidP="00E37D54">
      <w:pPr>
        <w:spacing w:line="276" w:lineRule="auto"/>
        <w:ind w:left="720"/>
        <w:jc w:val="both"/>
      </w:pPr>
      <w:r w:rsidRPr="00E37D54">
        <w:rPr>
          <w:sz w:val="22"/>
          <w:szCs w:val="22"/>
        </w:rPr>
        <w:t xml:space="preserve">“Respondent does not deny that applicant </w:t>
      </w:r>
      <w:r w:rsidR="00633B18" w:rsidRPr="00E37D54">
        <w:rPr>
          <w:sz w:val="22"/>
          <w:szCs w:val="22"/>
        </w:rPr>
        <w:t xml:space="preserve">incurred a loss of goods </w:t>
      </w:r>
      <w:r w:rsidR="00066497" w:rsidRPr="00E37D54">
        <w:rPr>
          <w:sz w:val="22"/>
          <w:szCs w:val="22"/>
        </w:rPr>
        <w:t xml:space="preserve">in the sum of $130 000 through </w:t>
      </w:r>
      <w:r w:rsidR="00066497" w:rsidRPr="005F67AD">
        <w:rPr>
          <w:sz w:val="22"/>
          <w:szCs w:val="22"/>
          <w:u w:val="single"/>
        </w:rPr>
        <w:t>his negligence</w:t>
      </w:r>
      <w:r w:rsidR="00066497" w:rsidRPr="00E37D54">
        <w:rPr>
          <w:sz w:val="22"/>
          <w:szCs w:val="22"/>
        </w:rPr>
        <w:t xml:space="preserve">. It is also not in dispute that respondent </w:t>
      </w:r>
      <w:r w:rsidR="00A67963" w:rsidRPr="00E37D54">
        <w:rPr>
          <w:sz w:val="22"/>
          <w:szCs w:val="22"/>
        </w:rPr>
        <w:t xml:space="preserve">over delegated and our relied on his subordinate, one Tsitsi </w:t>
      </w:r>
      <w:r w:rsidR="00090F0E" w:rsidRPr="00E37D54">
        <w:rPr>
          <w:sz w:val="22"/>
          <w:szCs w:val="22"/>
        </w:rPr>
        <w:t xml:space="preserve">Bhudhiyo.  Respondent has </w:t>
      </w:r>
      <w:r w:rsidR="00090F0E" w:rsidRPr="00E37D54">
        <w:rPr>
          <w:sz w:val="22"/>
          <w:szCs w:val="22"/>
        </w:rPr>
        <w:lastRenderedPageBreak/>
        <w:t>not shown that his misconduct though technically</w:t>
      </w:r>
      <w:r w:rsidR="00B831F3" w:rsidRPr="00E37D54">
        <w:rPr>
          <w:sz w:val="22"/>
          <w:szCs w:val="22"/>
        </w:rPr>
        <w:t xml:space="preserve"> inconsistent with the fulfillment of the conditions </w:t>
      </w:r>
      <w:r w:rsidR="00EA22D7" w:rsidRPr="00E37D54">
        <w:rPr>
          <w:sz w:val="22"/>
          <w:szCs w:val="22"/>
        </w:rPr>
        <w:t xml:space="preserve">of his contract, was so trial so inadvertent, </w:t>
      </w:r>
      <w:r w:rsidR="0080413B" w:rsidRPr="00E37D54">
        <w:rPr>
          <w:sz w:val="22"/>
          <w:szCs w:val="22"/>
        </w:rPr>
        <w:t>so aberrant or so otherwise so excusable that the remedy of summary dismissal is not war</w:t>
      </w:r>
      <w:r w:rsidR="00FF21AB" w:rsidRPr="00E37D54">
        <w:rPr>
          <w:sz w:val="22"/>
          <w:szCs w:val="22"/>
        </w:rPr>
        <w:t>ranted.”</w:t>
      </w:r>
      <w:r w:rsidR="00A65999" w:rsidRPr="00E37D54">
        <w:rPr>
          <w:sz w:val="22"/>
          <w:szCs w:val="22"/>
        </w:rPr>
        <w:t xml:space="preserve"> </w:t>
      </w:r>
      <w:r w:rsidR="00FF21AB">
        <w:t>(</w:t>
      </w:r>
      <w:r w:rsidR="00927BDF">
        <w:t>Underlining</w:t>
      </w:r>
      <w:r w:rsidR="00FF21AB">
        <w:t xml:space="preserve"> for emphasis).</w:t>
      </w:r>
      <w:r w:rsidR="00182973">
        <w:t xml:space="preserve"> </w:t>
      </w:r>
    </w:p>
    <w:p w:rsidR="00A65999" w:rsidRDefault="00A65999" w:rsidP="00927BDF">
      <w:pPr>
        <w:jc w:val="both"/>
      </w:pPr>
    </w:p>
    <w:p w:rsidR="00905212" w:rsidRDefault="00A65999" w:rsidP="007D0BE4">
      <w:pPr>
        <w:spacing w:line="360" w:lineRule="auto"/>
        <w:jc w:val="both"/>
      </w:pPr>
      <w:r>
        <w:tab/>
      </w:r>
      <w:r w:rsidR="00F2364E">
        <w:t xml:space="preserve">In light of the statement above it is difficult </w:t>
      </w:r>
      <w:r w:rsidR="00604D47">
        <w:t xml:space="preserve">to </w:t>
      </w:r>
      <w:r w:rsidR="00840EED">
        <w:t xml:space="preserve">understand on what basis Appellant says </w:t>
      </w:r>
      <w:r w:rsidR="00EC5172">
        <w:t xml:space="preserve">his defence was not controverted. He </w:t>
      </w:r>
      <w:r w:rsidR="008201C5">
        <w:t>m</w:t>
      </w:r>
      <w:r w:rsidR="00EC5172">
        <w:t xml:space="preserve">ade </w:t>
      </w:r>
      <w:r w:rsidR="00F37511">
        <w:t>admissions that show</w:t>
      </w:r>
      <w:r w:rsidR="00EC5172">
        <w:t xml:space="preserve"> that</w:t>
      </w:r>
      <w:r w:rsidR="008201C5">
        <w:t xml:space="preserve"> he acted contrary to his responsibility as a manager.  He </w:t>
      </w:r>
      <w:r w:rsidR="00B66A95">
        <w:t xml:space="preserve">betrayed the trust that was reposed in him.  Even when </w:t>
      </w:r>
      <w:r w:rsidR="00AE4EB4">
        <w:t>he had a h</w:t>
      </w:r>
      <w:r w:rsidR="004E1823">
        <w:t xml:space="preserve">unch, he did not act </w:t>
      </w:r>
      <w:r w:rsidR="00FB7B5B">
        <w:t xml:space="preserve">responsibly by insisting on seeing the contract document.  In his position it was irresponsible </w:t>
      </w:r>
      <w:r w:rsidR="00905212">
        <w:t>of him to rely on the mere say so of a subordinate, especially where valuable goods were involved. I find no merit in the second ground of appeal.</w:t>
      </w:r>
    </w:p>
    <w:p w:rsidR="00905212" w:rsidRDefault="00905212" w:rsidP="00927BDF">
      <w:pPr>
        <w:jc w:val="both"/>
      </w:pPr>
    </w:p>
    <w:p w:rsidR="00295B05" w:rsidRPr="00927BDF" w:rsidRDefault="009755D6" w:rsidP="007D0BE4">
      <w:pPr>
        <w:spacing w:line="360" w:lineRule="auto"/>
        <w:jc w:val="both"/>
        <w:rPr>
          <w:u w:val="single"/>
        </w:rPr>
      </w:pPr>
      <w:r w:rsidRPr="00927BDF">
        <w:rPr>
          <w:u w:val="single"/>
        </w:rPr>
        <w:t>Ground of A</w:t>
      </w:r>
      <w:r w:rsidR="00295B05" w:rsidRPr="00927BDF">
        <w:rPr>
          <w:u w:val="single"/>
        </w:rPr>
        <w:t>ppeal 3</w:t>
      </w:r>
    </w:p>
    <w:p w:rsidR="00295B05" w:rsidRDefault="00295B05" w:rsidP="00927BDF">
      <w:pPr>
        <w:jc w:val="both"/>
      </w:pPr>
    </w:p>
    <w:p w:rsidR="00243A6F" w:rsidRDefault="009152B5" w:rsidP="007D0BE4">
      <w:pPr>
        <w:spacing w:line="360" w:lineRule="auto"/>
        <w:jc w:val="both"/>
      </w:pPr>
      <w:r>
        <w:tab/>
        <w:t xml:space="preserve">Appellant alleges that rules of natural justice were transgressed.  Counsel </w:t>
      </w:r>
      <w:r w:rsidR="00234D13">
        <w:t xml:space="preserve">for Appellant conceded that this ground of appeal deals with procedural issues.  He was however of the view that it is a situation where the </w:t>
      </w:r>
      <w:r w:rsidR="00D22785">
        <w:t xml:space="preserve">ground of </w:t>
      </w:r>
      <w:r w:rsidR="00C8345F">
        <w:t xml:space="preserve">review is the same as the ground of appeal. </w:t>
      </w:r>
      <w:r w:rsidR="00012FBF">
        <w:t xml:space="preserve">In my view the </w:t>
      </w:r>
      <w:r w:rsidR="001D59B6">
        <w:t xml:space="preserve">Appellant is aggrieved by the </w:t>
      </w:r>
      <w:r w:rsidR="00C25857">
        <w:t>m</w:t>
      </w:r>
      <w:r w:rsidR="001D59B6">
        <w:t xml:space="preserve">ethod of trial. </w:t>
      </w:r>
      <w:r w:rsidR="00814F82">
        <w:t>He is not complaining about a wrong conclusion on the facts or the law.  In such circumstances the proper procedure i</w:t>
      </w:r>
      <w:r w:rsidR="00393A9B">
        <w:t xml:space="preserve">s an application for review.  See </w:t>
      </w:r>
      <w:proofErr w:type="spellStart"/>
      <w:r w:rsidR="00393A9B">
        <w:t>Herbstein</w:t>
      </w:r>
      <w:proofErr w:type="spellEnd"/>
      <w:r w:rsidR="00D86E17">
        <w:t xml:space="preserve"> </w:t>
      </w:r>
      <w:proofErr w:type="gramStart"/>
      <w:r w:rsidR="00D86E17">
        <w:t>&amp;  Va</w:t>
      </w:r>
      <w:r w:rsidR="00393A9B">
        <w:t>n</w:t>
      </w:r>
      <w:proofErr w:type="gramEnd"/>
      <w:r w:rsidR="00393A9B">
        <w:t xml:space="preserve"> </w:t>
      </w:r>
      <w:proofErr w:type="spellStart"/>
      <w:r w:rsidR="00393A9B">
        <w:t>Winsen</w:t>
      </w:r>
      <w:proofErr w:type="spellEnd"/>
      <w:r w:rsidR="000D47EE">
        <w:t xml:space="preserve"> </w:t>
      </w:r>
      <w:r w:rsidR="000D47EE" w:rsidRPr="00D86E17">
        <w:rPr>
          <w:u w:val="single"/>
        </w:rPr>
        <w:t>The Civil Practice of the Superior Courts in South Africa</w:t>
      </w:r>
      <w:r w:rsidR="000D47EE">
        <w:t xml:space="preserve"> </w:t>
      </w:r>
      <w:r w:rsidR="003A0C6C">
        <w:t>(2</w:t>
      </w:r>
      <w:r w:rsidR="003A0C6C" w:rsidRPr="003A0C6C">
        <w:rPr>
          <w:vertAlign w:val="superscript"/>
        </w:rPr>
        <w:t>nd</w:t>
      </w:r>
      <w:r w:rsidR="003A0C6C">
        <w:t xml:space="preserve"> ed) at p668. I therefore find that the third gr</w:t>
      </w:r>
      <w:r w:rsidR="00243A6F">
        <w:t>o</w:t>
      </w:r>
      <w:r w:rsidR="003A0C6C">
        <w:t>un</w:t>
      </w:r>
      <w:r w:rsidR="00243A6F">
        <w:t>d</w:t>
      </w:r>
      <w:r w:rsidR="003A0C6C">
        <w:t xml:space="preserve"> of appeal improperly raises </w:t>
      </w:r>
      <w:r w:rsidR="00243A6F">
        <w:t>review issues.  For that reason it is struck off the record.</w:t>
      </w:r>
    </w:p>
    <w:p w:rsidR="00746955" w:rsidRDefault="00746955" w:rsidP="0054083E">
      <w:pPr>
        <w:jc w:val="both"/>
      </w:pPr>
    </w:p>
    <w:p w:rsidR="00746955" w:rsidRPr="0054083E" w:rsidRDefault="009755D6" w:rsidP="007D0BE4">
      <w:pPr>
        <w:spacing w:line="360" w:lineRule="auto"/>
        <w:jc w:val="both"/>
        <w:rPr>
          <w:u w:val="single"/>
        </w:rPr>
      </w:pPr>
      <w:r w:rsidRPr="0054083E">
        <w:rPr>
          <w:u w:val="single"/>
        </w:rPr>
        <w:t>Ground of Appeal 4</w:t>
      </w:r>
    </w:p>
    <w:p w:rsidR="004079B6" w:rsidRDefault="004079B6" w:rsidP="007D0BE4">
      <w:pPr>
        <w:spacing w:line="360" w:lineRule="auto"/>
        <w:jc w:val="both"/>
      </w:pPr>
      <w:r>
        <w:tab/>
        <w:t>Appellant alleges that the verdict handed down was manifestly excessive in the circumstances.  As</w:t>
      </w:r>
      <w:r w:rsidR="00662714">
        <w:t xml:space="preserve"> submitted for Respondent a verdict is a finding of whether guilty or not.  It can never be termed “manifestly</w:t>
      </w:r>
      <w:r w:rsidR="000779D3">
        <w:t xml:space="preserve"> excessive in the circumstances.”</w:t>
      </w:r>
    </w:p>
    <w:p w:rsidR="000779D3" w:rsidRDefault="000779D3" w:rsidP="0054083E">
      <w:pPr>
        <w:jc w:val="both"/>
      </w:pPr>
    </w:p>
    <w:p w:rsidR="000779D3" w:rsidRDefault="000779D3" w:rsidP="007D0BE4">
      <w:pPr>
        <w:spacing w:line="360" w:lineRule="auto"/>
        <w:jc w:val="both"/>
      </w:pPr>
      <w:r>
        <w:tab/>
        <w:t>Assuming that Appellant intended to make reference to the penalty</w:t>
      </w:r>
      <w:r w:rsidR="005E068A">
        <w:t>, the Disciplinary Committee’s decision cannot be faulted.  It is</w:t>
      </w:r>
      <w:r w:rsidR="00A9195C">
        <w:t xml:space="preserve"> trite that the penalty to be me</w:t>
      </w:r>
      <w:r w:rsidR="005E068A">
        <w:t>ted in a particular case is at</w:t>
      </w:r>
      <w:r w:rsidR="00F96D75">
        <w:t xml:space="preserve"> the discretion of the employer unless it can be </w:t>
      </w:r>
      <w:r w:rsidR="00BC32A5">
        <w:t>demonstrated</w:t>
      </w:r>
      <w:r w:rsidR="00F96D75">
        <w:t xml:space="preserve"> that the penalty was decided </w:t>
      </w:r>
      <w:r w:rsidR="008D0857">
        <w:t>upon</w:t>
      </w:r>
      <w:r w:rsidR="00BC32A5">
        <w:t xml:space="preserve"> in circumstances where the facts of </w:t>
      </w:r>
      <w:r w:rsidR="008D0857">
        <w:t xml:space="preserve">the particular case dictate otherwise.  See </w:t>
      </w:r>
      <w:r w:rsidR="008D0857" w:rsidRPr="007F0AE1">
        <w:rPr>
          <w:i/>
        </w:rPr>
        <w:t>Malimanji</w:t>
      </w:r>
      <w:r w:rsidR="008D0857">
        <w:t xml:space="preserve"> v </w:t>
      </w:r>
      <w:r w:rsidR="008D0857" w:rsidRPr="007F0AE1">
        <w:rPr>
          <w:i/>
        </w:rPr>
        <w:t>CABS</w:t>
      </w:r>
      <w:r w:rsidR="008D0857">
        <w:t xml:space="preserve"> 2007 (2) </w:t>
      </w:r>
      <w:r w:rsidR="00C66C7E">
        <w:t>ZLR</w:t>
      </w:r>
      <w:r w:rsidR="008D0857">
        <w:t xml:space="preserve"> 77. </w:t>
      </w:r>
      <w:r w:rsidR="00C66C7E">
        <w:t xml:space="preserve">No </w:t>
      </w:r>
      <w:r w:rsidR="003239B5">
        <w:lastRenderedPageBreak/>
        <w:t xml:space="preserve">misdirection has been alleged in this case.  </w:t>
      </w:r>
      <w:r w:rsidR="00421120">
        <w:t>There is no merit in this ground of appeal as well.</w:t>
      </w:r>
    </w:p>
    <w:p w:rsidR="00421120" w:rsidRDefault="00421120" w:rsidP="0054083E">
      <w:pPr>
        <w:jc w:val="both"/>
      </w:pPr>
    </w:p>
    <w:p w:rsidR="00421120" w:rsidRPr="0054083E" w:rsidRDefault="00421120" w:rsidP="007D0BE4">
      <w:pPr>
        <w:spacing w:line="360" w:lineRule="auto"/>
        <w:jc w:val="both"/>
        <w:rPr>
          <w:u w:val="single"/>
        </w:rPr>
      </w:pPr>
      <w:r w:rsidRPr="0054083E">
        <w:rPr>
          <w:u w:val="single"/>
        </w:rPr>
        <w:t>Ground of Appeal 5</w:t>
      </w:r>
    </w:p>
    <w:p w:rsidR="00421120" w:rsidRDefault="00421120" w:rsidP="0054083E">
      <w:pPr>
        <w:jc w:val="both"/>
      </w:pPr>
    </w:p>
    <w:p w:rsidR="00421120" w:rsidRDefault="00421120" w:rsidP="007D0BE4">
      <w:pPr>
        <w:spacing w:line="360" w:lineRule="auto"/>
        <w:jc w:val="both"/>
      </w:pPr>
      <w:r>
        <w:tab/>
      </w:r>
      <w:r w:rsidR="0006348D">
        <w:t xml:space="preserve">Appellant alleges that the decision of the hearing </w:t>
      </w:r>
      <w:r w:rsidR="0006348D" w:rsidRPr="007F0AE1">
        <w:rPr>
          <w:u w:val="single"/>
        </w:rPr>
        <w:t>a</w:t>
      </w:r>
      <w:r w:rsidR="0006348D">
        <w:t xml:space="preserve"> </w:t>
      </w:r>
      <w:r w:rsidR="0006348D" w:rsidRPr="007F0AE1">
        <w:rPr>
          <w:u w:val="single"/>
        </w:rPr>
        <w:t>qu</w:t>
      </w:r>
      <w:r w:rsidR="007F0AE1" w:rsidRPr="007F0AE1">
        <w:rPr>
          <w:u w:val="single"/>
        </w:rPr>
        <w:t>o</w:t>
      </w:r>
      <w:r w:rsidR="007F0AE1">
        <w:t xml:space="preserve"> was a complete misdirection of the facts.  Appellant did not elaborate where the misdirection was.  In oral submissions Counsel for Appellant </w:t>
      </w:r>
      <w:r w:rsidR="000A65FC">
        <w:t xml:space="preserve">stated that the decision was handed down in circumstances where one of </w:t>
      </w:r>
      <w:r w:rsidR="001A7782">
        <w:t>the subordinates confessed. In my</w:t>
      </w:r>
      <w:r w:rsidR="00A86028">
        <w:t xml:space="preserve"> view the confession by the</w:t>
      </w:r>
      <w:r w:rsidR="001A7782">
        <w:t xml:space="preserve"> subordinate does not exonerate Appellant.</w:t>
      </w:r>
    </w:p>
    <w:p w:rsidR="00DA7057" w:rsidRDefault="00DA7057" w:rsidP="0054083E">
      <w:pPr>
        <w:jc w:val="both"/>
      </w:pPr>
    </w:p>
    <w:p w:rsidR="007B3793" w:rsidRDefault="00DA7057" w:rsidP="007D0BE4">
      <w:pPr>
        <w:spacing w:line="360" w:lineRule="auto"/>
        <w:jc w:val="both"/>
      </w:pPr>
      <w:r>
        <w:tab/>
        <w:t>The reason he was made a manager was to supervise the subordinates.</w:t>
      </w:r>
      <w:r w:rsidR="00DA7F5E">
        <w:t xml:space="preserve"> Relying on subordinates’</w:t>
      </w:r>
      <w:r w:rsidR="005C7E56">
        <w:t xml:space="preserve"> </w:t>
      </w:r>
      <w:r w:rsidR="00DA7F5E">
        <w:t>representations without</w:t>
      </w:r>
      <w:r w:rsidR="005C7E56">
        <w:t xml:space="preserve"> confirming the authenticity of those representations in my view is a dereliction of </w:t>
      </w:r>
      <w:r w:rsidR="00F37511">
        <w:t>duty</w:t>
      </w:r>
      <w:r w:rsidR="005C7E56">
        <w:t xml:space="preserve"> by the manager.</w:t>
      </w:r>
      <w:r w:rsidR="00AA2626">
        <w:t xml:space="preserve"> He had a duty to ensure that all the requirements for a </w:t>
      </w:r>
      <w:r w:rsidR="001A6947">
        <w:t>registered transporter are in place before signing the loading instructions</w:t>
      </w:r>
      <w:r w:rsidR="0068657A">
        <w:t>.</w:t>
      </w:r>
      <w:r w:rsidR="007B3793">
        <w:t xml:space="preserve">  In my view there was no misdirection of facts at all.</w:t>
      </w:r>
    </w:p>
    <w:p w:rsidR="007B3793" w:rsidRDefault="007B3793" w:rsidP="0054083E">
      <w:pPr>
        <w:jc w:val="both"/>
      </w:pPr>
    </w:p>
    <w:p w:rsidR="001A6385" w:rsidRDefault="007B3793" w:rsidP="007D0BE4">
      <w:pPr>
        <w:spacing w:line="360" w:lineRule="auto"/>
        <w:jc w:val="both"/>
      </w:pPr>
      <w:r>
        <w:t>From the above, I find no merit in the appeal.  The following order is therefor</w:t>
      </w:r>
      <w:r w:rsidR="001A6385">
        <w:t>e appropriate.</w:t>
      </w:r>
    </w:p>
    <w:p w:rsidR="001A6385" w:rsidRDefault="001A6385" w:rsidP="0054083E">
      <w:pPr>
        <w:jc w:val="both"/>
      </w:pPr>
    </w:p>
    <w:p w:rsidR="00DA45CD" w:rsidRDefault="001A6385" w:rsidP="007D0BE4">
      <w:pPr>
        <w:spacing w:line="360" w:lineRule="auto"/>
        <w:jc w:val="both"/>
      </w:pPr>
      <w:r>
        <w:t>The appeal be and is hereby dismissed with costs for lack of merit.</w:t>
      </w:r>
    </w:p>
    <w:p w:rsidR="00DA45CD" w:rsidRDefault="00DA45CD" w:rsidP="007D0BE4">
      <w:pPr>
        <w:spacing w:line="360" w:lineRule="auto"/>
        <w:jc w:val="both"/>
      </w:pPr>
    </w:p>
    <w:p w:rsidR="00DA45CD" w:rsidRDefault="00DA45CD" w:rsidP="007D0BE4">
      <w:pPr>
        <w:spacing w:line="360" w:lineRule="auto"/>
        <w:jc w:val="both"/>
      </w:pPr>
    </w:p>
    <w:p w:rsidR="00842D1A" w:rsidRDefault="00DA45CD" w:rsidP="007D0BE4">
      <w:pPr>
        <w:spacing w:line="360" w:lineRule="auto"/>
        <w:jc w:val="both"/>
      </w:pPr>
      <w:r w:rsidRPr="0054083E">
        <w:rPr>
          <w:i/>
        </w:rPr>
        <w:t>Muskwe &amp; Associates</w:t>
      </w:r>
      <w:r>
        <w:t>, appellant</w:t>
      </w:r>
      <w:r w:rsidR="00842D1A">
        <w:t>’s legal practitioners</w:t>
      </w:r>
    </w:p>
    <w:p w:rsidR="00DA7057" w:rsidRDefault="0054083E" w:rsidP="007D0BE4">
      <w:pPr>
        <w:spacing w:line="360" w:lineRule="auto"/>
        <w:jc w:val="both"/>
      </w:pPr>
      <w:r w:rsidRPr="0054083E">
        <w:rPr>
          <w:i/>
        </w:rPr>
        <w:t>Makuwaza &amp; Magogo Attorneys</w:t>
      </w:r>
      <w:r>
        <w:t>, respondent’s legal practitioners</w:t>
      </w:r>
      <w:r w:rsidR="001A6385">
        <w:t xml:space="preserve"> </w:t>
      </w:r>
      <w:r w:rsidR="00DA7F5E">
        <w:t xml:space="preserve"> </w:t>
      </w:r>
    </w:p>
    <w:p w:rsidR="001F67DC" w:rsidRDefault="001D59B6" w:rsidP="007D0BE4">
      <w:pPr>
        <w:spacing w:line="360" w:lineRule="auto"/>
        <w:jc w:val="both"/>
      </w:pPr>
      <w:r>
        <w:t xml:space="preserve"> </w:t>
      </w:r>
      <w:r w:rsidR="008201C5">
        <w:t xml:space="preserve"> </w:t>
      </w:r>
      <w:r w:rsidR="00551907">
        <w:t xml:space="preserve"> </w:t>
      </w:r>
    </w:p>
    <w:sectPr w:rsidR="001F67DC" w:rsidSect="008D4B6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A0" w:rsidRDefault="00236DA0" w:rsidP="00053AC7">
      <w:r>
        <w:separator/>
      </w:r>
    </w:p>
  </w:endnote>
  <w:endnote w:type="continuationSeparator" w:id="0">
    <w:p w:rsidR="00236DA0" w:rsidRDefault="00236DA0" w:rsidP="0005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448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793" w:rsidRDefault="007B3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3793" w:rsidRDefault="007B3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A0" w:rsidRDefault="00236DA0" w:rsidP="00053AC7">
      <w:r>
        <w:separator/>
      </w:r>
    </w:p>
  </w:footnote>
  <w:footnote w:type="continuationSeparator" w:id="0">
    <w:p w:rsidR="00236DA0" w:rsidRDefault="00236DA0" w:rsidP="0005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93" w:rsidRPr="00053AC7" w:rsidRDefault="007B3793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836311">
      <w:rPr>
        <w:lang w:val="en-ZW"/>
      </w:rPr>
      <w:t>769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74CA"/>
    <w:multiLevelType w:val="hybridMultilevel"/>
    <w:tmpl w:val="331657B8"/>
    <w:lvl w:ilvl="0" w:tplc="F8743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C59C7"/>
    <w:multiLevelType w:val="hybridMultilevel"/>
    <w:tmpl w:val="006C9968"/>
    <w:lvl w:ilvl="0" w:tplc="8AB83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C0"/>
    <w:rsid w:val="00012FBF"/>
    <w:rsid w:val="00035821"/>
    <w:rsid w:val="00053AC7"/>
    <w:rsid w:val="0006348D"/>
    <w:rsid w:val="00066497"/>
    <w:rsid w:val="000779D3"/>
    <w:rsid w:val="00081F5C"/>
    <w:rsid w:val="00090086"/>
    <w:rsid w:val="00090F0E"/>
    <w:rsid w:val="000A2FD8"/>
    <w:rsid w:val="000A65FC"/>
    <w:rsid w:val="000D47EE"/>
    <w:rsid w:val="00107DB9"/>
    <w:rsid w:val="001152B6"/>
    <w:rsid w:val="00182973"/>
    <w:rsid w:val="001A6385"/>
    <w:rsid w:val="001A6947"/>
    <w:rsid w:val="001A7782"/>
    <w:rsid w:val="001B0268"/>
    <w:rsid w:val="001C46D3"/>
    <w:rsid w:val="001D0890"/>
    <w:rsid w:val="001D59B6"/>
    <w:rsid w:val="001F67DC"/>
    <w:rsid w:val="00223EE3"/>
    <w:rsid w:val="00234D13"/>
    <w:rsid w:val="00236DA0"/>
    <w:rsid w:val="00243A6F"/>
    <w:rsid w:val="002640F3"/>
    <w:rsid w:val="00295B05"/>
    <w:rsid w:val="002A7BA2"/>
    <w:rsid w:val="002D611A"/>
    <w:rsid w:val="003239B5"/>
    <w:rsid w:val="00330FC0"/>
    <w:rsid w:val="00393A9B"/>
    <w:rsid w:val="003A0C6C"/>
    <w:rsid w:val="004079B6"/>
    <w:rsid w:val="00407AB7"/>
    <w:rsid w:val="00421120"/>
    <w:rsid w:val="004E0EC5"/>
    <w:rsid w:val="004E1823"/>
    <w:rsid w:val="004E1B4B"/>
    <w:rsid w:val="00510398"/>
    <w:rsid w:val="00516E6F"/>
    <w:rsid w:val="00540138"/>
    <w:rsid w:val="0054083E"/>
    <w:rsid w:val="00541637"/>
    <w:rsid w:val="00551907"/>
    <w:rsid w:val="00594AFA"/>
    <w:rsid w:val="00594C24"/>
    <w:rsid w:val="005C7CDB"/>
    <w:rsid w:val="005C7E56"/>
    <w:rsid w:val="005C7F39"/>
    <w:rsid w:val="005E068A"/>
    <w:rsid w:val="005F67AD"/>
    <w:rsid w:val="00604D47"/>
    <w:rsid w:val="00632D7F"/>
    <w:rsid w:val="00633B18"/>
    <w:rsid w:val="00636A66"/>
    <w:rsid w:val="00662714"/>
    <w:rsid w:val="006710EC"/>
    <w:rsid w:val="00681F22"/>
    <w:rsid w:val="0068657A"/>
    <w:rsid w:val="006C327C"/>
    <w:rsid w:val="006D6ACE"/>
    <w:rsid w:val="006F28EE"/>
    <w:rsid w:val="00737DA9"/>
    <w:rsid w:val="00746955"/>
    <w:rsid w:val="00773413"/>
    <w:rsid w:val="00783D6F"/>
    <w:rsid w:val="007B3793"/>
    <w:rsid w:val="007D0BE4"/>
    <w:rsid w:val="007E2356"/>
    <w:rsid w:val="007F0AE1"/>
    <w:rsid w:val="0080413B"/>
    <w:rsid w:val="00814F82"/>
    <w:rsid w:val="008201C5"/>
    <w:rsid w:val="00836311"/>
    <w:rsid w:val="00840EED"/>
    <w:rsid w:val="00842D1A"/>
    <w:rsid w:val="00856900"/>
    <w:rsid w:val="00875705"/>
    <w:rsid w:val="008C40FD"/>
    <w:rsid w:val="008D0857"/>
    <w:rsid w:val="008D4B64"/>
    <w:rsid w:val="008E7FC8"/>
    <w:rsid w:val="008F6752"/>
    <w:rsid w:val="008F69B5"/>
    <w:rsid w:val="00905212"/>
    <w:rsid w:val="009152B5"/>
    <w:rsid w:val="009168E8"/>
    <w:rsid w:val="00927BDF"/>
    <w:rsid w:val="009755D6"/>
    <w:rsid w:val="009A6642"/>
    <w:rsid w:val="009B02D4"/>
    <w:rsid w:val="009B79EF"/>
    <w:rsid w:val="009B7C33"/>
    <w:rsid w:val="009D7CB2"/>
    <w:rsid w:val="00A00323"/>
    <w:rsid w:val="00A03A5D"/>
    <w:rsid w:val="00A13A53"/>
    <w:rsid w:val="00A25D75"/>
    <w:rsid w:val="00A65999"/>
    <w:rsid w:val="00A67963"/>
    <w:rsid w:val="00A86028"/>
    <w:rsid w:val="00A9195C"/>
    <w:rsid w:val="00A923C8"/>
    <w:rsid w:val="00AA2626"/>
    <w:rsid w:val="00AA4814"/>
    <w:rsid w:val="00AB6A37"/>
    <w:rsid w:val="00AE1B07"/>
    <w:rsid w:val="00AE4EB4"/>
    <w:rsid w:val="00B21656"/>
    <w:rsid w:val="00B26EEE"/>
    <w:rsid w:val="00B3710C"/>
    <w:rsid w:val="00B4187F"/>
    <w:rsid w:val="00B66A95"/>
    <w:rsid w:val="00B831F3"/>
    <w:rsid w:val="00BA34D7"/>
    <w:rsid w:val="00BC32A5"/>
    <w:rsid w:val="00BC5D6A"/>
    <w:rsid w:val="00C25857"/>
    <w:rsid w:val="00C25AE4"/>
    <w:rsid w:val="00C2690C"/>
    <w:rsid w:val="00C66C7E"/>
    <w:rsid w:val="00C724CE"/>
    <w:rsid w:val="00C8345F"/>
    <w:rsid w:val="00CD69EF"/>
    <w:rsid w:val="00CE192F"/>
    <w:rsid w:val="00D22785"/>
    <w:rsid w:val="00D86E17"/>
    <w:rsid w:val="00D91D9D"/>
    <w:rsid w:val="00DA45CD"/>
    <w:rsid w:val="00DA7057"/>
    <w:rsid w:val="00DA7F5E"/>
    <w:rsid w:val="00DC77CC"/>
    <w:rsid w:val="00E26BAC"/>
    <w:rsid w:val="00E37D54"/>
    <w:rsid w:val="00E41DAB"/>
    <w:rsid w:val="00E57FF2"/>
    <w:rsid w:val="00E630A8"/>
    <w:rsid w:val="00EA22D7"/>
    <w:rsid w:val="00EC5172"/>
    <w:rsid w:val="00EE73D2"/>
    <w:rsid w:val="00F2364E"/>
    <w:rsid w:val="00F37511"/>
    <w:rsid w:val="00F41CE0"/>
    <w:rsid w:val="00F677E6"/>
    <w:rsid w:val="00F7066A"/>
    <w:rsid w:val="00F96D75"/>
    <w:rsid w:val="00FB51D8"/>
    <w:rsid w:val="00FB7B5B"/>
    <w:rsid w:val="00FC6AA1"/>
    <w:rsid w:val="00FF21AB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C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7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A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C7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3A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C7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C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7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A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C7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3A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C7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2016-11-28T13:54:00Z</dcterms:created>
  <dcterms:modified xsi:type="dcterms:W3CDTF">2016-11-30T10:08:00Z</dcterms:modified>
</cp:coreProperties>
</file>