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6D" w:rsidRDefault="003E7A1B" w:rsidP="003E7A1B">
      <w:pPr>
        <w:spacing w:line="360" w:lineRule="auto"/>
        <w:jc w:val="both"/>
        <w:rPr>
          <w:b/>
          <w:sz w:val="28"/>
          <w:szCs w:val="28"/>
        </w:rPr>
      </w:pPr>
      <w:r>
        <w:rPr>
          <w:b/>
          <w:sz w:val="28"/>
          <w:szCs w:val="28"/>
        </w:rPr>
        <w:t>I</w:t>
      </w:r>
      <w:r w:rsidR="007F5A6D">
        <w:rPr>
          <w:b/>
          <w:sz w:val="28"/>
          <w:szCs w:val="28"/>
        </w:rPr>
        <w:t>N THE LABOUR COURT OF ZIMBABWE</w:t>
      </w:r>
      <w:r w:rsidR="007F5A6D">
        <w:rPr>
          <w:b/>
          <w:sz w:val="28"/>
          <w:szCs w:val="28"/>
        </w:rPr>
        <w:tab/>
        <w:t xml:space="preserve">         </w:t>
      </w:r>
      <w:r>
        <w:rPr>
          <w:b/>
          <w:sz w:val="28"/>
          <w:szCs w:val="28"/>
        </w:rPr>
        <w:t>JUDGMENT NO LC/H</w:t>
      </w:r>
      <w:r w:rsidR="007F5A6D">
        <w:rPr>
          <w:b/>
          <w:sz w:val="28"/>
          <w:szCs w:val="28"/>
        </w:rPr>
        <w:t>/472</w:t>
      </w:r>
      <w:r>
        <w:rPr>
          <w:b/>
          <w:sz w:val="28"/>
          <w:szCs w:val="28"/>
        </w:rPr>
        <w:t>/14</w:t>
      </w:r>
    </w:p>
    <w:p w:rsidR="003E7A1B" w:rsidRDefault="003E7A1B" w:rsidP="003E7A1B">
      <w:pPr>
        <w:spacing w:line="360" w:lineRule="auto"/>
        <w:jc w:val="both"/>
        <w:rPr>
          <w:b/>
          <w:sz w:val="28"/>
          <w:szCs w:val="28"/>
        </w:rPr>
      </w:pPr>
      <w:r>
        <w:rPr>
          <w:b/>
          <w:sz w:val="28"/>
          <w:szCs w:val="28"/>
        </w:rPr>
        <w:t>HELD AT HARARE 31</w:t>
      </w:r>
      <w:r w:rsidRPr="003E7A1B">
        <w:rPr>
          <w:b/>
          <w:sz w:val="28"/>
          <w:szCs w:val="28"/>
          <w:vertAlign w:val="superscript"/>
        </w:rPr>
        <w:t>ST</w:t>
      </w:r>
      <w:r>
        <w:rPr>
          <w:b/>
          <w:sz w:val="28"/>
          <w:szCs w:val="28"/>
        </w:rPr>
        <w:t xml:space="preserve"> OCTOBER 2013</w:t>
      </w:r>
      <w:r>
        <w:rPr>
          <w:b/>
          <w:sz w:val="28"/>
          <w:szCs w:val="28"/>
        </w:rPr>
        <w:tab/>
      </w:r>
      <w:r>
        <w:rPr>
          <w:b/>
          <w:sz w:val="28"/>
          <w:szCs w:val="28"/>
        </w:rPr>
        <w:tab/>
        <w:t>CASE NO LC/H/162/13</w:t>
      </w:r>
    </w:p>
    <w:p w:rsidR="008326FB" w:rsidRDefault="008326FB" w:rsidP="003E7A1B">
      <w:pPr>
        <w:spacing w:line="360" w:lineRule="auto"/>
        <w:jc w:val="both"/>
        <w:rPr>
          <w:b/>
          <w:sz w:val="28"/>
          <w:szCs w:val="28"/>
        </w:rPr>
      </w:pPr>
      <w:r>
        <w:rPr>
          <w:b/>
          <w:sz w:val="28"/>
          <w:szCs w:val="28"/>
        </w:rPr>
        <w:t xml:space="preserve">&amp; </w:t>
      </w:r>
      <w:r w:rsidR="00BF605C">
        <w:rPr>
          <w:b/>
          <w:sz w:val="28"/>
          <w:szCs w:val="28"/>
        </w:rPr>
        <w:t>21</w:t>
      </w:r>
      <w:r w:rsidR="00BF605C" w:rsidRPr="00BF605C">
        <w:rPr>
          <w:b/>
          <w:sz w:val="28"/>
          <w:szCs w:val="28"/>
          <w:vertAlign w:val="superscript"/>
        </w:rPr>
        <w:t>ST</w:t>
      </w:r>
      <w:r w:rsidR="00BF605C">
        <w:rPr>
          <w:b/>
          <w:sz w:val="28"/>
          <w:szCs w:val="28"/>
        </w:rPr>
        <w:t xml:space="preserve"> </w:t>
      </w:r>
      <w:bookmarkStart w:id="0" w:name="_GoBack"/>
      <w:bookmarkEnd w:id="0"/>
      <w:r>
        <w:rPr>
          <w:b/>
          <w:sz w:val="28"/>
          <w:szCs w:val="28"/>
          <w:vertAlign w:val="superscript"/>
        </w:rPr>
        <w:t xml:space="preserve"> </w:t>
      </w:r>
      <w:r>
        <w:rPr>
          <w:b/>
          <w:sz w:val="28"/>
          <w:szCs w:val="28"/>
        </w:rPr>
        <w:t>JULY 2014</w:t>
      </w:r>
    </w:p>
    <w:p w:rsidR="003E7A1B" w:rsidRDefault="003E7A1B" w:rsidP="003E7A1B">
      <w:pPr>
        <w:spacing w:line="360" w:lineRule="auto"/>
        <w:jc w:val="both"/>
        <w:rPr>
          <w:sz w:val="28"/>
          <w:szCs w:val="28"/>
        </w:rPr>
      </w:pPr>
      <w:r>
        <w:rPr>
          <w:sz w:val="28"/>
          <w:szCs w:val="28"/>
        </w:rPr>
        <w:t>In the matter between:-</w:t>
      </w:r>
    </w:p>
    <w:p w:rsidR="003E7A1B" w:rsidRDefault="003E7A1B" w:rsidP="003E7A1B">
      <w:pPr>
        <w:spacing w:line="360" w:lineRule="auto"/>
        <w:jc w:val="both"/>
        <w:rPr>
          <w:b/>
          <w:sz w:val="28"/>
          <w:szCs w:val="28"/>
        </w:rPr>
      </w:pPr>
      <w:r>
        <w:rPr>
          <w:b/>
          <w:sz w:val="28"/>
          <w:szCs w:val="28"/>
        </w:rPr>
        <w:t>RONI MASEKESA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3E7A1B" w:rsidRDefault="003E7A1B" w:rsidP="003E7A1B">
      <w:pPr>
        <w:spacing w:line="360" w:lineRule="auto"/>
        <w:jc w:val="both"/>
        <w:rPr>
          <w:b/>
          <w:sz w:val="28"/>
          <w:szCs w:val="28"/>
        </w:rPr>
      </w:pPr>
      <w:r>
        <w:rPr>
          <w:b/>
          <w:sz w:val="28"/>
          <w:szCs w:val="28"/>
        </w:rPr>
        <w:t>And</w:t>
      </w:r>
    </w:p>
    <w:p w:rsidR="003E7A1B" w:rsidRDefault="003E7A1B" w:rsidP="003E7A1B">
      <w:pPr>
        <w:spacing w:line="360" w:lineRule="auto"/>
        <w:jc w:val="both"/>
        <w:rPr>
          <w:b/>
          <w:sz w:val="28"/>
          <w:szCs w:val="28"/>
        </w:rPr>
      </w:pPr>
      <w:r>
        <w:rPr>
          <w:b/>
          <w:sz w:val="28"/>
          <w:szCs w:val="28"/>
        </w:rPr>
        <w:t>PUBLIC SERVICE COMMISSION</w:t>
      </w:r>
      <w:r>
        <w:rPr>
          <w:b/>
          <w:sz w:val="28"/>
          <w:szCs w:val="28"/>
        </w:rPr>
        <w:tab/>
      </w:r>
      <w:r>
        <w:rPr>
          <w:b/>
          <w:sz w:val="28"/>
          <w:szCs w:val="28"/>
        </w:rPr>
        <w:tab/>
      </w:r>
      <w:r>
        <w:rPr>
          <w:b/>
          <w:sz w:val="28"/>
          <w:szCs w:val="28"/>
        </w:rPr>
        <w:tab/>
      </w:r>
      <w:r>
        <w:rPr>
          <w:b/>
          <w:sz w:val="28"/>
          <w:szCs w:val="28"/>
        </w:rPr>
        <w:tab/>
        <w:t>Respondent</w:t>
      </w:r>
    </w:p>
    <w:p w:rsidR="003E7A1B" w:rsidRDefault="003E7A1B" w:rsidP="003E7A1B">
      <w:pPr>
        <w:spacing w:line="360" w:lineRule="auto"/>
        <w:jc w:val="both"/>
        <w:rPr>
          <w:sz w:val="28"/>
          <w:szCs w:val="28"/>
        </w:rPr>
      </w:pPr>
      <w:r>
        <w:rPr>
          <w:sz w:val="28"/>
          <w:szCs w:val="28"/>
        </w:rPr>
        <w:t xml:space="preserve">Before The Honourable B.T. </w:t>
      </w:r>
      <w:proofErr w:type="spellStart"/>
      <w:r>
        <w:rPr>
          <w:sz w:val="28"/>
          <w:szCs w:val="28"/>
        </w:rPr>
        <w:t>Chivizhe</w:t>
      </w:r>
      <w:proofErr w:type="spellEnd"/>
      <w:r>
        <w:rPr>
          <w:sz w:val="28"/>
          <w:szCs w:val="28"/>
        </w:rPr>
        <w:t>, Judge</w:t>
      </w:r>
    </w:p>
    <w:p w:rsidR="003E7A1B" w:rsidRDefault="003E7A1B" w:rsidP="003E7A1B">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3E7A1B" w:rsidRDefault="003E7A1B" w:rsidP="003E7A1B">
      <w:pPr>
        <w:spacing w:line="360" w:lineRule="auto"/>
        <w:jc w:val="both"/>
        <w:rPr>
          <w:b/>
          <w:sz w:val="28"/>
          <w:szCs w:val="28"/>
        </w:rPr>
      </w:pPr>
      <w:r>
        <w:rPr>
          <w:b/>
          <w:sz w:val="28"/>
          <w:szCs w:val="28"/>
        </w:rPr>
        <w:t>For Respondent</w:t>
      </w:r>
      <w:r>
        <w:rPr>
          <w:b/>
          <w:sz w:val="28"/>
          <w:szCs w:val="28"/>
        </w:rPr>
        <w:tab/>
      </w:r>
      <w:r>
        <w:rPr>
          <w:b/>
          <w:sz w:val="28"/>
          <w:szCs w:val="28"/>
        </w:rPr>
        <w:tab/>
        <w:t>Mr R Hove, (Civil Division, Attorney General’s Office)</w:t>
      </w:r>
    </w:p>
    <w:p w:rsidR="00672118" w:rsidRDefault="00672118" w:rsidP="003E7A1B">
      <w:pPr>
        <w:spacing w:line="360" w:lineRule="auto"/>
        <w:jc w:val="both"/>
        <w:rPr>
          <w:b/>
          <w:sz w:val="28"/>
          <w:szCs w:val="28"/>
        </w:rPr>
      </w:pPr>
    </w:p>
    <w:p w:rsidR="003E7A1B" w:rsidRDefault="003E7A1B" w:rsidP="003E7A1B">
      <w:pPr>
        <w:spacing w:line="360" w:lineRule="auto"/>
        <w:jc w:val="both"/>
        <w:rPr>
          <w:b/>
          <w:sz w:val="28"/>
          <w:szCs w:val="28"/>
        </w:rPr>
      </w:pPr>
      <w:r>
        <w:rPr>
          <w:b/>
          <w:sz w:val="28"/>
          <w:szCs w:val="28"/>
        </w:rPr>
        <w:t>CHIVIZHE, J:</w:t>
      </w:r>
    </w:p>
    <w:p w:rsidR="003E7A1B" w:rsidRDefault="003E7A1B" w:rsidP="003E7A1B">
      <w:pPr>
        <w:spacing w:line="360" w:lineRule="auto"/>
        <w:jc w:val="both"/>
        <w:rPr>
          <w:sz w:val="28"/>
          <w:szCs w:val="28"/>
        </w:rPr>
      </w:pPr>
      <w:r>
        <w:rPr>
          <w:b/>
          <w:sz w:val="28"/>
          <w:szCs w:val="28"/>
        </w:rPr>
        <w:tab/>
      </w:r>
      <w:r>
        <w:rPr>
          <w:sz w:val="28"/>
          <w:szCs w:val="28"/>
        </w:rPr>
        <w:t>The matter was placed before me as an appeal against a determination by the Public Service Commission handed down on 30 November 2012.</w:t>
      </w:r>
    </w:p>
    <w:p w:rsidR="003E7A1B" w:rsidRDefault="003E7A1B" w:rsidP="003E7A1B">
      <w:pPr>
        <w:spacing w:line="360" w:lineRule="auto"/>
        <w:jc w:val="both"/>
        <w:rPr>
          <w:sz w:val="28"/>
          <w:szCs w:val="28"/>
        </w:rPr>
      </w:pPr>
      <w:r>
        <w:rPr>
          <w:sz w:val="28"/>
          <w:szCs w:val="28"/>
        </w:rPr>
        <w:tab/>
        <w:t>The material back ground facts to the matter are as follows;</w:t>
      </w:r>
    </w:p>
    <w:p w:rsidR="003E7A1B" w:rsidRDefault="003E7A1B" w:rsidP="003E7A1B">
      <w:pPr>
        <w:spacing w:line="360" w:lineRule="auto"/>
        <w:jc w:val="both"/>
        <w:rPr>
          <w:sz w:val="28"/>
          <w:szCs w:val="28"/>
        </w:rPr>
      </w:pPr>
      <w:r>
        <w:rPr>
          <w:sz w:val="28"/>
          <w:szCs w:val="28"/>
        </w:rPr>
        <w:tab/>
        <w:t>The appellant was employed as a Senior Accountant in the Department of Research and Spe</w:t>
      </w:r>
      <w:r w:rsidR="00CF3FA8">
        <w:rPr>
          <w:sz w:val="28"/>
          <w:szCs w:val="28"/>
        </w:rPr>
        <w:t>cialist</w:t>
      </w:r>
      <w:r>
        <w:rPr>
          <w:sz w:val="28"/>
          <w:szCs w:val="28"/>
        </w:rPr>
        <w:t xml:space="preserve"> Services under Mi</w:t>
      </w:r>
      <w:r w:rsidR="00CF3FA8">
        <w:rPr>
          <w:sz w:val="28"/>
          <w:szCs w:val="28"/>
        </w:rPr>
        <w:t>nistry of Agriculture, Mechanisation</w:t>
      </w:r>
      <w:r>
        <w:rPr>
          <w:sz w:val="28"/>
          <w:szCs w:val="28"/>
        </w:rPr>
        <w:t xml:space="preserve"> Irrigation Development.  He was initially discharged from service in March 2009</w:t>
      </w:r>
      <w:r w:rsidR="00CF3FA8">
        <w:rPr>
          <w:sz w:val="28"/>
          <w:szCs w:val="28"/>
        </w:rPr>
        <w:t xml:space="preserve"> following </w:t>
      </w:r>
      <w:r w:rsidR="001454C9">
        <w:rPr>
          <w:sz w:val="28"/>
          <w:szCs w:val="28"/>
        </w:rPr>
        <w:t xml:space="preserve">a </w:t>
      </w:r>
      <w:r w:rsidR="00CF3FA8">
        <w:rPr>
          <w:sz w:val="28"/>
          <w:szCs w:val="28"/>
        </w:rPr>
        <w:t>disciplinary hearing.  A</w:t>
      </w:r>
      <w:r>
        <w:rPr>
          <w:sz w:val="28"/>
          <w:szCs w:val="28"/>
        </w:rPr>
        <w:t>fter an appeal</w:t>
      </w:r>
      <w:r w:rsidR="001454C9">
        <w:rPr>
          <w:sz w:val="28"/>
          <w:szCs w:val="28"/>
        </w:rPr>
        <w:t xml:space="preserve"> to </w:t>
      </w:r>
      <w:proofErr w:type="gramStart"/>
      <w:r w:rsidR="001454C9">
        <w:rPr>
          <w:sz w:val="28"/>
          <w:szCs w:val="28"/>
        </w:rPr>
        <w:t>the  Labour</w:t>
      </w:r>
      <w:proofErr w:type="gramEnd"/>
      <w:r w:rsidR="001454C9">
        <w:rPr>
          <w:sz w:val="28"/>
          <w:szCs w:val="28"/>
        </w:rPr>
        <w:t xml:space="preserve"> Court</w:t>
      </w:r>
      <w:r>
        <w:rPr>
          <w:sz w:val="28"/>
          <w:szCs w:val="28"/>
        </w:rPr>
        <w:t xml:space="preserve"> the decision of Public Service Commission was set aside</w:t>
      </w:r>
      <w:r w:rsidR="001454C9">
        <w:rPr>
          <w:sz w:val="28"/>
          <w:szCs w:val="28"/>
        </w:rPr>
        <w:t>.</w:t>
      </w:r>
      <w:r>
        <w:rPr>
          <w:sz w:val="28"/>
          <w:szCs w:val="28"/>
        </w:rPr>
        <w:t xml:space="preserve"> </w:t>
      </w:r>
      <w:r w:rsidR="001454C9">
        <w:rPr>
          <w:sz w:val="28"/>
          <w:szCs w:val="28"/>
        </w:rPr>
        <w:t xml:space="preserve"> T</w:t>
      </w:r>
      <w:r w:rsidR="00CF3FA8">
        <w:rPr>
          <w:sz w:val="28"/>
          <w:szCs w:val="28"/>
        </w:rPr>
        <w:t xml:space="preserve">he </w:t>
      </w:r>
      <w:r>
        <w:rPr>
          <w:sz w:val="28"/>
          <w:szCs w:val="28"/>
        </w:rPr>
        <w:t>respondent was directed to</w:t>
      </w:r>
      <w:r w:rsidR="00CF3FA8">
        <w:rPr>
          <w:sz w:val="28"/>
          <w:szCs w:val="28"/>
        </w:rPr>
        <w:t xml:space="preserve"> reinstate appellant and</w:t>
      </w:r>
      <w:r>
        <w:rPr>
          <w:sz w:val="28"/>
          <w:szCs w:val="28"/>
        </w:rPr>
        <w:t xml:space="preserve"> conduct a re-hearing.  He was on 26 March 2012 again discharged from service after he </w:t>
      </w:r>
      <w:r w:rsidR="00CF3FA8">
        <w:rPr>
          <w:sz w:val="28"/>
          <w:szCs w:val="28"/>
        </w:rPr>
        <w:t>was</w:t>
      </w:r>
      <w:r>
        <w:rPr>
          <w:sz w:val="28"/>
          <w:szCs w:val="28"/>
        </w:rPr>
        <w:t xml:space="preserve"> found guilty </w:t>
      </w:r>
      <w:r>
        <w:rPr>
          <w:sz w:val="28"/>
          <w:szCs w:val="28"/>
        </w:rPr>
        <w:lastRenderedPageBreak/>
        <w:t xml:space="preserve">of an act of misconduct in terms of </w:t>
      </w:r>
      <w:r w:rsidRPr="00CF3FA8">
        <w:rPr>
          <w:b/>
          <w:sz w:val="28"/>
          <w:szCs w:val="28"/>
        </w:rPr>
        <w:t>section 44 (2) (a) of the Public Service</w:t>
      </w:r>
      <w:r>
        <w:rPr>
          <w:sz w:val="28"/>
          <w:szCs w:val="28"/>
        </w:rPr>
        <w:t xml:space="preserve"> </w:t>
      </w:r>
      <w:r w:rsidRPr="00CF3FA8">
        <w:rPr>
          <w:b/>
          <w:sz w:val="28"/>
          <w:szCs w:val="28"/>
        </w:rPr>
        <w:t>Regulations 2000</w:t>
      </w:r>
      <w:r>
        <w:rPr>
          <w:sz w:val="28"/>
          <w:szCs w:val="28"/>
        </w:rPr>
        <w:t xml:space="preserve"> as read with paragraphs 2, 3 , 8 and 24 of the </w:t>
      </w:r>
      <w:r w:rsidRPr="00CF3FA8">
        <w:rPr>
          <w:i/>
          <w:sz w:val="28"/>
          <w:szCs w:val="28"/>
        </w:rPr>
        <w:t>First Schedule (section 22</w:t>
      </w:r>
      <w:r>
        <w:rPr>
          <w:sz w:val="28"/>
          <w:szCs w:val="28"/>
        </w:rPr>
        <w:t xml:space="preserve"> of the same charges</w:t>
      </w:r>
      <w:r w:rsidR="00CF3FA8">
        <w:rPr>
          <w:sz w:val="28"/>
          <w:szCs w:val="28"/>
        </w:rPr>
        <w:t>)</w:t>
      </w:r>
      <w:r>
        <w:rPr>
          <w:sz w:val="28"/>
          <w:szCs w:val="28"/>
        </w:rPr>
        <w:t>.  The allegations were</w:t>
      </w:r>
      <w:r w:rsidR="00CF3FA8">
        <w:rPr>
          <w:sz w:val="28"/>
          <w:szCs w:val="28"/>
        </w:rPr>
        <w:t>,</w:t>
      </w:r>
      <w:r>
        <w:rPr>
          <w:sz w:val="28"/>
          <w:szCs w:val="28"/>
        </w:rPr>
        <w:t xml:space="preserve"> inter alia</w:t>
      </w:r>
      <w:r w:rsidR="00FC3F6E">
        <w:rPr>
          <w:sz w:val="28"/>
          <w:szCs w:val="28"/>
        </w:rPr>
        <w:t xml:space="preserve">, that he had  </w:t>
      </w:r>
      <w:r w:rsidR="00CF3FA8">
        <w:rPr>
          <w:sz w:val="28"/>
          <w:szCs w:val="28"/>
        </w:rPr>
        <w:t>opened</w:t>
      </w:r>
      <w:r w:rsidR="00FC3F6E">
        <w:rPr>
          <w:sz w:val="28"/>
          <w:szCs w:val="28"/>
        </w:rPr>
        <w:t xml:space="preserve"> and subsequently withdrew 8974.16 euros from a foreign currency account with the Commercial Bank of Zimbabwe without following the necessary procedures and </w:t>
      </w:r>
      <w:r w:rsidR="00CF3FA8">
        <w:rPr>
          <w:sz w:val="28"/>
          <w:szCs w:val="28"/>
        </w:rPr>
        <w:t>without obtaining</w:t>
      </w:r>
      <w:r w:rsidR="00FC3F6E">
        <w:rPr>
          <w:sz w:val="28"/>
          <w:szCs w:val="28"/>
        </w:rPr>
        <w:t xml:space="preserve"> the requisite authority</w:t>
      </w:r>
      <w:r w:rsidR="00036A3B">
        <w:rPr>
          <w:sz w:val="28"/>
          <w:szCs w:val="28"/>
        </w:rPr>
        <w:t>,</w:t>
      </w:r>
      <w:r w:rsidR="002743EC">
        <w:rPr>
          <w:sz w:val="28"/>
          <w:szCs w:val="28"/>
        </w:rPr>
        <w:t xml:space="preserve"> </w:t>
      </w:r>
      <w:r w:rsidR="00FC3F6E">
        <w:rPr>
          <w:sz w:val="28"/>
          <w:szCs w:val="28"/>
        </w:rPr>
        <w:t xml:space="preserve">that he had purchased a </w:t>
      </w:r>
      <w:proofErr w:type="spellStart"/>
      <w:r w:rsidR="00FC3F6E">
        <w:rPr>
          <w:sz w:val="28"/>
          <w:szCs w:val="28"/>
        </w:rPr>
        <w:t>labtop</w:t>
      </w:r>
      <w:proofErr w:type="spellEnd"/>
      <w:r w:rsidR="00FC3F6E">
        <w:rPr>
          <w:sz w:val="28"/>
          <w:szCs w:val="28"/>
        </w:rPr>
        <w:t xml:space="preserve"> amounting to $6.5 billion dollars with</w:t>
      </w:r>
      <w:r w:rsidR="00CF3FA8">
        <w:rPr>
          <w:sz w:val="28"/>
          <w:szCs w:val="28"/>
        </w:rPr>
        <w:t>out</w:t>
      </w:r>
      <w:r w:rsidR="00FC3F6E">
        <w:rPr>
          <w:sz w:val="28"/>
          <w:szCs w:val="28"/>
        </w:rPr>
        <w:t xml:space="preserve"> the</w:t>
      </w:r>
      <w:r w:rsidR="00944912">
        <w:rPr>
          <w:sz w:val="28"/>
          <w:szCs w:val="28"/>
        </w:rPr>
        <w:t xml:space="preserve"> Head of Department’s knowledge or authority, that he</w:t>
      </w:r>
      <w:r w:rsidR="00CF3FA8">
        <w:rPr>
          <w:sz w:val="28"/>
          <w:szCs w:val="28"/>
        </w:rPr>
        <w:t xml:space="preserve"> had flouted </w:t>
      </w:r>
      <w:r w:rsidR="00944912">
        <w:rPr>
          <w:sz w:val="28"/>
          <w:szCs w:val="28"/>
        </w:rPr>
        <w:t>tender procedures on the procurement of departmental stat</w:t>
      </w:r>
      <w:r w:rsidR="001454C9">
        <w:rPr>
          <w:sz w:val="28"/>
          <w:szCs w:val="28"/>
        </w:rPr>
        <w:t>ionery;</w:t>
      </w:r>
      <w:r w:rsidR="00944912">
        <w:rPr>
          <w:sz w:val="28"/>
          <w:szCs w:val="28"/>
        </w:rPr>
        <w:t xml:space="preserve"> that he failed</w:t>
      </w:r>
      <w:r w:rsidR="00CF3FA8">
        <w:rPr>
          <w:sz w:val="28"/>
          <w:szCs w:val="28"/>
        </w:rPr>
        <w:t xml:space="preserve"> to report to his superiors when</w:t>
      </w:r>
      <w:r w:rsidR="00944912">
        <w:rPr>
          <w:sz w:val="28"/>
          <w:szCs w:val="28"/>
        </w:rPr>
        <w:t xml:space="preserve"> he lost the departmental </w:t>
      </w:r>
      <w:proofErr w:type="spellStart"/>
      <w:r w:rsidR="00944912">
        <w:rPr>
          <w:sz w:val="28"/>
          <w:szCs w:val="28"/>
        </w:rPr>
        <w:t>labtop</w:t>
      </w:r>
      <w:proofErr w:type="spellEnd"/>
      <w:r w:rsidR="00944912">
        <w:rPr>
          <w:sz w:val="28"/>
          <w:szCs w:val="28"/>
        </w:rPr>
        <w:t xml:space="preserve"> on 11 September 2008, that he failed to produce an</w:t>
      </w:r>
      <w:r w:rsidR="00CF3FA8">
        <w:rPr>
          <w:sz w:val="28"/>
          <w:szCs w:val="28"/>
        </w:rPr>
        <w:t>d</w:t>
      </w:r>
      <w:r w:rsidR="00944912">
        <w:rPr>
          <w:sz w:val="28"/>
          <w:szCs w:val="28"/>
        </w:rPr>
        <w:t xml:space="preserve"> submit to </w:t>
      </w:r>
      <w:r w:rsidR="00CF3FA8">
        <w:rPr>
          <w:sz w:val="28"/>
          <w:szCs w:val="28"/>
        </w:rPr>
        <w:t>donors financial reports as per P</w:t>
      </w:r>
      <w:r w:rsidR="00944912">
        <w:rPr>
          <w:sz w:val="28"/>
          <w:szCs w:val="28"/>
        </w:rPr>
        <w:t>ro</w:t>
      </w:r>
      <w:r w:rsidR="00CF3FA8">
        <w:rPr>
          <w:sz w:val="28"/>
          <w:szCs w:val="28"/>
        </w:rPr>
        <w:t>ject</w:t>
      </w:r>
      <w:r w:rsidR="00944912">
        <w:rPr>
          <w:sz w:val="28"/>
          <w:szCs w:val="28"/>
        </w:rPr>
        <w:t xml:space="preserve"> Requirement.</w:t>
      </w:r>
    </w:p>
    <w:p w:rsidR="00944912" w:rsidRDefault="00944912" w:rsidP="003E7A1B">
      <w:pPr>
        <w:spacing w:line="360" w:lineRule="auto"/>
        <w:jc w:val="both"/>
        <w:rPr>
          <w:sz w:val="28"/>
          <w:szCs w:val="28"/>
        </w:rPr>
      </w:pPr>
      <w:r>
        <w:rPr>
          <w:sz w:val="28"/>
          <w:szCs w:val="28"/>
        </w:rPr>
        <w:tab/>
        <w:t>The appellant</w:t>
      </w:r>
      <w:r w:rsidR="00CF3FA8">
        <w:rPr>
          <w:sz w:val="28"/>
          <w:szCs w:val="28"/>
        </w:rPr>
        <w:t>,</w:t>
      </w:r>
      <w:r>
        <w:rPr>
          <w:sz w:val="28"/>
          <w:szCs w:val="28"/>
        </w:rPr>
        <w:t xml:space="preserve"> exercising his rights under the Regulations</w:t>
      </w:r>
      <w:r w:rsidR="00CF3FA8">
        <w:rPr>
          <w:sz w:val="28"/>
          <w:szCs w:val="28"/>
        </w:rPr>
        <w:t>,</w:t>
      </w:r>
      <w:r>
        <w:rPr>
          <w:sz w:val="28"/>
          <w:szCs w:val="28"/>
        </w:rPr>
        <w:t xml:space="preserve"> thereafter placed an application for review before the Public Service Commission.   The </w:t>
      </w:r>
      <w:r w:rsidR="001454C9">
        <w:rPr>
          <w:sz w:val="28"/>
          <w:szCs w:val="28"/>
        </w:rPr>
        <w:t xml:space="preserve">Public Service </w:t>
      </w:r>
      <w:r w:rsidR="00CF3FA8">
        <w:rPr>
          <w:sz w:val="28"/>
          <w:szCs w:val="28"/>
        </w:rPr>
        <w:t xml:space="preserve">Commission </w:t>
      </w:r>
      <w:r>
        <w:rPr>
          <w:sz w:val="28"/>
          <w:szCs w:val="28"/>
        </w:rPr>
        <w:t xml:space="preserve">on the </w:t>
      </w:r>
      <w:proofErr w:type="gramStart"/>
      <w:r>
        <w:rPr>
          <w:sz w:val="28"/>
          <w:szCs w:val="28"/>
        </w:rPr>
        <w:t>30</w:t>
      </w:r>
      <w:r w:rsidR="00036A3B" w:rsidRPr="00036A3B">
        <w:rPr>
          <w:sz w:val="28"/>
          <w:szCs w:val="28"/>
          <w:vertAlign w:val="superscript"/>
        </w:rPr>
        <w:t>th</w:t>
      </w:r>
      <w:r w:rsidR="00036A3B">
        <w:rPr>
          <w:sz w:val="28"/>
          <w:szCs w:val="28"/>
        </w:rPr>
        <w:t xml:space="preserve"> </w:t>
      </w:r>
      <w:r>
        <w:rPr>
          <w:sz w:val="28"/>
          <w:szCs w:val="28"/>
        </w:rPr>
        <w:t xml:space="preserve"> November</w:t>
      </w:r>
      <w:proofErr w:type="gramEnd"/>
      <w:r>
        <w:rPr>
          <w:sz w:val="28"/>
          <w:szCs w:val="28"/>
        </w:rPr>
        <w:t xml:space="preserve"> 2012 advised appellant of </w:t>
      </w:r>
      <w:r w:rsidR="00CF3FA8">
        <w:rPr>
          <w:sz w:val="28"/>
          <w:szCs w:val="28"/>
        </w:rPr>
        <w:t>its</w:t>
      </w:r>
      <w:r>
        <w:rPr>
          <w:sz w:val="28"/>
          <w:szCs w:val="28"/>
        </w:rPr>
        <w:t xml:space="preserve"> decision confirming the earlier decision</w:t>
      </w:r>
      <w:r w:rsidR="00CF3FA8">
        <w:rPr>
          <w:sz w:val="28"/>
          <w:szCs w:val="28"/>
        </w:rPr>
        <w:t xml:space="preserve"> by the disciplinary authority</w:t>
      </w:r>
      <w:r>
        <w:rPr>
          <w:sz w:val="28"/>
          <w:szCs w:val="28"/>
        </w:rPr>
        <w:t xml:space="preserve"> to discharge appellant from the service.</w:t>
      </w:r>
    </w:p>
    <w:p w:rsidR="00944912" w:rsidRDefault="00944912" w:rsidP="003E7A1B">
      <w:pPr>
        <w:spacing w:line="360" w:lineRule="auto"/>
        <w:jc w:val="both"/>
        <w:rPr>
          <w:sz w:val="28"/>
          <w:szCs w:val="28"/>
        </w:rPr>
      </w:pPr>
      <w:r>
        <w:rPr>
          <w:sz w:val="28"/>
          <w:szCs w:val="28"/>
        </w:rPr>
        <w:tab/>
        <w:t>Aggrieved the appellant noted the present appeal with the Labour Court.  His basis for app</w:t>
      </w:r>
      <w:r w:rsidR="00C30B2E">
        <w:rPr>
          <w:sz w:val="28"/>
          <w:szCs w:val="28"/>
        </w:rPr>
        <w:t>ealing is outlined in the notic</w:t>
      </w:r>
      <w:r>
        <w:rPr>
          <w:sz w:val="28"/>
          <w:szCs w:val="28"/>
        </w:rPr>
        <w:t>e of appeal to be as follows;</w:t>
      </w:r>
    </w:p>
    <w:p w:rsidR="00C30B2E" w:rsidRDefault="00C30B2E" w:rsidP="00C30B2E">
      <w:pPr>
        <w:pStyle w:val="ListParagraph"/>
        <w:numPr>
          <w:ilvl w:val="0"/>
          <w:numId w:val="1"/>
        </w:numPr>
        <w:spacing w:line="360" w:lineRule="auto"/>
        <w:jc w:val="both"/>
        <w:rPr>
          <w:b/>
          <w:sz w:val="28"/>
          <w:szCs w:val="28"/>
          <w:u w:val="single"/>
        </w:rPr>
      </w:pPr>
      <w:r w:rsidRPr="00C30B2E">
        <w:rPr>
          <w:b/>
          <w:sz w:val="28"/>
          <w:szCs w:val="28"/>
          <w:u w:val="single"/>
        </w:rPr>
        <w:t xml:space="preserve">In </w:t>
      </w:r>
      <w:proofErr w:type="spellStart"/>
      <w:r w:rsidRPr="00C30B2E">
        <w:rPr>
          <w:b/>
          <w:sz w:val="28"/>
          <w:szCs w:val="28"/>
          <w:u w:val="single"/>
        </w:rPr>
        <w:t>limine</w:t>
      </w:r>
      <w:proofErr w:type="spellEnd"/>
    </w:p>
    <w:p w:rsidR="00C30B2E" w:rsidRPr="00CF3FA8" w:rsidRDefault="00C30B2E" w:rsidP="00C30B2E">
      <w:pPr>
        <w:pStyle w:val="ListParagraph"/>
        <w:spacing w:line="360" w:lineRule="auto"/>
        <w:jc w:val="both"/>
        <w:rPr>
          <w:sz w:val="24"/>
          <w:szCs w:val="24"/>
        </w:rPr>
      </w:pPr>
      <w:r w:rsidRPr="00CF3FA8">
        <w:rPr>
          <w:sz w:val="24"/>
          <w:szCs w:val="24"/>
        </w:rPr>
        <w:t>The respondent did not abide by the Labour Court Judgment No LC/H/248/11.  The rehearing was done after the prescribed 30 day period had lapsed and there was no extension of such period granted by a court of law.  The proceedings and the determination of the respondent, therefore, are at</w:t>
      </w:r>
      <w:r w:rsidR="00CF3FA8">
        <w:rPr>
          <w:sz w:val="24"/>
          <w:szCs w:val="24"/>
        </w:rPr>
        <w:t xml:space="preserve"> law, null and void.  I proceeded </w:t>
      </w:r>
      <w:r w:rsidRPr="00CF3FA8">
        <w:rPr>
          <w:sz w:val="24"/>
          <w:szCs w:val="24"/>
        </w:rPr>
        <w:t>under protest.</w:t>
      </w:r>
    </w:p>
    <w:p w:rsidR="00C30B2E" w:rsidRPr="00CF3FA8" w:rsidRDefault="00C30B2E" w:rsidP="00C30B2E">
      <w:pPr>
        <w:pStyle w:val="ListParagraph"/>
        <w:numPr>
          <w:ilvl w:val="0"/>
          <w:numId w:val="1"/>
        </w:numPr>
        <w:spacing w:line="360" w:lineRule="auto"/>
        <w:jc w:val="both"/>
        <w:rPr>
          <w:sz w:val="24"/>
          <w:szCs w:val="24"/>
        </w:rPr>
      </w:pPr>
      <w:r w:rsidRPr="00CF3FA8">
        <w:rPr>
          <w:sz w:val="24"/>
          <w:szCs w:val="24"/>
        </w:rPr>
        <w:lastRenderedPageBreak/>
        <w:t>The existence of two different draft audit report(s) for the same audit exercise, the tampering of the contents effectively prejudicing me in defending the allegation that I opened a bank account without treas</w:t>
      </w:r>
      <w:r w:rsidR="00CF3FA8">
        <w:rPr>
          <w:sz w:val="24"/>
          <w:szCs w:val="24"/>
        </w:rPr>
        <w:t>ury authority, the inconsistency</w:t>
      </w:r>
      <w:r w:rsidRPr="00CF3FA8">
        <w:rPr>
          <w:sz w:val="24"/>
          <w:szCs w:val="24"/>
        </w:rPr>
        <w:t xml:space="preserve"> with Section 14 of the Project Agreement, flat lies contained therein renders the draft audit report(s) defective.  The allegations on the Misconduct Charge Letter dated 30 December 2008 are founded on this defective draft audit report(s) and therefore </w:t>
      </w:r>
      <w:proofErr w:type="gramStart"/>
      <w:r w:rsidRPr="00CF3FA8">
        <w:rPr>
          <w:sz w:val="24"/>
          <w:szCs w:val="24"/>
        </w:rPr>
        <w:t>have  no</w:t>
      </w:r>
      <w:proofErr w:type="gramEnd"/>
      <w:r w:rsidRPr="00CF3FA8">
        <w:rPr>
          <w:sz w:val="24"/>
          <w:szCs w:val="24"/>
        </w:rPr>
        <w:t xml:space="preserve"> effective in law.</w:t>
      </w:r>
    </w:p>
    <w:p w:rsidR="00C30B2E" w:rsidRPr="00CF3FA8" w:rsidRDefault="00C30B2E" w:rsidP="00C30B2E">
      <w:pPr>
        <w:pStyle w:val="ListParagraph"/>
        <w:numPr>
          <w:ilvl w:val="0"/>
          <w:numId w:val="1"/>
        </w:numPr>
        <w:spacing w:line="360" w:lineRule="auto"/>
        <w:jc w:val="both"/>
        <w:rPr>
          <w:sz w:val="24"/>
          <w:szCs w:val="24"/>
        </w:rPr>
      </w:pPr>
      <w:r w:rsidRPr="00CF3FA8">
        <w:rPr>
          <w:sz w:val="24"/>
          <w:szCs w:val="24"/>
        </w:rPr>
        <w:t>The respondent grossly misdirected by delegating the Disciplinary Authority function to the same Head of Ministry who was involved with the case before.  Substantive fairness could not have been reached in this case considering the circumstances.  The Disciplinary Authority had a defined position.  I raised the objection, in writing, of the Disciplinary Committees of the aborted and the hearing that took place acknowledged receipt of the objection.  I proceeded under protest.</w:t>
      </w:r>
    </w:p>
    <w:p w:rsidR="00270BB3" w:rsidRPr="00CF3FA8" w:rsidRDefault="00270BB3" w:rsidP="00C30B2E">
      <w:pPr>
        <w:pStyle w:val="ListParagraph"/>
        <w:numPr>
          <w:ilvl w:val="0"/>
          <w:numId w:val="1"/>
        </w:numPr>
        <w:spacing w:line="360" w:lineRule="auto"/>
        <w:jc w:val="both"/>
        <w:rPr>
          <w:sz w:val="24"/>
          <w:szCs w:val="24"/>
        </w:rPr>
      </w:pPr>
      <w:r w:rsidRPr="00CF3FA8">
        <w:rPr>
          <w:sz w:val="24"/>
          <w:szCs w:val="24"/>
        </w:rPr>
        <w:t>The respondent grossly erred in holding that I was aware or made aware of the Treasury Instruction.  The respondent never gave me or made me aware of the Treasury Instruction to execute my duties.</w:t>
      </w:r>
    </w:p>
    <w:p w:rsidR="00270BB3" w:rsidRPr="00CF3FA8" w:rsidRDefault="00270BB3" w:rsidP="00C30B2E">
      <w:pPr>
        <w:pStyle w:val="ListParagraph"/>
        <w:numPr>
          <w:ilvl w:val="0"/>
          <w:numId w:val="1"/>
        </w:numPr>
        <w:spacing w:line="360" w:lineRule="auto"/>
        <w:jc w:val="both"/>
        <w:rPr>
          <w:sz w:val="24"/>
          <w:szCs w:val="24"/>
        </w:rPr>
      </w:pPr>
      <w:r w:rsidRPr="00CF3FA8">
        <w:rPr>
          <w:sz w:val="24"/>
          <w:szCs w:val="24"/>
        </w:rPr>
        <w:t>The respondent fatally erred when it failed to prove its allegation.  The Bank Account Opening Application Form to prove that I opened the bank account was not tabled in the hearing.</w:t>
      </w:r>
    </w:p>
    <w:p w:rsidR="00270BB3" w:rsidRPr="00CF3FA8" w:rsidRDefault="00270BB3" w:rsidP="00C30B2E">
      <w:pPr>
        <w:pStyle w:val="ListParagraph"/>
        <w:numPr>
          <w:ilvl w:val="0"/>
          <w:numId w:val="1"/>
        </w:numPr>
        <w:spacing w:line="360" w:lineRule="auto"/>
        <w:jc w:val="both"/>
        <w:rPr>
          <w:sz w:val="24"/>
          <w:szCs w:val="24"/>
        </w:rPr>
      </w:pPr>
      <w:r w:rsidRPr="00CF3FA8">
        <w:rPr>
          <w:sz w:val="24"/>
          <w:szCs w:val="24"/>
        </w:rPr>
        <w:t>The respondent fatally erred in finding that it was my duty to seek treasury authority when opening a bank account.  My job description never had such a duty.  The Treasury Instruction and the draft Audit Report DAR4D/2008/01 clearly state those responsible for such duty.</w:t>
      </w:r>
    </w:p>
    <w:p w:rsidR="00270BB3" w:rsidRPr="00CF3FA8" w:rsidRDefault="00270BB3" w:rsidP="00C30B2E">
      <w:pPr>
        <w:pStyle w:val="ListParagraph"/>
        <w:numPr>
          <w:ilvl w:val="0"/>
          <w:numId w:val="1"/>
        </w:numPr>
        <w:spacing w:line="360" w:lineRule="auto"/>
        <w:jc w:val="both"/>
        <w:rPr>
          <w:sz w:val="24"/>
          <w:szCs w:val="24"/>
        </w:rPr>
      </w:pPr>
      <w:r w:rsidRPr="00CF3FA8">
        <w:rPr>
          <w:sz w:val="24"/>
          <w:szCs w:val="24"/>
        </w:rPr>
        <w:t xml:space="preserve">The respondent fatally erred in making a finding that I made an application for the withdrawal of the 19 000 euros without following accounting procedures, thus obtaining relevant support documents and completing vouchers to authorise the payment.  I was never charged or given an opportunity to be heard on this allegation.  The finding was </w:t>
      </w:r>
      <w:proofErr w:type="spellStart"/>
      <w:r w:rsidRPr="00CF3FA8">
        <w:rPr>
          <w:sz w:val="24"/>
          <w:szCs w:val="24"/>
        </w:rPr>
        <w:t>unprocedurally</w:t>
      </w:r>
      <w:proofErr w:type="spellEnd"/>
      <w:r w:rsidRPr="00CF3FA8">
        <w:rPr>
          <w:sz w:val="24"/>
          <w:szCs w:val="24"/>
        </w:rPr>
        <w:t xml:space="preserve"> arrived at in contravention of S46 (4) OF Public Service Regulations, Statutory Instrument 1 of 2000, as amended that implicitly recognises the member’s right to be heard as envisaged by the </w:t>
      </w:r>
      <w:proofErr w:type="spellStart"/>
      <w:r w:rsidRPr="00CF3FA8">
        <w:rPr>
          <w:i/>
          <w:sz w:val="24"/>
          <w:szCs w:val="24"/>
        </w:rPr>
        <w:t>audi</w:t>
      </w:r>
      <w:proofErr w:type="spellEnd"/>
      <w:r w:rsidRPr="00CF3FA8">
        <w:rPr>
          <w:i/>
          <w:sz w:val="24"/>
          <w:szCs w:val="24"/>
        </w:rPr>
        <w:t xml:space="preserve"> </w:t>
      </w:r>
      <w:proofErr w:type="spellStart"/>
      <w:r w:rsidRPr="00CF3FA8">
        <w:rPr>
          <w:i/>
          <w:sz w:val="24"/>
          <w:szCs w:val="24"/>
        </w:rPr>
        <w:t>alteram</w:t>
      </w:r>
      <w:proofErr w:type="spellEnd"/>
      <w:r w:rsidRPr="00CF3FA8">
        <w:rPr>
          <w:i/>
          <w:sz w:val="24"/>
          <w:szCs w:val="24"/>
        </w:rPr>
        <w:t xml:space="preserve"> </w:t>
      </w:r>
      <w:proofErr w:type="spellStart"/>
      <w:r w:rsidRPr="00CF3FA8">
        <w:rPr>
          <w:i/>
          <w:sz w:val="24"/>
          <w:szCs w:val="24"/>
        </w:rPr>
        <w:t>partem</w:t>
      </w:r>
      <w:proofErr w:type="spellEnd"/>
      <w:r w:rsidRPr="00CF3FA8">
        <w:rPr>
          <w:i/>
          <w:sz w:val="24"/>
          <w:szCs w:val="24"/>
        </w:rPr>
        <w:t xml:space="preserve"> principle.</w:t>
      </w:r>
    </w:p>
    <w:p w:rsidR="00270BB3" w:rsidRPr="00CF3FA8" w:rsidRDefault="00270BB3" w:rsidP="00C30B2E">
      <w:pPr>
        <w:pStyle w:val="ListParagraph"/>
        <w:numPr>
          <w:ilvl w:val="0"/>
          <w:numId w:val="1"/>
        </w:numPr>
        <w:spacing w:line="360" w:lineRule="auto"/>
        <w:jc w:val="both"/>
        <w:rPr>
          <w:sz w:val="24"/>
          <w:szCs w:val="24"/>
        </w:rPr>
      </w:pPr>
      <w:r w:rsidRPr="00CF3FA8">
        <w:rPr>
          <w:sz w:val="24"/>
          <w:szCs w:val="24"/>
        </w:rPr>
        <w:lastRenderedPageBreak/>
        <w:t>The respondent fatally erred in falling to specify how my actions specifically constitute misconduct acts in terms of paragraphs 2</w:t>
      </w:r>
      <w:proofErr w:type="gramStart"/>
      <w:r w:rsidRPr="00CF3FA8">
        <w:rPr>
          <w:sz w:val="24"/>
          <w:szCs w:val="24"/>
        </w:rPr>
        <w:t>,3</w:t>
      </w:r>
      <w:proofErr w:type="gramEnd"/>
      <w:r w:rsidRPr="00CF3FA8">
        <w:rPr>
          <w:sz w:val="24"/>
          <w:szCs w:val="24"/>
        </w:rPr>
        <w:t>,</w:t>
      </w:r>
      <w:r w:rsidR="00F54DB1">
        <w:rPr>
          <w:sz w:val="24"/>
          <w:szCs w:val="24"/>
        </w:rPr>
        <w:t xml:space="preserve"> </w:t>
      </w:r>
      <w:r w:rsidR="00EA4F4B" w:rsidRPr="00CF3FA8">
        <w:rPr>
          <w:sz w:val="24"/>
          <w:szCs w:val="24"/>
        </w:rPr>
        <w:t>8 and 24 of the  First Schedule (Section 2) of the Public Service Regulations, as amended.</w:t>
      </w:r>
    </w:p>
    <w:p w:rsidR="00EA4F4B" w:rsidRPr="00CF3FA8" w:rsidRDefault="00EA4F4B" w:rsidP="00C30B2E">
      <w:pPr>
        <w:pStyle w:val="ListParagraph"/>
        <w:numPr>
          <w:ilvl w:val="0"/>
          <w:numId w:val="1"/>
        </w:numPr>
        <w:spacing w:line="360" w:lineRule="auto"/>
        <w:jc w:val="both"/>
        <w:rPr>
          <w:sz w:val="24"/>
          <w:szCs w:val="24"/>
        </w:rPr>
      </w:pPr>
      <w:r w:rsidRPr="00CF3FA8">
        <w:rPr>
          <w:sz w:val="24"/>
          <w:szCs w:val="24"/>
        </w:rPr>
        <w:t>The respondent’s findings are bordered on victimisation, an unfair labour practice outlawed in a workplace.</w:t>
      </w:r>
    </w:p>
    <w:p w:rsidR="00EA4F4B" w:rsidRPr="00CF3FA8" w:rsidRDefault="00EA4F4B" w:rsidP="00EA4F4B">
      <w:pPr>
        <w:spacing w:line="360" w:lineRule="auto"/>
        <w:ind w:left="720"/>
        <w:jc w:val="both"/>
        <w:rPr>
          <w:sz w:val="24"/>
          <w:szCs w:val="24"/>
        </w:rPr>
      </w:pPr>
      <w:r w:rsidRPr="00CF3FA8">
        <w:rPr>
          <w:sz w:val="24"/>
          <w:szCs w:val="24"/>
        </w:rPr>
        <w:t>The appeal was opposed by the respondent.</w:t>
      </w:r>
    </w:p>
    <w:p w:rsidR="00EA4F4B" w:rsidRDefault="00EA4F4B" w:rsidP="00EA4F4B">
      <w:pPr>
        <w:spacing w:after="0" w:line="360" w:lineRule="auto"/>
        <w:ind w:left="720"/>
        <w:jc w:val="both"/>
        <w:rPr>
          <w:sz w:val="28"/>
          <w:szCs w:val="28"/>
        </w:rPr>
      </w:pPr>
      <w:r>
        <w:rPr>
          <w:sz w:val="28"/>
          <w:szCs w:val="28"/>
        </w:rPr>
        <w:t xml:space="preserve">On the date of the hearing appellant raised two preliminary points which </w:t>
      </w:r>
    </w:p>
    <w:p w:rsidR="00EA4F4B" w:rsidRDefault="001454C9" w:rsidP="00EA4F4B">
      <w:pPr>
        <w:spacing w:after="0" w:line="360" w:lineRule="auto"/>
        <w:jc w:val="both"/>
        <w:rPr>
          <w:sz w:val="28"/>
          <w:szCs w:val="28"/>
        </w:rPr>
      </w:pPr>
      <w:proofErr w:type="gramStart"/>
      <w:r>
        <w:rPr>
          <w:sz w:val="28"/>
          <w:szCs w:val="28"/>
        </w:rPr>
        <w:t>h</w:t>
      </w:r>
      <w:r w:rsidR="00EA4F4B">
        <w:rPr>
          <w:sz w:val="28"/>
          <w:szCs w:val="28"/>
        </w:rPr>
        <w:t>e</w:t>
      </w:r>
      <w:proofErr w:type="gramEnd"/>
      <w:r w:rsidR="00CF3FA8">
        <w:rPr>
          <w:sz w:val="28"/>
          <w:szCs w:val="28"/>
        </w:rPr>
        <w:t>, in his grounds of appeal</w:t>
      </w:r>
      <w:r w:rsidR="00EA4F4B">
        <w:rPr>
          <w:sz w:val="28"/>
          <w:szCs w:val="28"/>
        </w:rPr>
        <w:t xml:space="preserve"> refe</w:t>
      </w:r>
      <w:r>
        <w:rPr>
          <w:sz w:val="28"/>
          <w:szCs w:val="28"/>
        </w:rPr>
        <w:t xml:space="preserve">rred to as ‘points in </w:t>
      </w:r>
      <w:proofErr w:type="spellStart"/>
      <w:r>
        <w:rPr>
          <w:sz w:val="28"/>
          <w:szCs w:val="28"/>
        </w:rPr>
        <w:t>limine</w:t>
      </w:r>
      <w:proofErr w:type="spellEnd"/>
      <w:r>
        <w:rPr>
          <w:sz w:val="28"/>
          <w:szCs w:val="28"/>
        </w:rPr>
        <w:t>’.</w:t>
      </w:r>
      <w:r w:rsidR="00EA4F4B">
        <w:rPr>
          <w:sz w:val="28"/>
          <w:szCs w:val="28"/>
        </w:rPr>
        <w:t xml:space="preserve"> The first </w:t>
      </w:r>
      <w:r w:rsidR="00CF3FA8">
        <w:rPr>
          <w:sz w:val="28"/>
          <w:szCs w:val="28"/>
        </w:rPr>
        <w:t>‘</w:t>
      </w:r>
      <w:r w:rsidR="005437F4">
        <w:rPr>
          <w:sz w:val="28"/>
          <w:szCs w:val="28"/>
        </w:rPr>
        <w:t>P</w:t>
      </w:r>
      <w:r w:rsidR="00EA4F4B">
        <w:rPr>
          <w:sz w:val="28"/>
          <w:szCs w:val="28"/>
        </w:rPr>
        <w:t>reliminary point</w:t>
      </w:r>
      <w:r w:rsidR="00CF3FA8">
        <w:rPr>
          <w:sz w:val="28"/>
          <w:szCs w:val="28"/>
        </w:rPr>
        <w:t>’</w:t>
      </w:r>
      <w:r w:rsidR="00EA4F4B">
        <w:rPr>
          <w:sz w:val="28"/>
          <w:szCs w:val="28"/>
        </w:rPr>
        <w:t xml:space="preserve"> </w:t>
      </w:r>
      <w:proofErr w:type="gramStart"/>
      <w:r w:rsidR="00EA4F4B">
        <w:rPr>
          <w:sz w:val="28"/>
          <w:szCs w:val="28"/>
        </w:rPr>
        <w:t>raised</w:t>
      </w:r>
      <w:proofErr w:type="gramEnd"/>
      <w:r w:rsidR="00EA4F4B">
        <w:rPr>
          <w:sz w:val="28"/>
          <w:szCs w:val="28"/>
        </w:rPr>
        <w:t xml:space="preserve"> is that the respondent is in contempt of the Labour Court judgment issued on</w:t>
      </w:r>
      <w:r w:rsidR="005437F4">
        <w:rPr>
          <w:sz w:val="28"/>
          <w:szCs w:val="28"/>
        </w:rPr>
        <w:t xml:space="preserve"> the 12 November 2011.  The respondent ha</w:t>
      </w:r>
      <w:r w:rsidR="00EA4F4B">
        <w:rPr>
          <w:sz w:val="28"/>
          <w:szCs w:val="28"/>
        </w:rPr>
        <w:t>s dirty hands and therefore s</w:t>
      </w:r>
      <w:r w:rsidR="005437F4">
        <w:rPr>
          <w:sz w:val="28"/>
          <w:szCs w:val="28"/>
        </w:rPr>
        <w:t>hould not be granted</w:t>
      </w:r>
      <w:r w:rsidR="00EA4F4B">
        <w:rPr>
          <w:sz w:val="28"/>
          <w:szCs w:val="28"/>
        </w:rPr>
        <w:t xml:space="preserve"> audience.</w:t>
      </w:r>
    </w:p>
    <w:p w:rsidR="00EA4F4B" w:rsidRDefault="00EA4F4B" w:rsidP="00EA4F4B">
      <w:pPr>
        <w:spacing w:after="0" w:line="360" w:lineRule="auto"/>
        <w:jc w:val="both"/>
        <w:rPr>
          <w:sz w:val="28"/>
          <w:szCs w:val="28"/>
        </w:rPr>
      </w:pPr>
      <w:r>
        <w:rPr>
          <w:sz w:val="28"/>
          <w:szCs w:val="28"/>
        </w:rPr>
        <w:tab/>
        <w:t>The respondent</w:t>
      </w:r>
      <w:r w:rsidR="001454C9">
        <w:rPr>
          <w:sz w:val="28"/>
          <w:szCs w:val="28"/>
        </w:rPr>
        <w:t>’s</w:t>
      </w:r>
      <w:r>
        <w:rPr>
          <w:sz w:val="28"/>
          <w:szCs w:val="28"/>
        </w:rPr>
        <w:t xml:space="preserve"> submission on the point is </w:t>
      </w:r>
      <w:r w:rsidR="005437F4">
        <w:rPr>
          <w:sz w:val="28"/>
          <w:szCs w:val="28"/>
        </w:rPr>
        <w:t>that</w:t>
      </w:r>
      <w:r>
        <w:rPr>
          <w:sz w:val="28"/>
          <w:szCs w:val="28"/>
        </w:rPr>
        <w:t xml:space="preserve"> t</w:t>
      </w:r>
      <w:r w:rsidR="00B40F90">
        <w:rPr>
          <w:sz w:val="28"/>
          <w:szCs w:val="28"/>
        </w:rPr>
        <w:t xml:space="preserve">he point being raised </w:t>
      </w:r>
      <w:r w:rsidR="005437F4">
        <w:rPr>
          <w:sz w:val="28"/>
          <w:szCs w:val="28"/>
        </w:rPr>
        <w:t>emanating as it were from the respondent’s non-</w:t>
      </w:r>
      <w:r w:rsidR="00B40F90">
        <w:rPr>
          <w:sz w:val="28"/>
          <w:szCs w:val="28"/>
        </w:rPr>
        <w:t xml:space="preserve">compliance with </w:t>
      </w:r>
      <w:r w:rsidR="005437F4">
        <w:rPr>
          <w:sz w:val="28"/>
          <w:szCs w:val="28"/>
        </w:rPr>
        <w:t>a court</w:t>
      </w:r>
      <w:r w:rsidR="001454C9">
        <w:rPr>
          <w:sz w:val="28"/>
          <w:szCs w:val="28"/>
        </w:rPr>
        <w:t xml:space="preserve"> order</w:t>
      </w:r>
      <w:r w:rsidR="00B40F90">
        <w:rPr>
          <w:sz w:val="28"/>
          <w:szCs w:val="28"/>
        </w:rPr>
        <w:t xml:space="preserve"> is inappropriately raised in appeal proceeding.  The point should be </w:t>
      </w:r>
      <w:r w:rsidR="005437F4">
        <w:rPr>
          <w:sz w:val="28"/>
          <w:szCs w:val="28"/>
        </w:rPr>
        <w:t xml:space="preserve">more </w:t>
      </w:r>
      <w:r w:rsidR="00B40F90">
        <w:rPr>
          <w:sz w:val="28"/>
          <w:szCs w:val="28"/>
        </w:rPr>
        <w:t xml:space="preserve">appropriately raised in </w:t>
      </w:r>
      <w:r w:rsidR="005437F4">
        <w:rPr>
          <w:sz w:val="28"/>
          <w:szCs w:val="28"/>
        </w:rPr>
        <w:t xml:space="preserve">an </w:t>
      </w:r>
      <w:r w:rsidR="00B40F90">
        <w:rPr>
          <w:sz w:val="28"/>
          <w:szCs w:val="28"/>
        </w:rPr>
        <w:t>application for review.</w:t>
      </w:r>
    </w:p>
    <w:p w:rsidR="00B40F90" w:rsidRDefault="00B40F90" w:rsidP="00EA4F4B">
      <w:pPr>
        <w:spacing w:after="0" w:line="360" w:lineRule="auto"/>
        <w:jc w:val="both"/>
        <w:rPr>
          <w:sz w:val="28"/>
          <w:szCs w:val="28"/>
        </w:rPr>
      </w:pPr>
      <w:r>
        <w:rPr>
          <w:sz w:val="28"/>
          <w:szCs w:val="28"/>
        </w:rPr>
        <w:tab/>
        <w:t>The</w:t>
      </w:r>
      <w:r w:rsidR="001454C9">
        <w:rPr>
          <w:sz w:val="28"/>
          <w:szCs w:val="28"/>
        </w:rPr>
        <w:t xml:space="preserve"> referred</w:t>
      </w:r>
      <w:r>
        <w:rPr>
          <w:sz w:val="28"/>
          <w:szCs w:val="28"/>
        </w:rPr>
        <w:t xml:space="preserve"> Labour Court decision (handed</w:t>
      </w:r>
      <w:r w:rsidR="005437F4">
        <w:rPr>
          <w:sz w:val="28"/>
          <w:szCs w:val="28"/>
        </w:rPr>
        <w:t xml:space="preserve"> down on the</w:t>
      </w:r>
      <w:r>
        <w:rPr>
          <w:sz w:val="28"/>
          <w:szCs w:val="28"/>
        </w:rPr>
        <w:t xml:space="preserve"> 12 November 2011) to reads as follows;</w:t>
      </w:r>
    </w:p>
    <w:p w:rsidR="00B40F90" w:rsidRPr="0041502C" w:rsidRDefault="00B40F90" w:rsidP="00EA4F4B">
      <w:pPr>
        <w:spacing w:after="0" w:line="360" w:lineRule="auto"/>
        <w:jc w:val="both"/>
        <w:rPr>
          <w:sz w:val="24"/>
          <w:szCs w:val="24"/>
        </w:rPr>
      </w:pPr>
      <w:r>
        <w:rPr>
          <w:sz w:val="28"/>
          <w:szCs w:val="28"/>
        </w:rPr>
        <w:tab/>
      </w:r>
      <w:r w:rsidR="005437F4" w:rsidRPr="0041502C">
        <w:rPr>
          <w:sz w:val="24"/>
          <w:szCs w:val="24"/>
        </w:rPr>
        <w:t>“</w:t>
      </w:r>
      <w:r w:rsidRPr="0041502C">
        <w:rPr>
          <w:sz w:val="24"/>
          <w:szCs w:val="24"/>
        </w:rPr>
        <w:t>It is accordingly ordered as follows;</w:t>
      </w:r>
    </w:p>
    <w:p w:rsidR="00B40F90" w:rsidRPr="0041502C" w:rsidRDefault="00B40F90" w:rsidP="00B40F90">
      <w:pPr>
        <w:pStyle w:val="ListParagraph"/>
        <w:numPr>
          <w:ilvl w:val="0"/>
          <w:numId w:val="2"/>
        </w:numPr>
        <w:spacing w:after="0" w:line="360" w:lineRule="auto"/>
        <w:jc w:val="both"/>
        <w:rPr>
          <w:sz w:val="24"/>
          <w:szCs w:val="24"/>
        </w:rPr>
      </w:pPr>
      <w:r w:rsidRPr="0041502C">
        <w:rPr>
          <w:sz w:val="24"/>
          <w:szCs w:val="24"/>
        </w:rPr>
        <w:t xml:space="preserve"> The proceedings are set aside;</w:t>
      </w:r>
    </w:p>
    <w:p w:rsidR="00B40F90" w:rsidRPr="0041502C" w:rsidRDefault="00B40F90" w:rsidP="00B40F90">
      <w:pPr>
        <w:pStyle w:val="ListParagraph"/>
        <w:numPr>
          <w:ilvl w:val="0"/>
          <w:numId w:val="2"/>
        </w:numPr>
        <w:spacing w:after="0" w:line="360" w:lineRule="auto"/>
        <w:jc w:val="both"/>
        <w:rPr>
          <w:sz w:val="24"/>
          <w:szCs w:val="24"/>
        </w:rPr>
      </w:pPr>
      <w:r w:rsidRPr="0041502C">
        <w:rPr>
          <w:sz w:val="24"/>
          <w:szCs w:val="24"/>
        </w:rPr>
        <w:t>The a</w:t>
      </w:r>
      <w:r w:rsidR="0041502C">
        <w:rPr>
          <w:sz w:val="24"/>
          <w:szCs w:val="24"/>
        </w:rPr>
        <w:t>ppellant remains on suspension o</w:t>
      </w:r>
      <w:r w:rsidRPr="0041502C">
        <w:rPr>
          <w:sz w:val="24"/>
          <w:szCs w:val="24"/>
        </w:rPr>
        <w:t>n the same conditions</w:t>
      </w:r>
    </w:p>
    <w:p w:rsidR="00B40F90" w:rsidRPr="0041502C" w:rsidRDefault="00B40F90" w:rsidP="00B40F90">
      <w:pPr>
        <w:pStyle w:val="ListParagraph"/>
        <w:numPr>
          <w:ilvl w:val="0"/>
          <w:numId w:val="2"/>
        </w:numPr>
        <w:spacing w:after="0" w:line="360" w:lineRule="auto"/>
        <w:jc w:val="both"/>
        <w:rPr>
          <w:sz w:val="24"/>
          <w:szCs w:val="24"/>
        </w:rPr>
      </w:pPr>
      <w:r w:rsidRPr="0041502C">
        <w:rPr>
          <w:sz w:val="24"/>
          <w:szCs w:val="24"/>
        </w:rPr>
        <w:t xml:space="preserve">The respondent shall rehear the case </w:t>
      </w:r>
      <w:r w:rsidR="0041502C">
        <w:rPr>
          <w:sz w:val="24"/>
          <w:szCs w:val="24"/>
        </w:rPr>
        <w:t xml:space="preserve">including </w:t>
      </w:r>
      <w:r w:rsidRPr="0041502C">
        <w:rPr>
          <w:sz w:val="24"/>
          <w:szCs w:val="24"/>
        </w:rPr>
        <w:t>making a decision with</w:t>
      </w:r>
      <w:r w:rsidR="0041502C">
        <w:rPr>
          <w:sz w:val="24"/>
          <w:szCs w:val="24"/>
        </w:rPr>
        <w:t>in</w:t>
      </w:r>
      <w:r w:rsidRPr="0041502C">
        <w:rPr>
          <w:sz w:val="24"/>
          <w:szCs w:val="24"/>
        </w:rPr>
        <w:t xml:space="preserve"> 30 days (or such period as may be granted later) of the receipt of this order</w:t>
      </w:r>
    </w:p>
    <w:p w:rsidR="00B40F90" w:rsidRPr="0041502C" w:rsidRDefault="00B40F90" w:rsidP="00B40F90">
      <w:pPr>
        <w:pStyle w:val="ListParagraph"/>
        <w:numPr>
          <w:ilvl w:val="0"/>
          <w:numId w:val="2"/>
        </w:numPr>
        <w:spacing w:after="0" w:line="360" w:lineRule="auto"/>
        <w:jc w:val="both"/>
        <w:rPr>
          <w:sz w:val="24"/>
          <w:szCs w:val="24"/>
        </w:rPr>
      </w:pPr>
      <w:r w:rsidRPr="0041502C">
        <w:rPr>
          <w:sz w:val="24"/>
          <w:szCs w:val="24"/>
        </w:rPr>
        <w:t>If the respondent fails to hear the case with</w:t>
      </w:r>
      <w:r w:rsidR="0041502C">
        <w:rPr>
          <w:sz w:val="24"/>
          <w:szCs w:val="24"/>
        </w:rPr>
        <w:t>in</w:t>
      </w:r>
      <w:r w:rsidRPr="0041502C">
        <w:rPr>
          <w:sz w:val="24"/>
          <w:szCs w:val="24"/>
        </w:rPr>
        <w:t xml:space="preserve"> the prescribed period or such further period as may be granted on good cause shown, the respondent shall reinstate the appellant with effec</w:t>
      </w:r>
      <w:r w:rsidR="00257974" w:rsidRPr="0041502C">
        <w:rPr>
          <w:sz w:val="24"/>
          <w:szCs w:val="24"/>
        </w:rPr>
        <w:t>t from the default date, without loss of salary and benefits and shall be barred from taking any further disciplinary on the same charge.</w:t>
      </w:r>
    </w:p>
    <w:p w:rsidR="00257974" w:rsidRPr="0041502C" w:rsidRDefault="00257974" w:rsidP="00B40F90">
      <w:pPr>
        <w:pStyle w:val="ListParagraph"/>
        <w:numPr>
          <w:ilvl w:val="0"/>
          <w:numId w:val="2"/>
        </w:numPr>
        <w:spacing w:after="0" w:line="360" w:lineRule="auto"/>
        <w:jc w:val="both"/>
        <w:rPr>
          <w:sz w:val="24"/>
          <w:szCs w:val="24"/>
        </w:rPr>
      </w:pPr>
      <w:r w:rsidRPr="0041502C">
        <w:rPr>
          <w:sz w:val="24"/>
          <w:szCs w:val="24"/>
        </w:rPr>
        <w:lastRenderedPageBreak/>
        <w:t>If reinstatement in terms of paragraph 4 is no longer possible the respondent shall pay damages in lieu of reinstatement.  The parties may agree on the quantum of damages failing which each party may approach the court for quantification.</w:t>
      </w:r>
    </w:p>
    <w:p w:rsidR="00257974" w:rsidRPr="0041502C" w:rsidRDefault="00257974" w:rsidP="00B40F90">
      <w:pPr>
        <w:pStyle w:val="ListParagraph"/>
        <w:numPr>
          <w:ilvl w:val="0"/>
          <w:numId w:val="2"/>
        </w:numPr>
        <w:spacing w:after="0" w:line="360" w:lineRule="auto"/>
        <w:jc w:val="both"/>
        <w:rPr>
          <w:sz w:val="24"/>
          <w:szCs w:val="24"/>
        </w:rPr>
      </w:pPr>
      <w:r w:rsidRPr="0041502C">
        <w:rPr>
          <w:sz w:val="24"/>
          <w:szCs w:val="24"/>
        </w:rPr>
        <w:t>Each party to bear its own costs.</w:t>
      </w:r>
      <w:r w:rsidR="0041502C">
        <w:rPr>
          <w:sz w:val="24"/>
          <w:szCs w:val="24"/>
        </w:rPr>
        <w:t>”</w:t>
      </w:r>
    </w:p>
    <w:p w:rsidR="00257974" w:rsidRDefault="00257974" w:rsidP="00257974">
      <w:pPr>
        <w:pStyle w:val="ListParagraph"/>
        <w:spacing w:after="0" w:line="360" w:lineRule="auto"/>
        <w:jc w:val="both"/>
        <w:rPr>
          <w:sz w:val="28"/>
          <w:szCs w:val="28"/>
        </w:rPr>
      </w:pPr>
    </w:p>
    <w:p w:rsidR="00AE2DCD" w:rsidRDefault="00257974" w:rsidP="0041502C">
      <w:pPr>
        <w:pStyle w:val="ListParagraph"/>
        <w:spacing w:after="0" w:line="360" w:lineRule="auto"/>
        <w:jc w:val="both"/>
        <w:rPr>
          <w:sz w:val="28"/>
          <w:szCs w:val="28"/>
        </w:rPr>
      </w:pPr>
      <w:r>
        <w:rPr>
          <w:sz w:val="28"/>
          <w:szCs w:val="28"/>
        </w:rPr>
        <w:t>The appellant</w:t>
      </w:r>
      <w:r w:rsidR="0041502C">
        <w:rPr>
          <w:sz w:val="28"/>
          <w:szCs w:val="28"/>
        </w:rPr>
        <w:t>’s</w:t>
      </w:r>
      <w:r>
        <w:rPr>
          <w:sz w:val="28"/>
          <w:szCs w:val="28"/>
        </w:rPr>
        <w:t xml:space="preserve"> submission on the first pr</w:t>
      </w:r>
      <w:r w:rsidR="00AE2DCD">
        <w:rPr>
          <w:sz w:val="28"/>
          <w:szCs w:val="28"/>
        </w:rPr>
        <w:t xml:space="preserve">eliminary point therefore is </w:t>
      </w:r>
    </w:p>
    <w:p w:rsidR="00EA4F4B" w:rsidRPr="00EA4F4B" w:rsidRDefault="0041502C" w:rsidP="0041502C">
      <w:pPr>
        <w:spacing w:after="0" w:line="360" w:lineRule="auto"/>
        <w:jc w:val="both"/>
        <w:rPr>
          <w:sz w:val="28"/>
          <w:szCs w:val="28"/>
        </w:rPr>
      </w:pPr>
      <w:proofErr w:type="gramStart"/>
      <w:r w:rsidRPr="0041502C">
        <w:rPr>
          <w:sz w:val="28"/>
          <w:szCs w:val="28"/>
        </w:rPr>
        <w:t>that</w:t>
      </w:r>
      <w:proofErr w:type="gramEnd"/>
      <w:r w:rsidRPr="0041502C">
        <w:rPr>
          <w:sz w:val="28"/>
          <w:szCs w:val="28"/>
        </w:rPr>
        <w:t xml:space="preserve"> the respondent is in contempt of the Labour Court judgment in that the respondent was supposed to have concluded the matter and handed down a</w:t>
      </w:r>
      <w:r>
        <w:rPr>
          <w:sz w:val="28"/>
          <w:szCs w:val="28"/>
        </w:rPr>
        <w:t xml:space="preserve"> decision within 30 days failing which respondent was</w:t>
      </w:r>
      <w:r w:rsidRPr="0041502C">
        <w:rPr>
          <w:sz w:val="28"/>
          <w:szCs w:val="28"/>
        </w:rPr>
        <w:t xml:space="preserve"> to </w:t>
      </w:r>
      <w:r>
        <w:rPr>
          <w:sz w:val="28"/>
          <w:szCs w:val="28"/>
        </w:rPr>
        <w:t>reinstate the</w:t>
      </w:r>
      <w:r w:rsidRPr="0041502C">
        <w:rPr>
          <w:sz w:val="28"/>
          <w:szCs w:val="28"/>
        </w:rPr>
        <w:t xml:space="preserve"> appellant without loss of salary and benefits</w:t>
      </w:r>
      <w:r>
        <w:rPr>
          <w:sz w:val="28"/>
          <w:szCs w:val="28"/>
        </w:rPr>
        <w:t>.</w:t>
      </w:r>
      <w:r w:rsidRPr="0041502C">
        <w:rPr>
          <w:sz w:val="28"/>
          <w:szCs w:val="28"/>
        </w:rPr>
        <w:t xml:space="preserve"> </w:t>
      </w:r>
      <w:r>
        <w:rPr>
          <w:sz w:val="28"/>
          <w:szCs w:val="28"/>
        </w:rPr>
        <w:t xml:space="preserve"> F</w:t>
      </w:r>
      <w:r w:rsidRPr="0041502C">
        <w:rPr>
          <w:sz w:val="28"/>
          <w:szCs w:val="28"/>
        </w:rPr>
        <w:t>urther the respondent was to be barred from taking any further disciplinary on the same cha</w:t>
      </w:r>
      <w:r>
        <w:rPr>
          <w:sz w:val="28"/>
          <w:szCs w:val="28"/>
        </w:rPr>
        <w:t xml:space="preserve">rges.  The 30 days due </w:t>
      </w:r>
      <w:r w:rsidR="001454C9">
        <w:rPr>
          <w:sz w:val="28"/>
          <w:szCs w:val="28"/>
        </w:rPr>
        <w:t>to expire</w:t>
      </w:r>
      <w:r w:rsidRPr="0041502C">
        <w:rPr>
          <w:sz w:val="28"/>
          <w:szCs w:val="28"/>
        </w:rPr>
        <w:t xml:space="preserve"> on </w:t>
      </w:r>
      <w:proofErr w:type="gramStart"/>
      <w:r w:rsidRPr="0041502C">
        <w:rPr>
          <w:sz w:val="28"/>
          <w:szCs w:val="28"/>
        </w:rPr>
        <w:t>6</w:t>
      </w:r>
      <w:r w:rsidR="00036A3B" w:rsidRPr="00036A3B">
        <w:rPr>
          <w:sz w:val="28"/>
          <w:szCs w:val="28"/>
          <w:vertAlign w:val="superscript"/>
        </w:rPr>
        <w:t>th</w:t>
      </w:r>
      <w:r w:rsidR="00036A3B">
        <w:rPr>
          <w:sz w:val="28"/>
          <w:szCs w:val="28"/>
        </w:rPr>
        <w:t xml:space="preserve"> </w:t>
      </w:r>
      <w:r w:rsidRPr="0041502C">
        <w:rPr>
          <w:sz w:val="28"/>
          <w:szCs w:val="28"/>
        </w:rPr>
        <w:t xml:space="preserve"> January</w:t>
      </w:r>
      <w:proofErr w:type="gramEnd"/>
      <w:r w:rsidR="00036A3B">
        <w:rPr>
          <w:sz w:val="28"/>
          <w:szCs w:val="28"/>
        </w:rPr>
        <w:t>,</w:t>
      </w:r>
      <w:r w:rsidRPr="0041502C">
        <w:rPr>
          <w:sz w:val="28"/>
          <w:szCs w:val="28"/>
        </w:rPr>
        <w:t xml:space="preserve"> 2012.  The appellant submission is </w:t>
      </w:r>
      <w:r>
        <w:rPr>
          <w:sz w:val="28"/>
          <w:szCs w:val="28"/>
        </w:rPr>
        <w:t>respondent having failed to</w:t>
      </w:r>
      <w:r w:rsidRPr="0041502C">
        <w:rPr>
          <w:sz w:val="28"/>
          <w:szCs w:val="28"/>
        </w:rPr>
        <w:t xml:space="preserve"> conclude the hearing with</w:t>
      </w:r>
      <w:r>
        <w:rPr>
          <w:sz w:val="28"/>
          <w:szCs w:val="28"/>
        </w:rPr>
        <w:t>in 30 days and then failed</w:t>
      </w:r>
      <w:r w:rsidRPr="0041502C">
        <w:rPr>
          <w:sz w:val="28"/>
          <w:szCs w:val="28"/>
        </w:rPr>
        <w:t xml:space="preserve"> to reinstate him the respondent </w:t>
      </w:r>
      <w:r>
        <w:rPr>
          <w:sz w:val="28"/>
          <w:szCs w:val="28"/>
        </w:rPr>
        <w:t xml:space="preserve">was in contempt </w:t>
      </w:r>
      <w:r w:rsidRPr="0041502C">
        <w:rPr>
          <w:sz w:val="28"/>
          <w:szCs w:val="28"/>
        </w:rPr>
        <w:t>of th</w:t>
      </w:r>
      <w:r>
        <w:rPr>
          <w:sz w:val="28"/>
          <w:szCs w:val="28"/>
        </w:rPr>
        <w:t>is court’s order.  The</w:t>
      </w:r>
      <w:r w:rsidR="001454C9">
        <w:rPr>
          <w:sz w:val="28"/>
          <w:szCs w:val="28"/>
        </w:rPr>
        <w:t xml:space="preserve"> purported </w:t>
      </w:r>
      <w:r>
        <w:rPr>
          <w:sz w:val="28"/>
          <w:szCs w:val="28"/>
        </w:rPr>
        <w:t xml:space="preserve"> proceedings</w:t>
      </w:r>
      <w:r w:rsidRPr="0041502C">
        <w:rPr>
          <w:sz w:val="28"/>
          <w:szCs w:val="28"/>
        </w:rPr>
        <w:t xml:space="preserve"> </w:t>
      </w:r>
      <w:r w:rsidR="001454C9">
        <w:rPr>
          <w:sz w:val="28"/>
          <w:szCs w:val="28"/>
        </w:rPr>
        <w:t xml:space="preserve">that respondent convened </w:t>
      </w:r>
      <w:r w:rsidRPr="0041502C">
        <w:rPr>
          <w:sz w:val="28"/>
          <w:szCs w:val="28"/>
        </w:rPr>
        <w:t>after the 6 January 2012 were therefore null and void as the respondent was technically barred as at that stage.</w:t>
      </w:r>
    </w:p>
    <w:p w:rsidR="00801E36" w:rsidRDefault="00AE2DCD" w:rsidP="003E7A1B">
      <w:pPr>
        <w:spacing w:line="360" w:lineRule="auto"/>
        <w:jc w:val="both"/>
        <w:rPr>
          <w:sz w:val="28"/>
          <w:szCs w:val="28"/>
        </w:rPr>
      </w:pPr>
      <w:r>
        <w:rPr>
          <w:sz w:val="28"/>
          <w:szCs w:val="28"/>
        </w:rPr>
        <w:tab/>
        <w:t>The respondent</w:t>
      </w:r>
      <w:r w:rsidR="0041502C">
        <w:rPr>
          <w:sz w:val="28"/>
          <w:szCs w:val="28"/>
        </w:rPr>
        <w:t>,</w:t>
      </w:r>
      <w:r>
        <w:rPr>
          <w:sz w:val="28"/>
          <w:szCs w:val="28"/>
        </w:rPr>
        <w:t xml:space="preserve"> through an affidavit filed by PSC</w:t>
      </w:r>
      <w:r w:rsidR="0041502C">
        <w:rPr>
          <w:sz w:val="28"/>
          <w:szCs w:val="28"/>
        </w:rPr>
        <w:t xml:space="preserve"> Chairperson</w:t>
      </w:r>
      <w:r>
        <w:rPr>
          <w:sz w:val="28"/>
          <w:szCs w:val="28"/>
        </w:rPr>
        <w:t xml:space="preserve"> on the point is that the appellant </w:t>
      </w:r>
      <w:r w:rsidR="0041502C">
        <w:rPr>
          <w:sz w:val="28"/>
          <w:szCs w:val="28"/>
        </w:rPr>
        <w:t>contributed</w:t>
      </w:r>
      <w:r>
        <w:rPr>
          <w:sz w:val="28"/>
          <w:szCs w:val="28"/>
        </w:rPr>
        <w:t xml:space="preserve"> to the delay in the finalisation of the matter.</w:t>
      </w:r>
      <w:r w:rsidR="001454C9">
        <w:rPr>
          <w:sz w:val="28"/>
          <w:szCs w:val="28"/>
        </w:rPr>
        <w:t xml:space="preserve">  </w:t>
      </w:r>
      <w:r w:rsidR="00801E36">
        <w:rPr>
          <w:sz w:val="28"/>
          <w:szCs w:val="28"/>
        </w:rPr>
        <w:t>The appellant objected to the First Disciplinary Committee set up to hear the matter.  A new committee was then set up and the appellant then attended the proceedings of the Disciplinary Committee.</w:t>
      </w:r>
    </w:p>
    <w:p w:rsidR="00801E36" w:rsidRPr="00801E36" w:rsidRDefault="00801E36" w:rsidP="003E7A1B">
      <w:pPr>
        <w:spacing w:line="360" w:lineRule="auto"/>
        <w:jc w:val="both"/>
        <w:rPr>
          <w:sz w:val="28"/>
          <w:szCs w:val="28"/>
        </w:rPr>
      </w:pPr>
      <w:r>
        <w:rPr>
          <w:sz w:val="28"/>
          <w:szCs w:val="28"/>
        </w:rPr>
        <w:tab/>
        <w:t>The appellant</w:t>
      </w:r>
      <w:r w:rsidR="0041502C">
        <w:rPr>
          <w:sz w:val="28"/>
          <w:szCs w:val="28"/>
        </w:rPr>
        <w:t xml:space="preserve"> in his first preliminary point</w:t>
      </w:r>
      <w:r>
        <w:rPr>
          <w:sz w:val="28"/>
          <w:szCs w:val="28"/>
        </w:rPr>
        <w:t xml:space="preserve"> has raised an argument based on the </w:t>
      </w:r>
      <w:r w:rsidR="0041502C">
        <w:rPr>
          <w:sz w:val="28"/>
          <w:szCs w:val="28"/>
        </w:rPr>
        <w:t>dirty hands</w:t>
      </w:r>
      <w:r>
        <w:rPr>
          <w:sz w:val="28"/>
          <w:szCs w:val="28"/>
        </w:rPr>
        <w:t xml:space="preserve"> principle.  The </w:t>
      </w:r>
      <w:r w:rsidR="0041502C">
        <w:rPr>
          <w:sz w:val="28"/>
          <w:szCs w:val="28"/>
        </w:rPr>
        <w:t>dirty hands</w:t>
      </w:r>
      <w:r>
        <w:rPr>
          <w:sz w:val="28"/>
          <w:szCs w:val="28"/>
        </w:rPr>
        <w:t xml:space="preserve"> policy was set out with cl</w:t>
      </w:r>
      <w:r w:rsidR="001454C9">
        <w:rPr>
          <w:sz w:val="28"/>
          <w:szCs w:val="28"/>
        </w:rPr>
        <w:t>arit</w:t>
      </w:r>
      <w:r w:rsidR="006138FA">
        <w:rPr>
          <w:sz w:val="28"/>
          <w:szCs w:val="28"/>
        </w:rPr>
        <w:t>y</w:t>
      </w:r>
      <w:r>
        <w:rPr>
          <w:sz w:val="28"/>
          <w:szCs w:val="28"/>
        </w:rPr>
        <w:t xml:space="preserve"> in </w:t>
      </w:r>
      <w:r w:rsidRPr="00801E36">
        <w:rPr>
          <w:b/>
          <w:sz w:val="28"/>
          <w:szCs w:val="28"/>
        </w:rPr>
        <w:t>Associated Newspapers of Zimbabwe (Pvt) Ltd v</w:t>
      </w:r>
      <w:r>
        <w:rPr>
          <w:b/>
          <w:sz w:val="28"/>
          <w:szCs w:val="28"/>
        </w:rPr>
        <w:t xml:space="preserve"> the Minister of State for Information &amp; Publicity and </w:t>
      </w:r>
      <w:proofErr w:type="spellStart"/>
      <w:r>
        <w:rPr>
          <w:b/>
          <w:sz w:val="28"/>
          <w:szCs w:val="28"/>
        </w:rPr>
        <w:t>Ors</w:t>
      </w:r>
      <w:proofErr w:type="spellEnd"/>
      <w:r>
        <w:rPr>
          <w:b/>
          <w:sz w:val="28"/>
          <w:szCs w:val="28"/>
        </w:rPr>
        <w:t xml:space="preserve"> </w:t>
      </w:r>
      <w:r>
        <w:rPr>
          <w:sz w:val="28"/>
          <w:szCs w:val="28"/>
        </w:rPr>
        <w:t xml:space="preserve">20004 (1) ZLR 538 (5).  The </w:t>
      </w:r>
      <w:r w:rsidR="006138FA">
        <w:rPr>
          <w:sz w:val="28"/>
          <w:szCs w:val="28"/>
        </w:rPr>
        <w:t xml:space="preserve">rationale </w:t>
      </w:r>
      <w:r>
        <w:rPr>
          <w:sz w:val="28"/>
          <w:szCs w:val="28"/>
        </w:rPr>
        <w:t xml:space="preserve">for the rule being that a court of law cannot </w:t>
      </w:r>
      <w:r w:rsidR="006138FA">
        <w:rPr>
          <w:sz w:val="28"/>
          <w:szCs w:val="28"/>
        </w:rPr>
        <w:t xml:space="preserve">connive or condone open </w:t>
      </w:r>
      <w:proofErr w:type="gramStart"/>
      <w:r>
        <w:rPr>
          <w:sz w:val="28"/>
          <w:szCs w:val="28"/>
        </w:rPr>
        <w:t xml:space="preserve">conduct </w:t>
      </w:r>
      <w:r w:rsidR="001454C9">
        <w:rPr>
          <w:sz w:val="28"/>
          <w:szCs w:val="28"/>
        </w:rPr>
        <w:t xml:space="preserve"> </w:t>
      </w:r>
      <w:r w:rsidR="001454C9">
        <w:rPr>
          <w:sz w:val="28"/>
          <w:szCs w:val="28"/>
        </w:rPr>
        <w:lastRenderedPageBreak/>
        <w:t>amounting</w:t>
      </w:r>
      <w:proofErr w:type="gramEnd"/>
      <w:r w:rsidR="001454C9">
        <w:rPr>
          <w:sz w:val="28"/>
          <w:szCs w:val="28"/>
        </w:rPr>
        <w:t xml:space="preserve"> to </w:t>
      </w:r>
      <w:r w:rsidR="006138FA">
        <w:rPr>
          <w:sz w:val="28"/>
          <w:szCs w:val="28"/>
        </w:rPr>
        <w:t xml:space="preserve">defiance </w:t>
      </w:r>
      <w:r>
        <w:rPr>
          <w:sz w:val="28"/>
          <w:szCs w:val="28"/>
        </w:rPr>
        <w:t xml:space="preserve">of the law and </w:t>
      </w:r>
      <w:r w:rsidR="001454C9">
        <w:rPr>
          <w:sz w:val="28"/>
          <w:szCs w:val="28"/>
        </w:rPr>
        <w:t>that</w:t>
      </w:r>
      <w:r w:rsidR="006138FA">
        <w:rPr>
          <w:sz w:val="28"/>
          <w:szCs w:val="28"/>
        </w:rPr>
        <w:t xml:space="preserve"> citizens </w:t>
      </w:r>
      <w:r>
        <w:rPr>
          <w:sz w:val="28"/>
          <w:szCs w:val="28"/>
        </w:rPr>
        <w:t xml:space="preserve">are obliged </w:t>
      </w:r>
      <w:r w:rsidR="006138FA">
        <w:rPr>
          <w:sz w:val="28"/>
          <w:szCs w:val="28"/>
        </w:rPr>
        <w:t>to obey</w:t>
      </w:r>
      <w:r>
        <w:rPr>
          <w:sz w:val="28"/>
          <w:szCs w:val="28"/>
        </w:rPr>
        <w:t xml:space="preserve"> the law and argue afterwards.</w:t>
      </w:r>
      <w:r w:rsidR="001454C9">
        <w:rPr>
          <w:sz w:val="28"/>
          <w:szCs w:val="28"/>
        </w:rPr>
        <w:t xml:space="preserve">  On the basis of respondent submissions I was satisfied</w:t>
      </w:r>
      <w:r w:rsidR="00306115">
        <w:rPr>
          <w:sz w:val="28"/>
          <w:szCs w:val="28"/>
        </w:rPr>
        <w:t xml:space="preserve"> that the respondent was not in wilful defia</w:t>
      </w:r>
      <w:r w:rsidR="00D149AA">
        <w:rPr>
          <w:sz w:val="28"/>
          <w:szCs w:val="28"/>
        </w:rPr>
        <w:t>nt</w:t>
      </w:r>
      <w:r w:rsidR="00306115">
        <w:rPr>
          <w:sz w:val="28"/>
          <w:szCs w:val="28"/>
        </w:rPr>
        <w:t xml:space="preserve"> of the Labour Court order.  He therefore had no dirty hands before the court.</w:t>
      </w:r>
    </w:p>
    <w:p w:rsidR="0071585D" w:rsidRDefault="0071585D" w:rsidP="003E7A1B">
      <w:pPr>
        <w:spacing w:line="360" w:lineRule="auto"/>
        <w:jc w:val="both"/>
        <w:rPr>
          <w:sz w:val="28"/>
          <w:szCs w:val="28"/>
        </w:rPr>
      </w:pPr>
      <w:r>
        <w:rPr>
          <w:sz w:val="28"/>
          <w:szCs w:val="28"/>
        </w:rPr>
        <w:tab/>
        <w:t xml:space="preserve">The second preliminary point raised by the appellant is that the respondent has placed </w:t>
      </w:r>
      <w:r w:rsidR="006138FA">
        <w:rPr>
          <w:sz w:val="28"/>
          <w:szCs w:val="28"/>
        </w:rPr>
        <w:t>before</w:t>
      </w:r>
      <w:r>
        <w:rPr>
          <w:sz w:val="28"/>
          <w:szCs w:val="28"/>
        </w:rPr>
        <w:t xml:space="preserve"> the court </w:t>
      </w:r>
      <w:r w:rsidR="006138FA">
        <w:rPr>
          <w:sz w:val="28"/>
          <w:szCs w:val="28"/>
        </w:rPr>
        <w:t>two</w:t>
      </w:r>
      <w:r>
        <w:rPr>
          <w:sz w:val="28"/>
          <w:szCs w:val="28"/>
        </w:rPr>
        <w:t xml:space="preserve"> different audit report </w:t>
      </w:r>
      <w:r w:rsidR="006138FA">
        <w:rPr>
          <w:sz w:val="28"/>
          <w:szCs w:val="28"/>
        </w:rPr>
        <w:t>one</w:t>
      </w:r>
      <w:r>
        <w:rPr>
          <w:sz w:val="28"/>
          <w:szCs w:val="28"/>
        </w:rPr>
        <w:t xml:space="preserve"> reference DARS/2009/01 and the other DAR4D/2008/01.  Although the audit was conducted by the same field auditors during the same period the respondent ended up with two draft audit</w:t>
      </w:r>
      <w:r w:rsidR="00032E7C">
        <w:rPr>
          <w:sz w:val="28"/>
          <w:szCs w:val="28"/>
        </w:rPr>
        <w:t xml:space="preserve"> reports which have inexplicable</w:t>
      </w:r>
      <w:r>
        <w:rPr>
          <w:sz w:val="28"/>
          <w:szCs w:val="28"/>
        </w:rPr>
        <w:t xml:space="preserve"> differences.  The differences are that the</w:t>
      </w:r>
      <w:r w:rsidR="00032E7C">
        <w:rPr>
          <w:sz w:val="28"/>
          <w:szCs w:val="28"/>
        </w:rPr>
        <w:t xml:space="preserve"> same audit was requested by two different</w:t>
      </w:r>
      <w:r>
        <w:rPr>
          <w:sz w:val="28"/>
          <w:szCs w:val="28"/>
        </w:rPr>
        <w:t xml:space="preserve"> persons i.e. Mrs </w:t>
      </w:r>
      <w:proofErr w:type="spellStart"/>
      <w:r w:rsidR="00032E7C">
        <w:rPr>
          <w:sz w:val="28"/>
          <w:szCs w:val="28"/>
        </w:rPr>
        <w:t>Hikwa</w:t>
      </w:r>
      <w:proofErr w:type="spellEnd"/>
      <w:r w:rsidR="00032E7C">
        <w:rPr>
          <w:sz w:val="28"/>
          <w:szCs w:val="28"/>
        </w:rPr>
        <w:t xml:space="preserve"> </w:t>
      </w:r>
      <w:r>
        <w:rPr>
          <w:sz w:val="28"/>
          <w:szCs w:val="28"/>
        </w:rPr>
        <w:t>(for 2008</w:t>
      </w:r>
      <w:r w:rsidR="00032E7C">
        <w:rPr>
          <w:sz w:val="28"/>
          <w:szCs w:val="28"/>
        </w:rPr>
        <w:t xml:space="preserve"> report</w:t>
      </w:r>
      <w:r>
        <w:rPr>
          <w:sz w:val="28"/>
          <w:szCs w:val="28"/>
        </w:rPr>
        <w:t xml:space="preserve">) and Dr </w:t>
      </w:r>
      <w:proofErr w:type="spellStart"/>
      <w:r>
        <w:rPr>
          <w:sz w:val="28"/>
          <w:szCs w:val="28"/>
        </w:rPr>
        <w:t>Mguni</w:t>
      </w:r>
      <w:proofErr w:type="spellEnd"/>
      <w:r>
        <w:rPr>
          <w:sz w:val="28"/>
          <w:szCs w:val="28"/>
        </w:rPr>
        <w:t xml:space="preserve"> (for 2009 report).  The reasons for so requesting an audit are also different.  The findings </w:t>
      </w:r>
      <w:r w:rsidR="00032E7C">
        <w:rPr>
          <w:sz w:val="28"/>
          <w:szCs w:val="28"/>
        </w:rPr>
        <w:t>and</w:t>
      </w:r>
      <w:r>
        <w:rPr>
          <w:sz w:val="28"/>
          <w:szCs w:val="28"/>
        </w:rPr>
        <w:t xml:space="preserve"> recommendations arising from each are also different.  </w:t>
      </w:r>
      <w:r w:rsidR="00032E7C">
        <w:rPr>
          <w:sz w:val="28"/>
          <w:szCs w:val="28"/>
        </w:rPr>
        <w:t xml:space="preserve"> It is important to note t</w:t>
      </w:r>
      <w:r>
        <w:rPr>
          <w:sz w:val="28"/>
          <w:szCs w:val="28"/>
        </w:rPr>
        <w:t xml:space="preserve">he 2008 draft audit report </w:t>
      </w:r>
      <w:r w:rsidR="00032E7C">
        <w:rPr>
          <w:sz w:val="28"/>
          <w:szCs w:val="28"/>
        </w:rPr>
        <w:t>was later set</w:t>
      </w:r>
      <w:r>
        <w:rPr>
          <w:sz w:val="28"/>
          <w:szCs w:val="28"/>
        </w:rPr>
        <w:t xml:space="preserve"> </w:t>
      </w:r>
      <w:r w:rsidR="00032E7C">
        <w:rPr>
          <w:sz w:val="28"/>
          <w:szCs w:val="28"/>
        </w:rPr>
        <w:t>aside by the Labour Court in 201</w:t>
      </w:r>
      <w:r>
        <w:rPr>
          <w:sz w:val="28"/>
          <w:szCs w:val="28"/>
        </w:rPr>
        <w:t>1.  When</w:t>
      </w:r>
      <w:r w:rsidR="008A296D">
        <w:rPr>
          <w:sz w:val="28"/>
          <w:szCs w:val="28"/>
        </w:rPr>
        <w:t xml:space="preserve"> the </w:t>
      </w:r>
      <w:r>
        <w:rPr>
          <w:sz w:val="28"/>
          <w:szCs w:val="28"/>
        </w:rPr>
        <w:t xml:space="preserve">appellant </w:t>
      </w:r>
      <w:r w:rsidR="00032E7C">
        <w:rPr>
          <w:sz w:val="28"/>
          <w:szCs w:val="28"/>
        </w:rPr>
        <w:t>noted his appeal</w:t>
      </w:r>
      <w:r>
        <w:rPr>
          <w:sz w:val="28"/>
          <w:szCs w:val="28"/>
        </w:rPr>
        <w:t xml:space="preserve"> to the Labour Court against the second conviction and penalty the respondent had abandoned the 2008 draft r</w:t>
      </w:r>
      <w:r w:rsidR="00032E7C">
        <w:rPr>
          <w:sz w:val="28"/>
          <w:szCs w:val="28"/>
        </w:rPr>
        <w:t>eport and was placing reliance o</w:t>
      </w:r>
      <w:r>
        <w:rPr>
          <w:sz w:val="28"/>
          <w:szCs w:val="28"/>
        </w:rPr>
        <w:t>n the 2009</w:t>
      </w:r>
      <w:r w:rsidR="00032E7C">
        <w:rPr>
          <w:sz w:val="28"/>
          <w:szCs w:val="28"/>
        </w:rPr>
        <w:t xml:space="preserve"> draft</w:t>
      </w:r>
      <w:r>
        <w:rPr>
          <w:sz w:val="28"/>
          <w:szCs w:val="28"/>
        </w:rPr>
        <w:t xml:space="preserve"> report.</w:t>
      </w:r>
    </w:p>
    <w:p w:rsidR="0071585D" w:rsidRDefault="0071585D" w:rsidP="003E7A1B">
      <w:pPr>
        <w:spacing w:line="360" w:lineRule="auto"/>
        <w:jc w:val="both"/>
        <w:rPr>
          <w:sz w:val="28"/>
          <w:szCs w:val="28"/>
        </w:rPr>
      </w:pPr>
      <w:r>
        <w:rPr>
          <w:sz w:val="28"/>
          <w:szCs w:val="28"/>
        </w:rPr>
        <w:tab/>
        <w:t xml:space="preserve">The appellant submission is </w:t>
      </w:r>
      <w:r w:rsidR="00032E7C">
        <w:rPr>
          <w:sz w:val="28"/>
          <w:szCs w:val="28"/>
        </w:rPr>
        <w:t>that</w:t>
      </w:r>
      <w:r>
        <w:rPr>
          <w:sz w:val="28"/>
          <w:szCs w:val="28"/>
        </w:rPr>
        <w:t xml:space="preserve"> in the absence 2008 draft audit report his case is prejudiced.  His suggestion is that </w:t>
      </w:r>
      <w:r w:rsidR="00032E7C">
        <w:rPr>
          <w:sz w:val="28"/>
          <w:szCs w:val="28"/>
        </w:rPr>
        <w:t xml:space="preserve">the </w:t>
      </w:r>
      <w:r>
        <w:rPr>
          <w:sz w:val="28"/>
          <w:szCs w:val="28"/>
        </w:rPr>
        <w:t xml:space="preserve">draft </w:t>
      </w:r>
      <w:r w:rsidR="00032E7C">
        <w:rPr>
          <w:sz w:val="28"/>
          <w:szCs w:val="28"/>
        </w:rPr>
        <w:t>audit</w:t>
      </w:r>
      <w:r>
        <w:rPr>
          <w:sz w:val="28"/>
          <w:szCs w:val="28"/>
        </w:rPr>
        <w:t xml:space="preserve"> report should be placed before the court.  In the absence of </w:t>
      </w:r>
      <w:r w:rsidR="00306115">
        <w:rPr>
          <w:sz w:val="28"/>
          <w:szCs w:val="28"/>
        </w:rPr>
        <w:t xml:space="preserve">the 2008 draft </w:t>
      </w:r>
      <w:r w:rsidR="00D149AA">
        <w:rPr>
          <w:sz w:val="28"/>
          <w:szCs w:val="28"/>
        </w:rPr>
        <w:t>audit</w:t>
      </w:r>
      <w:r>
        <w:rPr>
          <w:sz w:val="28"/>
          <w:szCs w:val="28"/>
        </w:rPr>
        <w:t xml:space="preserve"> the court should find that the proceedings were null and void.</w:t>
      </w:r>
    </w:p>
    <w:p w:rsidR="00B546B5" w:rsidRDefault="0071585D" w:rsidP="00B546B5">
      <w:pPr>
        <w:spacing w:line="360" w:lineRule="auto"/>
        <w:jc w:val="both"/>
        <w:rPr>
          <w:sz w:val="28"/>
          <w:szCs w:val="28"/>
        </w:rPr>
      </w:pPr>
      <w:r>
        <w:rPr>
          <w:sz w:val="28"/>
          <w:szCs w:val="28"/>
        </w:rPr>
        <w:tab/>
        <w:t xml:space="preserve">The respondent submission on the point is that it is </w:t>
      </w:r>
      <w:r w:rsidR="00032E7C">
        <w:rPr>
          <w:sz w:val="28"/>
          <w:szCs w:val="28"/>
        </w:rPr>
        <w:t>correct</w:t>
      </w:r>
      <w:r>
        <w:rPr>
          <w:sz w:val="28"/>
          <w:szCs w:val="28"/>
        </w:rPr>
        <w:t xml:space="preserve"> that there are two draft audit reports </w:t>
      </w:r>
      <w:r w:rsidR="00032E7C">
        <w:rPr>
          <w:sz w:val="28"/>
          <w:szCs w:val="28"/>
        </w:rPr>
        <w:t>one dated</w:t>
      </w:r>
      <w:r w:rsidR="006C70CF">
        <w:rPr>
          <w:sz w:val="28"/>
          <w:szCs w:val="28"/>
        </w:rPr>
        <w:t xml:space="preserve"> 23 December 2008 addres</w:t>
      </w:r>
      <w:r>
        <w:rPr>
          <w:sz w:val="28"/>
          <w:szCs w:val="28"/>
        </w:rPr>
        <w:t xml:space="preserve">sed to Mrs </w:t>
      </w:r>
      <w:proofErr w:type="spellStart"/>
      <w:r w:rsidR="00032E7C">
        <w:rPr>
          <w:sz w:val="28"/>
          <w:szCs w:val="28"/>
        </w:rPr>
        <w:t>Hikwa</w:t>
      </w:r>
      <w:proofErr w:type="spellEnd"/>
      <w:r>
        <w:rPr>
          <w:sz w:val="28"/>
          <w:szCs w:val="28"/>
        </w:rPr>
        <w:t>.  T</w:t>
      </w:r>
      <w:r w:rsidR="00306115">
        <w:rPr>
          <w:sz w:val="28"/>
          <w:szCs w:val="28"/>
        </w:rPr>
        <w:t>he report was later however chan</w:t>
      </w:r>
      <w:r>
        <w:rPr>
          <w:sz w:val="28"/>
          <w:szCs w:val="28"/>
        </w:rPr>
        <w:t>g</w:t>
      </w:r>
      <w:r w:rsidR="006C70CF">
        <w:rPr>
          <w:sz w:val="28"/>
          <w:szCs w:val="28"/>
        </w:rPr>
        <w:t xml:space="preserve">ed and addressed </w:t>
      </w:r>
      <w:r w:rsidR="00032E7C">
        <w:rPr>
          <w:sz w:val="28"/>
          <w:szCs w:val="28"/>
        </w:rPr>
        <w:t>to</w:t>
      </w:r>
      <w:r w:rsidR="006C70CF">
        <w:rPr>
          <w:sz w:val="28"/>
          <w:szCs w:val="28"/>
        </w:rPr>
        <w:t xml:space="preserve"> Dr </w:t>
      </w:r>
      <w:proofErr w:type="spellStart"/>
      <w:r w:rsidR="006C70CF">
        <w:rPr>
          <w:sz w:val="28"/>
          <w:szCs w:val="28"/>
        </w:rPr>
        <w:t>Mguni</w:t>
      </w:r>
      <w:proofErr w:type="spellEnd"/>
      <w:r w:rsidR="006C70CF">
        <w:rPr>
          <w:sz w:val="28"/>
          <w:szCs w:val="28"/>
        </w:rPr>
        <w:t xml:space="preserve"> who was the Acting Director of DARS on 28 January 2009.  Because of the </w:t>
      </w:r>
      <w:r w:rsidR="00032E7C">
        <w:rPr>
          <w:sz w:val="28"/>
          <w:szCs w:val="28"/>
        </w:rPr>
        <w:lastRenderedPageBreak/>
        <w:t>movement</w:t>
      </w:r>
      <w:r w:rsidR="006C70CF">
        <w:rPr>
          <w:sz w:val="28"/>
          <w:szCs w:val="28"/>
        </w:rPr>
        <w:t xml:space="preserve"> of Plan</w:t>
      </w:r>
      <w:r w:rsidR="00032E7C">
        <w:rPr>
          <w:sz w:val="28"/>
          <w:szCs w:val="28"/>
        </w:rPr>
        <w:t>t</w:t>
      </w:r>
      <w:r w:rsidR="006C70CF">
        <w:rPr>
          <w:sz w:val="28"/>
          <w:szCs w:val="28"/>
        </w:rPr>
        <w:t xml:space="preserve"> Protection Unit who were the owners of the project before audit under Quarantine Project Services Division to Agricultural; Research for </w:t>
      </w:r>
      <w:r w:rsidR="00032E7C">
        <w:rPr>
          <w:sz w:val="28"/>
          <w:szCs w:val="28"/>
        </w:rPr>
        <w:t xml:space="preserve">Development </w:t>
      </w:r>
      <w:r w:rsidR="006C70CF">
        <w:rPr>
          <w:sz w:val="28"/>
          <w:szCs w:val="28"/>
        </w:rPr>
        <w:t xml:space="preserve">DAR4D to </w:t>
      </w:r>
      <w:r w:rsidR="00032E7C">
        <w:rPr>
          <w:sz w:val="28"/>
          <w:szCs w:val="28"/>
        </w:rPr>
        <w:t>from</w:t>
      </w:r>
      <w:r w:rsidR="006C70CF">
        <w:rPr>
          <w:sz w:val="28"/>
          <w:szCs w:val="28"/>
        </w:rPr>
        <w:t xml:space="preserve"> the Department of </w:t>
      </w:r>
      <w:r w:rsidR="00032E7C">
        <w:rPr>
          <w:sz w:val="28"/>
          <w:szCs w:val="28"/>
        </w:rPr>
        <w:t xml:space="preserve">Regulatory Services Plant Protection </w:t>
      </w:r>
      <w:r w:rsidR="006C70CF">
        <w:rPr>
          <w:sz w:val="28"/>
          <w:szCs w:val="28"/>
        </w:rPr>
        <w:t xml:space="preserve">however </w:t>
      </w:r>
      <w:r w:rsidR="00032E7C">
        <w:rPr>
          <w:sz w:val="28"/>
          <w:szCs w:val="28"/>
        </w:rPr>
        <w:t>remained</w:t>
      </w:r>
      <w:r w:rsidR="006C70CF">
        <w:rPr>
          <w:sz w:val="28"/>
          <w:szCs w:val="28"/>
        </w:rPr>
        <w:t xml:space="preserve"> with DAR4D hence the reason why the auditors initially addressed the report to the Director DAR4D</w:t>
      </w:r>
      <w:r w:rsidR="00032E7C">
        <w:rPr>
          <w:sz w:val="28"/>
          <w:szCs w:val="28"/>
        </w:rPr>
        <w:t xml:space="preserve">. </w:t>
      </w:r>
      <w:r w:rsidR="006C70CF">
        <w:rPr>
          <w:sz w:val="28"/>
          <w:szCs w:val="28"/>
        </w:rPr>
        <w:t xml:space="preserve"> Dr </w:t>
      </w:r>
      <w:proofErr w:type="spellStart"/>
      <w:r w:rsidR="006C70CF">
        <w:rPr>
          <w:sz w:val="28"/>
          <w:szCs w:val="28"/>
        </w:rPr>
        <w:t>Mguni</w:t>
      </w:r>
      <w:proofErr w:type="spellEnd"/>
      <w:r w:rsidR="006C70CF">
        <w:rPr>
          <w:sz w:val="28"/>
          <w:szCs w:val="28"/>
        </w:rPr>
        <w:t xml:space="preserve"> was at the time </w:t>
      </w:r>
      <w:r w:rsidR="00032E7C">
        <w:rPr>
          <w:sz w:val="28"/>
          <w:szCs w:val="28"/>
        </w:rPr>
        <w:t>head of PPRI b</w:t>
      </w:r>
      <w:r w:rsidR="00306115">
        <w:rPr>
          <w:sz w:val="28"/>
          <w:szCs w:val="28"/>
        </w:rPr>
        <w:t>ut later moved to DARS as Actin</w:t>
      </w:r>
      <w:r w:rsidR="00032E7C">
        <w:rPr>
          <w:sz w:val="28"/>
          <w:szCs w:val="28"/>
        </w:rPr>
        <w:t>g Director</w:t>
      </w:r>
      <w:r w:rsidR="00306115">
        <w:rPr>
          <w:sz w:val="28"/>
          <w:szCs w:val="28"/>
        </w:rPr>
        <w:t>.</w:t>
      </w:r>
      <w:r w:rsidR="006C70CF">
        <w:rPr>
          <w:sz w:val="28"/>
          <w:szCs w:val="28"/>
        </w:rPr>
        <w:t xml:space="preserve"> </w:t>
      </w:r>
      <w:r w:rsidR="00B546B5">
        <w:rPr>
          <w:sz w:val="28"/>
          <w:szCs w:val="28"/>
        </w:rPr>
        <w:t xml:space="preserve">  He was still responsible for activities of CBAF resulting in the audit report being directed to him in 2009.</w:t>
      </w:r>
    </w:p>
    <w:p w:rsidR="00944912" w:rsidRPr="003E7A1B" w:rsidRDefault="005B1CFD" w:rsidP="003E7A1B">
      <w:pPr>
        <w:spacing w:line="360" w:lineRule="auto"/>
        <w:jc w:val="both"/>
        <w:rPr>
          <w:sz w:val="28"/>
          <w:szCs w:val="28"/>
        </w:rPr>
      </w:pPr>
      <w:r>
        <w:rPr>
          <w:sz w:val="28"/>
          <w:szCs w:val="28"/>
        </w:rPr>
        <w:tab/>
        <w:t xml:space="preserve">It was </w:t>
      </w:r>
      <w:r w:rsidR="00AA7241">
        <w:rPr>
          <w:sz w:val="28"/>
          <w:szCs w:val="28"/>
        </w:rPr>
        <w:t xml:space="preserve">the </w:t>
      </w:r>
      <w:r>
        <w:rPr>
          <w:sz w:val="28"/>
          <w:szCs w:val="28"/>
        </w:rPr>
        <w:t>respondent</w:t>
      </w:r>
      <w:r w:rsidR="00AA7241">
        <w:rPr>
          <w:sz w:val="28"/>
          <w:szCs w:val="28"/>
        </w:rPr>
        <w:t>’s</w:t>
      </w:r>
      <w:r>
        <w:rPr>
          <w:sz w:val="28"/>
          <w:szCs w:val="28"/>
        </w:rPr>
        <w:t xml:space="preserve"> submission </w:t>
      </w:r>
      <w:r w:rsidR="008A296D">
        <w:rPr>
          <w:sz w:val="28"/>
          <w:szCs w:val="28"/>
        </w:rPr>
        <w:t xml:space="preserve">that the </w:t>
      </w:r>
      <w:r w:rsidR="00AA7241">
        <w:rPr>
          <w:sz w:val="28"/>
          <w:szCs w:val="28"/>
        </w:rPr>
        <w:t xml:space="preserve">contents </w:t>
      </w:r>
      <w:r w:rsidR="008A296D">
        <w:rPr>
          <w:sz w:val="28"/>
          <w:szCs w:val="28"/>
        </w:rPr>
        <w:t xml:space="preserve">of the audit were however the same the only </w:t>
      </w:r>
      <w:r w:rsidR="00AA7241">
        <w:rPr>
          <w:sz w:val="28"/>
          <w:szCs w:val="28"/>
        </w:rPr>
        <w:t xml:space="preserve">item that </w:t>
      </w:r>
      <w:r w:rsidR="008A296D">
        <w:rPr>
          <w:sz w:val="28"/>
          <w:szCs w:val="28"/>
        </w:rPr>
        <w:t>cha</w:t>
      </w:r>
      <w:r w:rsidR="00084211">
        <w:rPr>
          <w:sz w:val="28"/>
          <w:szCs w:val="28"/>
        </w:rPr>
        <w:t>n</w:t>
      </w:r>
      <w:r w:rsidR="008A296D">
        <w:rPr>
          <w:sz w:val="28"/>
          <w:szCs w:val="28"/>
        </w:rPr>
        <w:t xml:space="preserve">ged were the </w:t>
      </w:r>
      <w:r w:rsidR="00AA7241">
        <w:rPr>
          <w:sz w:val="28"/>
          <w:szCs w:val="28"/>
        </w:rPr>
        <w:t>names</w:t>
      </w:r>
      <w:r w:rsidR="008A296D">
        <w:rPr>
          <w:sz w:val="28"/>
          <w:szCs w:val="28"/>
        </w:rPr>
        <w:t xml:space="preserve"> of the </w:t>
      </w:r>
      <w:r w:rsidR="00AA7241">
        <w:rPr>
          <w:sz w:val="28"/>
          <w:szCs w:val="28"/>
        </w:rPr>
        <w:t>recipient</w:t>
      </w:r>
      <w:r w:rsidR="008A296D">
        <w:rPr>
          <w:sz w:val="28"/>
          <w:szCs w:val="28"/>
        </w:rPr>
        <w:t xml:space="preserve"> of the report.  In any event </w:t>
      </w:r>
      <w:r w:rsidR="00AA7241">
        <w:rPr>
          <w:sz w:val="28"/>
          <w:szCs w:val="28"/>
        </w:rPr>
        <w:t>that aspect</w:t>
      </w:r>
      <w:r w:rsidR="008A296D">
        <w:rPr>
          <w:sz w:val="28"/>
          <w:szCs w:val="28"/>
        </w:rPr>
        <w:t xml:space="preserve"> did not alter the elements of the charges</w:t>
      </w:r>
      <w:r w:rsidR="00673BB9">
        <w:rPr>
          <w:sz w:val="28"/>
          <w:szCs w:val="28"/>
        </w:rPr>
        <w:t xml:space="preserve"> levelled against the appellant which charges where proved by the respondent in the disciplinary proceedings.</w:t>
      </w:r>
      <w:r w:rsidR="00944912">
        <w:rPr>
          <w:sz w:val="28"/>
          <w:szCs w:val="28"/>
        </w:rPr>
        <w:tab/>
      </w:r>
    </w:p>
    <w:p w:rsidR="008A296D" w:rsidRDefault="008A296D" w:rsidP="008A296D">
      <w:pPr>
        <w:spacing w:line="360" w:lineRule="auto"/>
        <w:jc w:val="both"/>
        <w:rPr>
          <w:sz w:val="28"/>
          <w:szCs w:val="28"/>
          <w:u w:val="single"/>
        </w:rPr>
      </w:pPr>
      <w:r w:rsidRPr="00AE2DCD">
        <w:rPr>
          <w:sz w:val="28"/>
          <w:szCs w:val="28"/>
          <w:u w:val="single"/>
        </w:rPr>
        <w:t>Ruling</w:t>
      </w:r>
    </w:p>
    <w:p w:rsidR="00673BB9" w:rsidRDefault="008A296D" w:rsidP="00673BB9">
      <w:pPr>
        <w:spacing w:after="0" w:line="360" w:lineRule="auto"/>
        <w:jc w:val="both"/>
        <w:rPr>
          <w:sz w:val="28"/>
          <w:szCs w:val="28"/>
        </w:rPr>
      </w:pPr>
      <w:r>
        <w:rPr>
          <w:sz w:val="28"/>
          <w:szCs w:val="28"/>
        </w:rPr>
        <w:tab/>
        <w:t xml:space="preserve">The appellant raises </w:t>
      </w:r>
      <w:r w:rsidR="00AA7241">
        <w:rPr>
          <w:sz w:val="28"/>
          <w:szCs w:val="28"/>
        </w:rPr>
        <w:t xml:space="preserve">a valid preliminary point.  By </w:t>
      </w:r>
      <w:r>
        <w:rPr>
          <w:sz w:val="28"/>
          <w:szCs w:val="28"/>
        </w:rPr>
        <w:t xml:space="preserve">his order in 2011 </w:t>
      </w:r>
      <w:r w:rsidR="00AA7241">
        <w:rPr>
          <w:sz w:val="28"/>
          <w:szCs w:val="28"/>
        </w:rPr>
        <w:t xml:space="preserve">Justice </w:t>
      </w:r>
      <w:r w:rsidR="00084211">
        <w:rPr>
          <w:sz w:val="28"/>
          <w:szCs w:val="28"/>
        </w:rPr>
        <w:t xml:space="preserve">KACHAMBWA </w:t>
      </w:r>
      <w:r w:rsidR="00673BB9">
        <w:rPr>
          <w:sz w:val="28"/>
          <w:szCs w:val="28"/>
        </w:rPr>
        <w:t>ordered</w:t>
      </w:r>
      <w:r w:rsidR="00AA7241">
        <w:rPr>
          <w:sz w:val="28"/>
          <w:szCs w:val="28"/>
        </w:rPr>
        <w:t xml:space="preserve"> </w:t>
      </w:r>
      <w:r>
        <w:rPr>
          <w:sz w:val="28"/>
          <w:szCs w:val="28"/>
        </w:rPr>
        <w:t>a rehearing of the matter based on the same allegations. The respondent was required to conduct proceedings afresh based on the same charges and the same e</w:t>
      </w:r>
      <w:r w:rsidR="00AA7241">
        <w:rPr>
          <w:sz w:val="28"/>
          <w:szCs w:val="28"/>
        </w:rPr>
        <w:t>vidence.  The respondent was not</w:t>
      </w:r>
      <w:r>
        <w:rPr>
          <w:sz w:val="28"/>
          <w:szCs w:val="28"/>
        </w:rPr>
        <w:t xml:space="preserve"> being asked to further investigate and find additional evidence because that would clearly </w:t>
      </w:r>
      <w:r w:rsidR="00AA7241">
        <w:rPr>
          <w:sz w:val="28"/>
          <w:szCs w:val="28"/>
        </w:rPr>
        <w:t xml:space="preserve">be </w:t>
      </w:r>
      <w:r>
        <w:rPr>
          <w:sz w:val="28"/>
          <w:szCs w:val="28"/>
        </w:rPr>
        <w:t>prejudi</w:t>
      </w:r>
      <w:r w:rsidR="00BF3588">
        <w:rPr>
          <w:sz w:val="28"/>
          <w:szCs w:val="28"/>
        </w:rPr>
        <w:t xml:space="preserve">cial </w:t>
      </w:r>
      <w:r>
        <w:rPr>
          <w:sz w:val="28"/>
          <w:szCs w:val="28"/>
        </w:rPr>
        <w:t>to the appellant.  The respondent however in convening the second hearing r</w:t>
      </w:r>
      <w:r w:rsidR="00BF3588">
        <w:rPr>
          <w:sz w:val="28"/>
          <w:szCs w:val="28"/>
        </w:rPr>
        <w:t>elied o</w:t>
      </w:r>
      <w:r>
        <w:rPr>
          <w:sz w:val="28"/>
          <w:szCs w:val="28"/>
        </w:rPr>
        <w:t xml:space="preserve">n </w:t>
      </w:r>
      <w:r w:rsidR="00BF3588">
        <w:rPr>
          <w:sz w:val="28"/>
          <w:szCs w:val="28"/>
        </w:rPr>
        <w:t xml:space="preserve">a </w:t>
      </w:r>
      <w:r>
        <w:rPr>
          <w:sz w:val="28"/>
          <w:szCs w:val="28"/>
        </w:rPr>
        <w:t>different audit report.  That the</w:t>
      </w:r>
      <w:r w:rsidR="00BF3588">
        <w:rPr>
          <w:sz w:val="28"/>
          <w:szCs w:val="28"/>
        </w:rPr>
        <w:t xml:space="preserve"> report</w:t>
      </w:r>
      <w:r w:rsidR="00CF747A">
        <w:rPr>
          <w:sz w:val="28"/>
          <w:szCs w:val="28"/>
        </w:rPr>
        <w:t>s</w:t>
      </w:r>
      <w:r w:rsidR="00BF3588">
        <w:rPr>
          <w:sz w:val="28"/>
          <w:szCs w:val="28"/>
        </w:rPr>
        <w:t xml:space="preserve"> </w:t>
      </w:r>
      <w:r>
        <w:rPr>
          <w:sz w:val="28"/>
          <w:szCs w:val="28"/>
        </w:rPr>
        <w:t>are different is clearly obvious. That this was prejud</w:t>
      </w:r>
      <w:r w:rsidR="00BF3588">
        <w:rPr>
          <w:sz w:val="28"/>
          <w:szCs w:val="28"/>
        </w:rPr>
        <w:t xml:space="preserve">icial to </w:t>
      </w:r>
      <w:r>
        <w:rPr>
          <w:sz w:val="28"/>
          <w:szCs w:val="28"/>
        </w:rPr>
        <w:t>the appellant</w:t>
      </w:r>
      <w:r w:rsidR="00801E36">
        <w:rPr>
          <w:sz w:val="28"/>
          <w:szCs w:val="28"/>
        </w:rPr>
        <w:t xml:space="preserve"> </w:t>
      </w:r>
      <w:r w:rsidR="001E0BD5">
        <w:rPr>
          <w:sz w:val="28"/>
          <w:szCs w:val="28"/>
        </w:rPr>
        <w:t xml:space="preserve">is also clear.  For </w:t>
      </w:r>
      <w:r w:rsidR="00801E36">
        <w:rPr>
          <w:sz w:val="28"/>
          <w:szCs w:val="28"/>
        </w:rPr>
        <w:t xml:space="preserve">an </w:t>
      </w:r>
      <w:r w:rsidR="00BF3588">
        <w:rPr>
          <w:sz w:val="28"/>
          <w:szCs w:val="28"/>
        </w:rPr>
        <w:t>example whereas the recommendation</w:t>
      </w:r>
      <w:r w:rsidR="00801E36">
        <w:rPr>
          <w:sz w:val="28"/>
          <w:szCs w:val="28"/>
        </w:rPr>
        <w:t xml:space="preserve"> under the first draft audit report </w:t>
      </w:r>
      <w:r w:rsidR="001E0BD5">
        <w:rPr>
          <w:sz w:val="28"/>
          <w:szCs w:val="28"/>
        </w:rPr>
        <w:t xml:space="preserve">of 2008 </w:t>
      </w:r>
      <w:r w:rsidR="00801E36">
        <w:rPr>
          <w:sz w:val="28"/>
          <w:szCs w:val="28"/>
        </w:rPr>
        <w:t>was</w:t>
      </w:r>
      <w:r w:rsidR="00673BB9">
        <w:rPr>
          <w:sz w:val="28"/>
          <w:szCs w:val="28"/>
        </w:rPr>
        <w:t xml:space="preserve"> as follows; </w:t>
      </w:r>
    </w:p>
    <w:p w:rsidR="001E0BD5" w:rsidRPr="00673BB9" w:rsidRDefault="001E0BD5" w:rsidP="00673BB9">
      <w:pPr>
        <w:spacing w:after="0" w:line="240" w:lineRule="auto"/>
        <w:ind w:left="720"/>
        <w:jc w:val="both"/>
        <w:rPr>
          <w:sz w:val="24"/>
          <w:szCs w:val="24"/>
        </w:rPr>
      </w:pPr>
      <w:proofErr w:type="gramStart"/>
      <w:r>
        <w:rPr>
          <w:sz w:val="28"/>
          <w:szCs w:val="28"/>
        </w:rPr>
        <w:softHyphen/>
      </w:r>
      <w:r>
        <w:rPr>
          <w:sz w:val="28"/>
          <w:szCs w:val="28"/>
        </w:rPr>
        <w:softHyphen/>
      </w:r>
      <w:r w:rsidRPr="00673BB9">
        <w:rPr>
          <w:sz w:val="24"/>
          <w:szCs w:val="24"/>
        </w:rPr>
        <w:t>“</w:t>
      </w:r>
      <w:r w:rsidR="00CF747A" w:rsidRPr="00673BB9">
        <w:rPr>
          <w:sz w:val="24"/>
          <w:szCs w:val="24"/>
        </w:rPr>
        <w:t xml:space="preserve">Head of Department should ensure that treasury authority is sought in retrospect and this should follow for all projects running </w:t>
      </w:r>
      <w:r w:rsidRPr="00673BB9">
        <w:rPr>
          <w:sz w:val="24"/>
          <w:szCs w:val="24"/>
        </w:rPr>
        <w:t xml:space="preserve">without </w:t>
      </w:r>
      <w:r w:rsidR="00AF2E34" w:rsidRPr="00673BB9">
        <w:rPr>
          <w:sz w:val="24"/>
          <w:szCs w:val="24"/>
        </w:rPr>
        <w:t>authority in the department.</w:t>
      </w:r>
      <w:r w:rsidRPr="00673BB9">
        <w:rPr>
          <w:sz w:val="24"/>
          <w:szCs w:val="24"/>
        </w:rPr>
        <w:t>”</w:t>
      </w:r>
      <w:proofErr w:type="gramEnd"/>
    </w:p>
    <w:p w:rsidR="001E0BD5" w:rsidRDefault="001E0BD5" w:rsidP="001E0BD5">
      <w:pPr>
        <w:spacing w:after="0" w:line="360" w:lineRule="auto"/>
        <w:jc w:val="both"/>
        <w:rPr>
          <w:sz w:val="28"/>
          <w:szCs w:val="28"/>
        </w:rPr>
      </w:pPr>
    </w:p>
    <w:p w:rsidR="00AF2E34" w:rsidRDefault="00AF2E34" w:rsidP="001E0BD5">
      <w:pPr>
        <w:spacing w:after="0" w:line="360" w:lineRule="auto"/>
        <w:ind w:firstLine="720"/>
        <w:jc w:val="both"/>
        <w:rPr>
          <w:sz w:val="28"/>
          <w:szCs w:val="28"/>
        </w:rPr>
      </w:pPr>
      <w:r>
        <w:rPr>
          <w:sz w:val="28"/>
          <w:szCs w:val="28"/>
        </w:rPr>
        <w:t xml:space="preserve">The statement clearly seemed to exonerate </w:t>
      </w:r>
      <w:r w:rsidR="00801E36">
        <w:rPr>
          <w:sz w:val="28"/>
          <w:szCs w:val="28"/>
        </w:rPr>
        <w:t xml:space="preserve">the appellant’s </w:t>
      </w:r>
      <w:r w:rsidR="00BF3588">
        <w:rPr>
          <w:sz w:val="28"/>
          <w:szCs w:val="28"/>
        </w:rPr>
        <w:t xml:space="preserve">conduct </w:t>
      </w:r>
      <w:r w:rsidR="007F5A6D">
        <w:rPr>
          <w:sz w:val="28"/>
          <w:szCs w:val="28"/>
        </w:rPr>
        <w:t>where</w:t>
      </w:r>
      <w:r>
        <w:rPr>
          <w:sz w:val="28"/>
          <w:szCs w:val="28"/>
        </w:rPr>
        <w:t xml:space="preserve"> it was alleged he opened a bank account without treasury authority.</w:t>
      </w:r>
      <w:r w:rsidR="00801E36">
        <w:rPr>
          <w:sz w:val="28"/>
          <w:szCs w:val="28"/>
        </w:rPr>
        <w:t xml:space="preserve"> </w:t>
      </w:r>
      <w:r w:rsidR="00673BB9">
        <w:rPr>
          <w:sz w:val="28"/>
          <w:szCs w:val="28"/>
        </w:rPr>
        <w:t>Clearly i</w:t>
      </w:r>
      <w:r w:rsidR="007D21CB">
        <w:rPr>
          <w:sz w:val="28"/>
          <w:szCs w:val="28"/>
        </w:rPr>
        <w:t>t cannot be argued that the</w:t>
      </w:r>
      <w:r w:rsidR="00BF3588">
        <w:rPr>
          <w:sz w:val="28"/>
          <w:szCs w:val="28"/>
        </w:rPr>
        <w:t xml:space="preserve"> findings/</w:t>
      </w:r>
      <w:r w:rsidR="007D21CB">
        <w:rPr>
          <w:sz w:val="28"/>
          <w:szCs w:val="28"/>
        </w:rPr>
        <w:t xml:space="preserve">recommendation in the </w:t>
      </w:r>
      <w:r w:rsidR="00673BB9">
        <w:rPr>
          <w:sz w:val="28"/>
          <w:szCs w:val="28"/>
        </w:rPr>
        <w:t>first</w:t>
      </w:r>
      <w:r w:rsidR="00BF3588">
        <w:rPr>
          <w:sz w:val="28"/>
          <w:szCs w:val="28"/>
        </w:rPr>
        <w:t xml:space="preserve"> </w:t>
      </w:r>
      <w:r w:rsidR="007D21CB">
        <w:rPr>
          <w:sz w:val="28"/>
          <w:szCs w:val="28"/>
        </w:rPr>
        <w:t xml:space="preserve">draft </w:t>
      </w:r>
      <w:proofErr w:type="gramStart"/>
      <w:r w:rsidR="007D21CB">
        <w:rPr>
          <w:sz w:val="28"/>
          <w:szCs w:val="28"/>
        </w:rPr>
        <w:t xml:space="preserve">audit </w:t>
      </w:r>
      <w:r w:rsidR="00673BB9">
        <w:rPr>
          <w:sz w:val="28"/>
          <w:szCs w:val="28"/>
        </w:rPr>
        <w:t xml:space="preserve"> above</w:t>
      </w:r>
      <w:proofErr w:type="gramEnd"/>
      <w:r w:rsidR="00673BB9">
        <w:rPr>
          <w:sz w:val="28"/>
          <w:szCs w:val="28"/>
        </w:rPr>
        <w:t xml:space="preserve">  are the same as for the 2009 audit report which reads;</w:t>
      </w:r>
    </w:p>
    <w:p w:rsidR="00AF2E34" w:rsidRDefault="00AF2E34" w:rsidP="001E0BD5">
      <w:pPr>
        <w:spacing w:after="0" w:line="240" w:lineRule="auto"/>
        <w:jc w:val="both"/>
        <w:rPr>
          <w:sz w:val="28"/>
          <w:szCs w:val="28"/>
        </w:rPr>
      </w:pPr>
    </w:p>
    <w:p w:rsidR="00AE2B20" w:rsidRDefault="00AF2E34" w:rsidP="001E0BD5">
      <w:pPr>
        <w:spacing w:after="0" w:line="240" w:lineRule="auto"/>
        <w:ind w:left="720"/>
        <w:jc w:val="both"/>
        <w:rPr>
          <w:sz w:val="28"/>
          <w:szCs w:val="28"/>
        </w:rPr>
      </w:pPr>
      <w:r w:rsidRPr="007D21CB">
        <w:rPr>
          <w:sz w:val="28"/>
          <w:szCs w:val="28"/>
        </w:rPr>
        <w:t xml:space="preserve"> </w:t>
      </w:r>
      <w:r w:rsidR="007D21CB" w:rsidRPr="007D21CB">
        <w:rPr>
          <w:sz w:val="28"/>
          <w:szCs w:val="28"/>
        </w:rPr>
        <w:t>“</w:t>
      </w:r>
      <w:proofErr w:type="gramStart"/>
      <w:r w:rsidR="007D21CB" w:rsidRPr="007D21CB">
        <w:rPr>
          <w:sz w:val="28"/>
          <w:szCs w:val="28"/>
        </w:rPr>
        <w:t>un</w:t>
      </w:r>
      <w:r w:rsidR="00BF3588">
        <w:rPr>
          <w:sz w:val="28"/>
          <w:szCs w:val="28"/>
        </w:rPr>
        <w:t>clear</w:t>
      </w:r>
      <w:proofErr w:type="gramEnd"/>
      <w:r w:rsidR="00BF3588">
        <w:rPr>
          <w:sz w:val="28"/>
          <w:szCs w:val="28"/>
        </w:rPr>
        <w:t xml:space="preserve"> transaction in flow</w:t>
      </w:r>
      <w:r w:rsidR="007D21CB" w:rsidRPr="007D21CB">
        <w:rPr>
          <w:sz w:val="28"/>
          <w:szCs w:val="28"/>
        </w:rPr>
        <w:t xml:space="preserve"> of </w:t>
      </w:r>
      <w:r w:rsidR="00BF3588">
        <w:rPr>
          <w:sz w:val="28"/>
          <w:szCs w:val="28"/>
        </w:rPr>
        <w:t xml:space="preserve">funds into </w:t>
      </w:r>
      <w:r w:rsidR="007D21CB" w:rsidRPr="007D21CB">
        <w:rPr>
          <w:sz w:val="28"/>
          <w:szCs w:val="28"/>
        </w:rPr>
        <w:t xml:space="preserve">the project </w:t>
      </w:r>
      <w:r w:rsidR="00BF3588">
        <w:rPr>
          <w:sz w:val="28"/>
          <w:szCs w:val="28"/>
        </w:rPr>
        <w:t>local account</w:t>
      </w:r>
      <w:r w:rsidR="00163AB1">
        <w:rPr>
          <w:sz w:val="28"/>
          <w:szCs w:val="28"/>
        </w:rPr>
        <w:t xml:space="preserve"> from </w:t>
      </w:r>
      <w:proofErr w:type="spellStart"/>
      <w:r w:rsidR="00163AB1">
        <w:rPr>
          <w:sz w:val="28"/>
          <w:szCs w:val="28"/>
        </w:rPr>
        <w:t>Bernrill</w:t>
      </w:r>
      <w:proofErr w:type="spellEnd"/>
      <w:r w:rsidR="00163AB1">
        <w:rPr>
          <w:sz w:val="28"/>
          <w:szCs w:val="28"/>
        </w:rPr>
        <w:t xml:space="preserve">  Investments</w:t>
      </w:r>
      <w:r w:rsidR="007D21CB" w:rsidRPr="007D21CB">
        <w:rPr>
          <w:sz w:val="28"/>
          <w:szCs w:val="28"/>
        </w:rPr>
        <w:t xml:space="preserve"> $15 billion</w:t>
      </w:r>
      <w:r w:rsidR="00163AB1">
        <w:rPr>
          <w:sz w:val="28"/>
          <w:szCs w:val="28"/>
        </w:rPr>
        <w:t>.</w:t>
      </w:r>
      <w:r w:rsidR="007D21CB" w:rsidRPr="007D21CB">
        <w:rPr>
          <w:sz w:val="28"/>
          <w:szCs w:val="28"/>
        </w:rPr>
        <w:t>”</w:t>
      </w:r>
    </w:p>
    <w:p w:rsidR="00AE2B20" w:rsidRDefault="00AE2B20" w:rsidP="00AE2B20">
      <w:pPr>
        <w:spacing w:after="0" w:line="240" w:lineRule="auto"/>
        <w:jc w:val="both"/>
        <w:rPr>
          <w:sz w:val="28"/>
          <w:szCs w:val="28"/>
        </w:rPr>
      </w:pPr>
    </w:p>
    <w:p w:rsidR="007D21CB" w:rsidRDefault="00C46412" w:rsidP="00AE2B20">
      <w:pPr>
        <w:spacing w:after="0" w:line="360" w:lineRule="auto"/>
        <w:jc w:val="both"/>
        <w:rPr>
          <w:sz w:val="28"/>
          <w:szCs w:val="28"/>
        </w:rPr>
      </w:pPr>
      <w:r>
        <w:rPr>
          <w:sz w:val="28"/>
          <w:szCs w:val="28"/>
        </w:rPr>
        <w:t xml:space="preserve">The findings recommendations are not </w:t>
      </w:r>
      <w:r w:rsidR="00AF2E34">
        <w:rPr>
          <w:sz w:val="28"/>
          <w:szCs w:val="28"/>
        </w:rPr>
        <w:t>identical to the findings/ recommendation</w:t>
      </w:r>
      <w:r w:rsidR="007D21CB" w:rsidRPr="007D21CB">
        <w:rPr>
          <w:sz w:val="28"/>
          <w:szCs w:val="28"/>
        </w:rPr>
        <w:t xml:space="preserve"> </w:t>
      </w:r>
      <w:r w:rsidR="00AF2E34">
        <w:rPr>
          <w:sz w:val="28"/>
          <w:szCs w:val="28"/>
        </w:rPr>
        <w:t xml:space="preserve">in the 2008 draft </w:t>
      </w:r>
      <w:r>
        <w:rPr>
          <w:sz w:val="28"/>
          <w:szCs w:val="28"/>
        </w:rPr>
        <w:t>audit</w:t>
      </w:r>
      <w:r w:rsidR="00AE2B20">
        <w:rPr>
          <w:sz w:val="28"/>
          <w:szCs w:val="28"/>
        </w:rPr>
        <w:t xml:space="preserve"> report. On th</w:t>
      </w:r>
      <w:r>
        <w:rPr>
          <w:sz w:val="28"/>
          <w:szCs w:val="28"/>
        </w:rPr>
        <w:t>at</w:t>
      </w:r>
      <w:r w:rsidR="00AE2B20">
        <w:rPr>
          <w:sz w:val="28"/>
          <w:szCs w:val="28"/>
        </w:rPr>
        <w:t xml:space="preserve"> basis clearly the respondent committed a fatal procedural irregularity.</w:t>
      </w:r>
      <w:r w:rsidR="00163AB1">
        <w:rPr>
          <w:sz w:val="28"/>
          <w:szCs w:val="28"/>
        </w:rPr>
        <w:t xml:space="preserve"> </w:t>
      </w:r>
      <w:r w:rsidR="00AE2B20">
        <w:rPr>
          <w:sz w:val="28"/>
          <w:szCs w:val="28"/>
        </w:rPr>
        <w:t xml:space="preserve"> The</w:t>
      </w:r>
      <w:r>
        <w:rPr>
          <w:sz w:val="28"/>
          <w:szCs w:val="28"/>
        </w:rPr>
        <w:t xml:space="preserve"> disciplinary</w:t>
      </w:r>
      <w:r w:rsidR="00AE2B20">
        <w:rPr>
          <w:sz w:val="28"/>
          <w:szCs w:val="28"/>
        </w:rPr>
        <w:t xml:space="preserve"> proceedings are consequently null and void. The</w:t>
      </w:r>
      <w:r>
        <w:rPr>
          <w:sz w:val="28"/>
          <w:szCs w:val="28"/>
        </w:rPr>
        <w:t>y</w:t>
      </w:r>
      <w:r w:rsidR="00AE2B20">
        <w:rPr>
          <w:sz w:val="28"/>
          <w:szCs w:val="28"/>
        </w:rPr>
        <w:t xml:space="preserve"> are a nullity.</w:t>
      </w:r>
      <w:r>
        <w:rPr>
          <w:sz w:val="28"/>
          <w:szCs w:val="28"/>
        </w:rPr>
        <w:t xml:space="preserve"> </w:t>
      </w:r>
      <w:r w:rsidR="00673BB9">
        <w:rPr>
          <w:sz w:val="28"/>
          <w:szCs w:val="28"/>
        </w:rPr>
        <w:t xml:space="preserve"> </w:t>
      </w:r>
      <w:r>
        <w:rPr>
          <w:sz w:val="28"/>
          <w:szCs w:val="28"/>
        </w:rPr>
        <w:t>Having come to this conclusion there will be no need for the court to delve into the merits.</w:t>
      </w:r>
      <w:r w:rsidR="00AE2B20">
        <w:rPr>
          <w:sz w:val="28"/>
          <w:szCs w:val="28"/>
        </w:rPr>
        <w:t xml:space="preserve"> </w:t>
      </w:r>
    </w:p>
    <w:p w:rsidR="00AE2B20" w:rsidRDefault="00AE2B20" w:rsidP="00AE2B20">
      <w:pPr>
        <w:spacing w:after="0" w:line="240" w:lineRule="auto"/>
        <w:jc w:val="both"/>
        <w:rPr>
          <w:sz w:val="28"/>
          <w:szCs w:val="28"/>
        </w:rPr>
      </w:pPr>
    </w:p>
    <w:p w:rsidR="00163AB1" w:rsidRDefault="00163AB1" w:rsidP="007D21CB">
      <w:pPr>
        <w:spacing w:line="360" w:lineRule="auto"/>
        <w:jc w:val="both"/>
        <w:rPr>
          <w:sz w:val="28"/>
          <w:szCs w:val="28"/>
        </w:rPr>
      </w:pPr>
      <w:r>
        <w:rPr>
          <w:sz w:val="28"/>
          <w:szCs w:val="28"/>
        </w:rPr>
        <w:tab/>
        <w:t>In the circumstances the appeal ought to be allowed.</w:t>
      </w:r>
    </w:p>
    <w:p w:rsidR="00163AB1" w:rsidRDefault="00163AB1" w:rsidP="007D21CB">
      <w:pPr>
        <w:spacing w:line="360" w:lineRule="auto"/>
        <w:jc w:val="both"/>
        <w:rPr>
          <w:sz w:val="28"/>
          <w:szCs w:val="28"/>
        </w:rPr>
      </w:pPr>
      <w:r>
        <w:rPr>
          <w:sz w:val="28"/>
          <w:szCs w:val="28"/>
        </w:rPr>
        <w:tab/>
        <w:t>It is accordingly ordered as follows;</w:t>
      </w:r>
    </w:p>
    <w:p w:rsidR="00163AB1" w:rsidRDefault="00163AB1" w:rsidP="00163AB1">
      <w:pPr>
        <w:pStyle w:val="ListParagraph"/>
        <w:numPr>
          <w:ilvl w:val="0"/>
          <w:numId w:val="3"/>
        </w:numPr>
        <w:spacing w:line="360" w:lineRule="auto"/>
        <w:jc w:val="both"/>
        <w:rPr>
          <w:sz w:val="28"/>
          <w:szCs w:val="28"/>
        </w:rPr>
      </w:pPr>
      <w:r>
        <w:rPr>
          <w:sz w:val="28"/>
          <w:szCs w:val="28"/>
        </w:rPr>
        <w:t xml:space="preserve"> The second point in </w:t>
      </w:r>
      <w:proofErr w:type="spellStart"/>
      <w:r w:rsidRPr="00AE2B20">
        <w:rPr>
          <w:i/>
          <w:sz w:val="28"/>
          <w:szCs w:val="28"/>
        </w:rPr>
        <w:t>limine</w:t>
      </w:r>
      <w:proofErr w:type="spellEnd"/>
      <w:r>
        <w:rPr>
          <w:sz w:val="28"/>
          <w:szCs w:val="28"/>
        </w:rPr>
        <w:t xml:space="preserve"> is upheld.</w:t>
      </w:r>
    </w:p>
    <w:p w:rsidR="00163AB1" w:rsidRDefault="00163AB1" w:rsidP="00163AB1">
      <w:pPr>
        <w:pStyle w:val="ListParagraph"/>
        <w:numPr>
          <w:ilvl w:val="0"/>
          <w:numId w:val="3"/>
        </w:numPr>
        <w:spacing w:line="360" w:lineRule="auto"/>
        <w:jc w:val="both"/>
        <w:rPr>
          <w:sz w:val="28"/>
          <w:szCs w:val="28"/>
        </w:rPr>
      </w:pPr>
      <w:r>
        <w:rPr>
          <w:sz w:val="28"/>
          <w:szCs w:val="28"/>
        </w:rPr>
        <w:t>The appeal is consequently allowed with costs.</w:t>
      </w:r>
    </w:p>
    <w:p w:rsidR="00163AB1" w:rsidRDefault="00163AB1" w:rsidP="00163AB1">
      <w:pPr>
        <w:pStyle w:val="ListParagraph"/>
        <w:numPr>
          <w:ilvl w:val="0"/>
          <w:numId w:val="3"/>
        </w:numPr>
        <w:spacing w:line="360" w:lineRule="auto"/>
        <w:jc w:val="both"/>
        <w:rPr>
          <w:sz w:val="28"/>
          <w:szCs w:val="28"/>
        </w:rPr>
      </w:pPr>
      <w:r>
        <w:rPr>
          <w:sz w:val="28"/>
          <w:szCs w:val="28"/>
        </w:rPr>
        <w:t xml:space="preserve">The </w:t>
      </w:r>
      <w:r w:rsidR="00C46412">
        <w:rPr>
          <w:sz w:val="28"/>
          <w:szCs w:val="28"/>
        </w:rPr>
        <w:t xml:space="preserve">second </w:t>
      </w:r>
      <w:r>
        <w:rPr>
          <w:sz w:val="28"/>
          <w:szCs w:val="28"/>
        </w:rPr>
        <w:t xml:space="preserve">disciplinary proceedings </w:t>
      </w:r>
      <w:r w:rsidR="00C46412">
        <w:rPr>
          <w:sz w:val="28"/>
          <w:szCs w:val="28"/>
        </w:rPr>
        <w:t xml:space="preserve">convened by the respondent being </w:t>
      </w:r>
      <w:r>
        <w:rPr>
          <w:sz w:val="28"/>
          <w:szCs w:val="28"/>
        </w:rPr>
        <w:t>null and void</w:t>
      </w:r>
      <w:r w:rsidR="00C46412">
        <w:rPr>
          <w:sz w:val="28"/>
          <w:szCs w:val="28"/>
        </w:rPr>
        <w:t xml:space="preserve">, the respondent is directed to </w:t>
      </w:r>
      <w:r w:rsidR="001E0BD5">
        <w:rPr>
          <w:sz w:val="28"/>
          <w:szCs w:val="28"/>
        </w:rPr>
        <w:t>reinstate</w:t>
      </w:r>
      <w:r w:rsidR="00BC6A17">
        <w:rPr>
          <w:sz w:val="28"/>
          <w:szCs w:val="28"/>
        </w:rPr>
        <w:t xml:space="preserve"> </w:t>
      </w:r>
      <w:r w:rsidR="00C46412">
        <w:rPr>
          <w:sz w:val="28"/>
          <w:szCs w:val="28"/>
        </w:rPr>
        <w:t>the applicant without any loss of salary and benefits from the date of unlawful dismissal.</w:t>
      </w:r>
    </w:p>
    <w:p w:rsidR="00163AB1" w:rsidRPr="00163AB1" w:rsidRDefault="00163AB1" w:rsidP="00163AB1">
      <w:pPr>
        <w:pStyle w:val="ListParagraph"/>
        <w:numPr>
          <w:ilvl w:val="0"/>
          <w:numId w:val="3"/>
        </w:numPr>
        <w:spacing w:line="360" w:lineRule="auto"/>
        <w:jc w:val="both"/>
        <w:rPr>
          <w:sz w:val="28"/>
          <w:szCs w:val="28"/>
        </w:rPr>
      </w:pPr>
      <w:r>
        <w:rPr>
          <w:sz w:val="28"/>
          <w:szCs w:val="28"/>
        </w:rPr>
        <w:t>In the event</w:t>
      </w:r>
      <w:r w:rsidR="00C46412">
        <w:rPr>
          <w:sz w:val="28"/>
          <w:szCs w:val="28"/>
        </w:rPr>
        <w:t xml:space="preserve"> that</w:t>
      </w:r>
      <w:r>
        <w:rPr>
          <w:sz w:val="28"/>
          <w:szCs w:val="28"/>
        </w:rPr>
        <w:t xml:space="preserve"> the reinstatement is no longer tenable </w:t>
      </w:r>
      <w:r w:rsidR="00C46412">
        <w:rPr>
          <w:sz w:val="28"/>
          <w:szCs w:val="28"/>
        </w:rPr>
        <w:t>the</w:t>
      </w:r>
      <w:r>
        <w:rPr>
          <w:sz w:val="28"/>
          <w:szCs w:val="28"/>
        </w:rPr>
        <w:t xml:space="preserve"> respondent shall pay appellant damages in lieu of reinstatement the quantum which is to be agreed between the parties failing which either party can approach the Labour Court for quantification.</w:t>
      </w:r>
    </w:p>
    <w:p w:rsidR="007D21CB" w:rsidRDefault="007D21CB" w:rsidP="007D21CB">
      <w:pPr>
        <w:spacing w:line="360" w:lineRule="auto"/>
        <w:jc w:val="both"/>
        <w:rPr>
          <w:sz w:val="28"/>
          <w:szCs w:val="28"/>
        </w:rPr>
      </w:pPr>
    </w:p>
    <w:p w:rsidR="003E7A1B" w:rsidRPr="003E7A1B" w:rsidRDefault="007D21CB" w:rsidP="003E7A1B">
      <w:pPr>
        <w:spacing w:line="360" w:lineRule="auto"/>
        <w:jc w:val="both"/>
        <w:rPr>
          <w:b/>
          <w:sz w:val="28"/>
          <w:szCs w:val="28"/>
        </w:rPr>
      </w:pPr>
      <w:r>
        <w:rPr>
          <w:b/>
          <w:i/>
          <w:sz w:val="24"/>
          <w:szCs w:val="24"/>
        </w:rPr>
        <w:t>Civil Division, Attorney General’s Office, respondent’s legal practitioners</w:t>
      </w:r>
    </w:p>
    <w:sectPr w:rsidR="003E7A1B" w:rsidRPr="003E7A1B" w:rsidSect="00FC3F6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99" w:rsidRDefault="00216799" w:rsidP="00FC3F6E">
      <w:pPr>
        <w:spacing w:after="0" w:line="240" w:lineRule="auto"/>
      </w:pPr>
      <w:r>
        <w:separator/>
      </w:r>
    </w:p>
  </w:endnote>
  <w:endnote w:type="continuationSeparator" w:id="0">
    <w:p w:rsidR="00216799" w:rsidRDefault="00216799" w:rsidP="00FC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658507"/>
      <w:docPartObj>
        <w:docPartGallery w:val="Page Numbers (Bottom of Page)"/>
        <w:docPartUnique/>
      </w:docPartObj>
    </w:sdtPr>
    <w:sdtEndPr>
      <w:rPr>
        <w:noProof/>
      </w:rPr>
    </w:sdtEndPr>
    <w:sdtContent>
      <w:p w:rsidR="001E0BD5" w:rsidRDefault="001E0BD5">
        <w:pPr>
          <w:pStyle w:val="Footer"/>
          <w:jc w:val="right"/>
        </w:pPr>
        <w:r>
          <w:fldChar w:fldCharType="begin"/>
        </w:r>
        <w:r>
          <w:instrText xml:space="preserve"> PAGE   \* MERGEFORMAT </w:instrText>
        </w:r>
        <w:r>
          <w:fldChar w:fldCharType="separate"/>
        </w:r>
        <w:r w:rsidR="00BF605C">
          <w:rPr>
            <w:noProof/>
          </w:rPr>
          <w:t>9</w:t>
        </w:r>
        <w:r>
          <w:rPr>
            <w:noProof/>
          </w:rPr>
          <w:fldChar w:fldCharType="end"/>
        </w:r>
      </w:p>
    </w:sdtContent>
  </w:sdt>
  <w:p w:rsidR="001E0BD5" w:rsidRDefault="001E0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99" w:rsidRDefault="00216799" w:rsidP="00FC3F6E">
      <w:pPr>
        <w:spacing w:after="0" w:line="240" w:lineRule="auto"/>
      </w:pPr>
      <w:r>
        <w:separator/>
      </w:r>
    </w:p>
  </w:footnote>
  <w:footnote w:type="continuationSeparator" w:id="0">
    <w:p w:rsidR="00216799" w:rsidRDefault="00216799" w:rsidP="00FC3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5" w:rsidRDefault="001E0BD5" w:rsidP="007F5A6D">
    <w:pPr>
      <w:spacing w:line="360" w:lineRule="auto"/>
      <w:ind w:left="5040"/>
      <w:jc w:val="both"/>
      <w:rPr>
        <w:b/>
        <w:sz w:val="28"/>
        <w:szCs w:val="28"/>
      </w:rPr>
    </w:pPr>
    <w:r>
      <w:rPr>
        <w:b/>
        <w:sz w:val="28"/>
        <w:szCs w:val="28"/>
      </w:rPr>
      <w:t>JUDGMENT NO LC/H/</w:t>
    </w:r>
    <w:r w:rsidR="007F5A6D">
      <w:rPr>
        <w:b/>
        <w:sz w:val="28"/>
        <w:szCs w:val="28"/>
      </w:rPr>
      <w:t>472</w:t>
    </w:r>
    <w:r>
      <w:rPr>
        <w:b/>
        <w:sz w:val="28"/>
        <w:szCs w:val="28"/>
      </w:rPr>
      <w:t>/14</w:t>
    </w:r>
  </w:p>
  <w:p w:rsidR="001E0BD5" w:rsidRDefault="001E0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6616F"/>
    <w:multiLevelType w:val="hybridMultilevel"/>
    <w:tmpl w:val="BF80391E"/>
    <w:lvl w:ilvl="0" w:tplc="BDF2A0A2">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4993EBF"/>
    <w:multiLevelType w:val="hybridMultilevel"/>
    <w:tmpl w:val="40A0CF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4E3303F"/>
    <w:multiLevelType w:val="hybridMultilevel"/>
    <w:tmpl w:val="465204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1B"/>
    <w:rsid w:val="00032E7C"/>
    <w:rsid w:val="00036A3B"/>
    <w:rsid w:val="00084211"/>
    <w:rsid w:val="001454C9"/>
    <w:rsid w:val="00163AB1"/>
    <w:rsid w:val="001B5EC3"/>
    <w:rsid w:val="001E0BD5"/>
    <w:rsid w:val="001F2F74"/>
    <w:rsid w:val="00216799"/>
    <w:rsid w:val="00257974"/>
    <w:rsid w:val="00270BB3"/>
    <w:rsid w:val="002743EC"/>
    <w:rsid w:val="00306115"/>
    <w:rsid w:val="00332819"/>
    <w:rsid w:val="003E7A1B"/>
    <w:rsid w:val="0041502C"/>
    <w:rsid w:val="004C1E63"/>
    <w:rsid w:val="005437F4"/>
    <w:rsid w:val="00575D92"/>
    <w:rsid w:val="005B1CFD"/>
    <w:rsid w:val="006138FA"/>
    <w:rsid w:val="00672118"/>
    <w:rsid w:val="00673BB9"/>
    <w:rsid w:val="006C2D8C"/>
    <w:rsid w:val="006C70CF"/>
    <w:rsid w:val="006F258B"/>
    <w:rsid w:val="0071585D"/>
    <w:rsid w:val="007D21CB"/>
    <w:rsid w:val="007F5A6D"/>
    <w:rsid w:val="00801E36"/>
    <w:rsid w:val="008326FB"/>
    <w:rsid w:val="008A296D"/>
    <w:rsid w:val="00944912"/>
    <w:rsid w:val="00A0406D"/>
    <w:rsid w:val="00AA7241"/>
    <w:rsid w:val="00AE2B20"/>
    <w:rsid w:val="00AE2DCD"/>
    <w:rsid w:val="00AF2E34"/>
    <w:rsid w:val="00B40F90"/>
    <w:rsid w:val="00B546B5"/>
    <w:rsid w:val="00B9272F"/>
    <w:rsid w:val="00BC6A17"/>
    <w:rsid w:val="00BF3588"/>
    <w:rsid w:val="00BF605C"/>
    <w:rsid w:val="00C30B2E"/>
    <w:rsid w:val="00C46412"/>
    <w:rsid w:val="00CF3FA8"/>
    <w:rsid w:val="00CF747A"/>
    <w:rsid w:val="00D149AA"/>
    <w:rsid w:val="00DF6BEB"/>
    <w:rsid w:val="00EA4F4B"/>
    <w:rsid w:val="00F54DB1"/>
    <w:rsid w:val="00F62D7A"/>
    <w:rsid w:val="00FC3F6E"/>
    <w:rsid w:val="00FC6E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F6E"/>
  </w:style>
  <w:style w:type="paragraph" w:styleId="Footer">
    <w:name w:val="footer"/>
    <w:basedOn w:val="Normal"/>
    <w:link w:val="FooterChar"/>
    <w:uiPriority w:val="99"/>
    <w:unhideWhenUsed/>
    <w:rsid w:val="00FC3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F6E"/>
  </w:style>
  <w:style w:type="paragraph" w:styleId="ListParagraph">
    <w:name w:val="List Paragraph"/>
    <w:basedOn w:val="Normal"/>
    <w:uiPriority w:val="34"/>
    <w:qFormat/>
    <w:rsid w:val="00C30B2E"/>
    <w:pPr>
      <w:ind w:left="720"/>
      <w:contextualSpacing/>
    </w:pPr>
  </w:style>
  <w:style w:type="paragraph" w:styleId="BalloonText">
    <w:name w:val="Balloon Text"/>
    <w:basedOn w:val="Normal"/>
    <w:link w:val="BalloonTextChar"/>
    <w:uiPriority w:val="99"/>
    <w:semiHidden/>
    <w:unhideWhenUsed/>
    <w:rsid w:val="0067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F6E"/>
  </w:style>
  <w:style w:type="paragraph" w:styleId="Footer">
    <w:name w:val="footer"/>
    <w:basedOn w:val="Normal"/>
    <w:link w:val="FooterChar"/>
    <w:uiPriority w:val="99"/>
    <w:unhideWhenUsed/>
    <w:rsid w:val="00FC3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F6E"/>
  </w:style>
  <w:style w:type="paragraph" w:styleId="ListParagraph">
    <w:name w:val="List Paragraph"/>
    <w:basedOn w:val="Normal"/>
    <w:uiPriority w:val="34"/>
    <w:qFormat/>
    <w:rsid w:val="00C30B2E"/>
    <w:pPr>
      <w:ind w:left="720"/>
      <w:contextualSpacing/>
    </w:pPr>
  </w:style>
  <w:style w:type="paragraph" w:styleId="BalloonText">
    <w:name w:val="Balloon Text"/>
    <w:basedOn w:val="Normal"/>
    <w:link w:val="BalloonTextChar"/>
    <w:uiPriority w:val="99"/>
    <w:semiHidden/>
    <w:unhideWhenUsed/>
    <w:rsid w:val="0067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22A6-0BB3-4F3A-A0F4-631052BE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16</cp:revision>
  <cp:lastPrinted>2014-07-18T13:53:00Z</cp:lastPrinted>
  <dcterms:created xsi:type="dcterms:W3CDTF">2014-07-07T08:46:00Z</dcterms:created>
  <dcterms:modified xsi:type="dcterms:W3CDTF">2014-07-18T14:12:00Z</dcterms:modified>
</cp:coreProperties>
</file>