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8BE" w:rsidRDefault="0002175D">
      <w:pPr>
        <w:spacing w:after="0" w:line="240" w:lineRule="auto"/>
        <w:jc w:val="both"/>
        <w:rPr>
          <w:rFonts w:ascii="Times New Roman" w:hAnsi="Times New Roman" w:cs="Times New Roman"/>
          <w:sz w:val="24"/>
          <w:szCs w:val="24"/>
        </w:rPr>
      </w:pPr>
      <w:bookmarkStart w:id="0" w:name="_Hlk198730188"/>
      <w:bookmarkStart w:id="1" w:name="_GoBack"/>
      <w:bookmarkEnd w:id="1"/>
      <w:r>
        <w:rPr>
          <w:rFonts w:ascii="Times New Roman" w:hAnsi="Times New Roman" w:cs="Times New Roman"/>
          <w:sz w:val="24"/>
          <w:szCs w:val="24"/>
        </w:rPr>
        <w:t xml:space="preserve">R.M AUCTIONS (PVT) LTD </w:t>
      </w:r>
    </w:p>
    <w:p w:rsidR="00DA28BE" w:rsidRDefault="0002175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A28BE" w:rsidRDefault="00021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ROBERT MAZIRIRI</w:t>
      </w:r>
    </w:p>
    <w:p w:rsidR="00DA28BE" w:rsidRDefault="0002175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Pr>
          <w:rFonts w:ascii="Times New Roman" w:hAnsi="Times New Roman" w:cs="Times New Roman"/>
          <w:sz w:val="24"/>
          <w:szCs w:val="24"/>
        </w:rPr>
        <w:t xml:space="preserve"> </w:t>
      </w:r>
    </w:p>
    <w:p w:rsidR="00DA28BE" w:rsidRDefault="00021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YARUKA INVESTMENTS (PVT) LTD</w:t>
      </w:r>
    </w:p>
    <w:p w:rsidR="00DA28BE" w:rsidRDefault="00DA28BE">
      <w:pPr>
        <w:jc w:val="both"/>
        <w:rPr>
          <w:rFonts w:ascii="Times New Roman" w:hAnsi="Times New Roman" w:cs="Times New Roman"/>
          <w:sz w:val="24"/>
          <w:szCs w:val="24"/>
        </w:rPr>
      </w:pPr>
    </w:p>
    <w:p w:rsidR="00DA28BE" w:rsidRDefault="00021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A28BE" w:rsidRDefault="00021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COMMERCIAL DIVISION </w:t>
      </w:r>
    </w:p>
    <w:p w:rsidR="00DA28BE" w:rsidRDefault="000217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 NDLOVU &amp; MUSHURE JJ</w:t>
      </w:r>
    </w:p>
    <w:p w:rsidR="00DA28BE" w:rsidRDefault="00021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5 June &amp; 9 September 2025</w:t>
      </w:r>
    </w:p>
    <w:p w:rsidR="00DA28BE" w:rsidRDefault="00DA28BE">
      <w:pPr>
        <w:jc w:val="both"/>
        <w:rPr>
          <w:rFonts w:ascii="Times New Roman" w:hAnsi="Times New Roman" w:cs="Times New Roman"/>
          <w:sz w:val="24"/>
          <w:szCs w:val="24"/>
        </w:rPr>
      </w:pPr>
    </w:p>
    <w:p w:rsidR="00DA28BE" w:rsidRDefault="0002175D">
      <w:pPr>
        <w:jc w:val="both"/>
        <w:rPr>
          <w:rFonts w:ascii="Times New Roman" w:hAnsi="Times New Roman" w:cs="Times New Roman"/>
          <w:b/>
          <w:sz w:val="24"/>
          <w:szCs w:val="24"/>
        </w:rPr>
      </w:pPr>
      <w:r>
        <w:rPr>
          <w:rFonts w:ascii="Times New Roman" w:hAnsi="Times New Roman" w:cs="Times New Roman"/>
          <w:b/>
          <w:sz w:val="24"/>
          <w:szCs w:val="24"/>
        </w:rPr>
        <w:t xml:space="preserve">Commercial Appeal  </w:t>
      </w:r>
    </w:p>
    <w:p w:rsidR="00DA28BE" w:rsidRDefault="00DA28BE">
      <w:pPr>
        <w:spacing w:after="0" w:line="240" w:lineRule="auto"/>
        <w:jc w:val="both"/>
        <w:rPr>
          <w:rFonts w:ascii="Times New Roman" w:hAnsi="Times New Roman" w:cs="Times New Roman"/>
          <w:sz w:val="24"/>
          <w:szCs w:val="24"/>
        </w:rPr>
      </w:pPr>
    </w:p>
    <w:p w:rsidR="00DA28BE" w:rsidRDefault="0002175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Pr>
          <w:rFonts w:ascii="Times New Roman" w:hAnsi="Times New Roman" w:cs="Times New Roman"/>
          <w:i/>
          <w:sz w:val="24"/>
          <w:szCs w:val="24"/>
        </w:rPr>
        <w:t>Mkwachari</w:t>
      </w:r>
      <w:proofErr w:type="spellEnd"/>
      <w:r>
        <w:rPr>
          <w:rFonts w:ascii="Times New Roman" w:hAnsi="Times New Roman" w:cs="Times New Roman"/>
          <w:sz w:val="24"/>
          <w:szCs w:val="24"/>
        </w:rPr>
        <w:t xml:space="preserve">, for the appellant </w:t>
      </w:r>
    </w:p>
    <w:p w:rsidR="00DA28BE" w:rsidRDefault="0002175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Ushewokunze</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respondent</w:t>
      </w:r>
    </w:p>
    <w:p w:rsidR="00DA28BE" w:rsidRDefault="00DA28BE">
      <w:pPr>
        <w:jc w:val="both"/>
        <w:rPr>
          <w:rFonts w:ascii="Times New Roman" w:hAnsi="Times New Roman" w:cs="Times New Roman"/>
          <w:sz w:val="24"/>
          <w:szCs w:val="24"/>
        </w:rPr>
      </w:pPr>
    </w:p>
    <w:p w:rsidR="00DA28BE" w:rsidRDefault="0002175D">
      <w:pPr>
        <w:ind w:firstLine="720"/>
        <w:jc w:val="both"/>
        <w:rPr>
          <w:rFonts w:ascii="Times New Roman" w:hAnsi="Times New Roman" w:cs="Times New Roman"/>
          <w:sz w:val="24"/>
          <w:szCs w:val="24"/>
        </w:rPr>
      </w:pPr>
      <w:r>
        <w:rPr>
          <w:rFonts w:ascii="Times New Roman" w:hAnsi="Times New Roman" w:cs="Times New Roman"/>
          <w:sz w:val="24"/>
          <w:szCs w:val="24"/>
        </w:rPr>
        <w:t xml:space="preserve">MUSHURE J: </w:t>
      </w:r>
    </w:p>
    <w:p w:rsidR="00DA28BE" w:rsidRDefault="00DA28BE">
      <w:pPr>
        <w:ind w:firstLine="720"/>
        <w:jc w:val="both"/>
        <w:rPr>
          <w:rFonts w:ascii="Times New Roman" w:hAnsi="Times New Roman" w:cs="Times New Roman"/>
          <w:sz w:val="24"/>
          <w:szCs w:val="24"/>
        </w:rPr>
      </w:pPr>
    </w:p>
    <w:p w:rsidR="00DA28BE" w:rsidRDefault="0002175D">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INTRODUCTION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u w:val="single"/>
        </w:rPr>
      </w:pPr>
      <w:r>
        <w:rPr>
          <w:rFonts w:ascii="Times New Roman" w:hAnsi="Times New Roman" w:cs="Times New Roman"/>
          <w:sz w:val="24"/>
          <w:szCs w:val="24"/>
        </w:rPr>
        <w:t>This is an appeal against the judgment of the magistrates’ court handed down on 2 December 2024 in terms of which the respondent was granted summary judgment and the appellants were ordered to vacate number 3</w:t>
      </w:r>
      <w:r>
        <w:rPr>
          <w:rFonts w:ascii="Times New Roman" w:hAnsi="Times New Roman" w:cs="Times New Roman"/>
          <w:sz w:val="24"/>
          <w:szCs w:val="24"/>
        </w:rPr>
        <w:t xml:space="preserve">86 </w:t>
      </w:r>
      <w:proofErr w:type="spellStart"/>
      <w:r>
        <w:rPr>
          <w:rFonts w:ascii="Times New Roman" w:hAnsi="Times New Roman" w:cs="Times New Roman"/>
          <w:sz w:val="24"/>
          <w:szCs w:val="24"/>
        </w:rPr>
        <w:t>Willowvale</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Southerton</w:t>
      </w:r>
      <w:proofErr w:type="spellEnd"/>
      <w:r>
        <w:rPr>
          <w:rFonts w:ascii="Times New Roman" w:hAnsi="Times New Roman" w:cs="Times New Roman"/>
          <w:sz w:val="24"/>
          <w:szCs w:val="24"/>
        </w:rPr>
        <w:t xml:space="preserve">, Harare. </w:t>
      </w:r>
    </w:p>
    <w:p w:rsidR="00DA28BE" w:rsidRDefault="0002175D">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BACKGROUND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background facts of the matter may be summarised as follows: On 7 October 2024, the respondent issued a summons for the eviction of the appellants from a certain piece of land it owns, being Stand 38</w:t>
      </w:r>
      <w:r>
        <w:rPr>
          <w:rFonts w:ascii="Times New Roman" w:hAnsi="Times New Roman" w:cs="Times New Roman"/>
          <w:sz w:val="24"/>
          <w:szCs w:val="24"/>
        </w:rPr>
        <w:t xml:space="preserve">6, </w:t>
      </w:r>
      <w:proofErr w:type="spellStart"/>
      <w:r>
        <w:rPr>
          <w:rFonts w:ascii="Times New Roman" w:hAnsi="Times New Roman" w:cs="Times New Roman"/>
          <w:sz w:val="24"/>
          <w:szCs w:val="24"/>
        </w:rPr>
        <w:t>Willowvale</w:t>
      </w:r>
      <w:proofErr w:type="spellEnd"/>
      <w:r>
        <w:rPr>
          <w:rFonts w:ascii="Times New Roman" w:hAnsi="Times New Roman" w:cs="Times New Roman"/>
          <w:sz w:val="24"/>
          <w:szCs w:val="24"/>
        </w:rPr>
        <w:t xml:space="preserve"> Township of </w:t>
      </w:r>
      <w:proofErr w:type="spellStart"/>
      <w:r>
        <w:rPr>
          <w:rFonts w:ascii="Times New Roman" w:hAnsi="Times New Roman" w:cs="Times New Roman"/>
          <w:sz w:val="24"/>
          <w:szCs w:val="24"/>
        </w:rPr>
        <w:t>Willowvale</w:t>
      </w:r>
      <w:proofErr w:type="spellEnd"/>
      <w:r>
        <w:rPr>
          <w:rFonts w:ascii="Times New Roman" w:hAnsi="Times New Roman" w:cs="Times New Roman"/>
          <w:sz w:val="24"/>
          <w:szCs w:val="24"/>
        </w:rPr>
        <w:t xml:space="preserve">, situate in the district of Salisbury, and held under Deed of Transfer number 453/1996 (‘the property’).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It was the respondent’s submission that sometime in 2005, the appellants illegally occupied the property without </w:t>
      </w:r>
      <w:r>
        <w:rPr>
          <w:rFonts w:ascii="Times New Roman" w:hAnsi="Times New Roman" w:cs="Times New Roman"/>
          <w:sz w:val="24"/>
          <w:szCs w:val="24"/>
        </w:rPr>
        <w:t xml:space="preserve">its consent. Upon being confronted by the respondent, the appellants alleged that one Mr </w:t>
      </w:r>
      <w:proofErr w:type="spellStart"/>
      <w:r>
        <w:rPr>
          <w:rFonts w:ascii="Times New Roman" w:hAnsi="Times New Roman" w:cs="Times New Roman"/>
          <w:sz w:val="24"/>
          <w:szCs w:val="24"/>
        </w:rPr>
        <w:t>Mutyanda</w:t>
      </w:r>
      <w:proofErr w:type="spellEnd"/>
      <w:r>
        <w:rPr>
          <w:rFonts w:ascii="Times New Roman" w:hAnsi="Times New Roman" w:cs="Times New Roman"/>
          <w:sz w:val="24"/>
          <w:szCs w:val="24"/>
        </w:rPr>
        <w:t>, who was neither the owner of the property nor the respondent’s shareholder or director, had sold the property to them or to one of them. The respondent asser</w:t>
      </w:r>
      <w:r>
        <w:rPr>
          <w:rFonts w:ascii="Times New Roman" w:hAnsi="Times New Roman" w:cs="Times New Roman"/>
          <w:sz w:val="24"/>
          <w:szCs w:val="24"/>
        </w:rPr>
        <w:t xml:space="preserve">ted that since the time they illegally occupied the property, the appellants had been letting out the property or letting it to tenants without the respondent’s consent.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In defending the respondent’s summons, the appellants pleaded, in </w:t>
      </w:r>
      <w:proofErr w:type="spellStart"/>
      <w:r>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that the matter was </w:t>
      </w:r>
      <w:proofErr w:type="spellStart"/>
      <w:r>
        <w:rPr>
          <w:rFonts w:ascii="Times New Roman" w:hAnsi="Times New Roman" w:cs="Times New Roman"/>
          <w:i/>
          <w:sz w:val="24"/>
          <w:szCs w:val="24"/>
        </w:rPr>
        <w:t>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pendens</w:t>
      </w:r>
      <w:proofErr w:type="spellEnd"/>
      <w:r>
        <w:rPr>
          <w:rFonts w:ascii="Times New Roman" w:hAnsi="Times New Roman" w:cs="Times New Roman"/>
          <w:sz w:val="24"/>
          <w:szCs w:val="24"/>
        </w:rPr>
        <w:t>. They averred that the respondent had filed a matter in the High Court under case number HCH 678/22, wherein it was seeking a similar remedy of eviction against the same parties, the appellants herein. On the merits, the a</w:t>
      </w:r>
      <w:r>
        <w:rPr>
          <w:rFonts w:ascii="Times New Roman" w:hAnsi="Times New Roman" w:cs="Times New Roman"/>
          <w:sz w:val="24"/>
          <w:szCs w:val="24"/>
        </w:rPr>
        <w:t>ppellants challenged the joinder of the second appellant as a party to the proceedings, arguing that the respondent had not pleaded a proper basis at law for his joinder. The appellants further denied that they were illegally occupying the property. The fi</w:t>
      </w:r>
      <w:r>
        <w:rPr>
          <w:rFonts w:ascii="Times New Roman" w:hAnsi="Times New Roman" w:cs="Times New Roman"/>
          <w:sz w:val="24"/>
          <w:szCs w:val="24"/>
        </w:rPr>
        <w:t xml:space="preserve">rst appellant accepted that it had concluded a sale of the property with the said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Mutyanda</w:t>
      </w:r>
      <w:proofErr w:type="spellEnd"/>
      <w:r>
        <w:rPr>
          <w:rFonts w:ascii="Times New Roman" w:hAnsi="Times New Roman" w:cs="Times New Roman"/>
          <w:sz w:val="24"/>
          <w:szCs w:val="24"/>
        </w:rPr>
        <w:t xml:space="preserve"> who was purportedly representing the respondent. At the time, the first appellant, who was represented by the second appellant, was not aware that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Mutyanda</w:t>
      </w:r>
      <w:proofErr w:type="spellEnd"/>
      <w:r>
        <w:rPr>
          <w:rFonts w:ascii="Times New Roman" w:hAnsi="Times New Roman" w:cs="Times New Roman"/>
          <w:sz w:val="24"/>
          <w:szCs w:val="24"/>
        </w:rPr>
        <w:t xml:space="preserve"> did not have any authority to represent the respondent.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appellants stated that they only became aware that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Mutyanda</w:t>
      </w:r>
      <w:proofErr w:type="spellEnd"/>
      <w:r>
        <w:rPr>
          <w:rFonts w:ascii="Times New Roman" w:hAnsi="Times New Roman" w:cs="Times New Roman"/>
          <w:sz w:val="24"/>
          <w:szCs w:val="24"/>
        </w:rPr>
        <w:t xml:space="preserve"> had no authority to sell the property in January 2006, following a police report at </w:t>
      </w:r>
      <w:proofErr w:type="spellStart"/>
      <w:r>
        <w:rPr>
          <w:rFonts w:ascii="Times New Roman" w:hAnsi="Times New Roman" w:cs="Times New Roman"/>
          <w:sz w:val="24"/>
          <w:szCs w:val="24"/>
        </w:rPr>
        <w:t>Southerton</w:t>
      </w:r>
      <w:proofErr w:type="spellEnd"/>
      <w:r>
        <w:rPr>
          <w:rFonts w:ascii="Times New Roman" w:hAnsi="Times New Roman" w:cs="Times New Roman"/>
          <w:sz w:val="24"/>
          <w:szCs w:val="24"/>
        </w:rPr>
        <w:t xml:space="preserve"> Police Station. They allege</w:t>
      </w:r>
      <w:r>
        <w:rPr>
          <w:rFonts w:ascii="Times New Roman" w:hAnsi="Times New Roman" w:cs="Times New Roman"/>
          <w:sz w:val="24"/>
          <w:szCs w:val="24"/>
        </w:rPr>
        <w:t xml:space="preserve">d that the respondent later sanctioned the first appellant’s occupation of the property when it sold the property to the first appellant. The appellants alleged, further, that they </w:t>
      </w:r>
      <w:proofErr w:type="gramStart"/>
      <w:r>
        <w:rPr>
          <w:rFonts w:ascii="Times New Roman" w:hAnsi="Times New Roman" w:cs="Times New Roman"/>
          <w:sz w:val="24"/>
          <w:szCs w:val="24"/>
        </w:rPr>
        <w:t>were possessing</w:t>
      </w:r>
      <w:proofErr w:type="gramEnd"/>
      <w:r>
        <w:rPr>
          <w:rFonts w:ascii="Times New Roman" w:hAnsi="Times New Roman" w:cs="Times New Roman"/>
          <w:sz w:val="24"/>
          <w:szCs w:val="24"/>
        </w:rPr>
        <w:t xml:space="preserve"> the property on the basis of an agreement of sale between t</w:t>
      </w:r>
      <w:r>
        <w:rPr>
          <w:rFonts w:ascii="Times New Roman" w:hAnsi="Times New Roman" w:cs="Times New Roman"/>
          <w:sz w:val="24"/>
          <w:szCs w:val="24"/>
        </w:rPr>
        <w:t xml:space="preserve">he first appellant and the respondent. Thus, they insisted, the respondent effectively consented to the appellants’ occupation of the property by virtue of the respondent selling the property and giving the appellants vacant possession of that property.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Concluding that the appellants did not have a </w:t>
      </w:r>
      <w:r>
        <w:rPr>
          <w:rFonts w:ascii="Times New Roman" w:hAnsi="Times New Roman" w:cs="Times New Roman"/>
          <w:i/>
          <w:iCs/>
          <w:sz w:val="24"/>
          <w:szCs w:val="24"/>
        </w:rPr>
        <w:t>bona fide</w:t>
      </w:r>
      <w:r>
        <w:rPr>
          <w:rFonts w:ascii="Times New Roman" w:hAnsi="Times New Roman" w:cs="Times New Roman"/>
          <w:sz w:val="24"/>
          <w:szCs w:val="24"/>
        </w:rPr>
        <w:t xml:space="preserve"> defence on the merits of the matter and had entered an appearance to defend solely for the purposes of delay, the respondent launched an application for summary judgment in the court a </w:t>
      </w:r>
      <w:r>
        <w:rPr>
          <w:rFonts w:ascii="Times New Roman" w:hAnsi="Times New Roman" w:cs="Times New Roman"/>
          <w:i/>
          <w:iCs/>
          <w:sz w:val="24"/>
          <w:szCs w:val="24"/>
        </w:rPr>
        <w:t>quo</w:t>
      </w:r>
      <w:r>
        <w:rPr>
          <w:rFonts w:ascii="Times New Roman" w:hAnsi="Times New Roman" w:cs="Times New Roman"/>
          <w:sz w:val="24"/>
          <w:szCs w:val="24"/>
        </w:rPr>
        <w:t xml:space="preserve">.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u w:val="single"/>
        </w:rPr>
      </w:pPr>
      <w:r>
        <w:rPr>
          <w:rFonts w:ascii="Times New Roman" w:hAnsi="Times New Roman" w:cs="Times New Roman"/>
          <w:sz w:val="24"/>
          <w:szCs w:val="24"/>
        </w:rPr>
        <w:t>In findin</w:t>
      </w:r>
      <w:r>
        <w:rPr>
          <w:rFonts w:ascii="Times New Roman" w:hAnsi="Times New Roman" w:cs="Times New Roman"/>
          <w:sz w:val="24"/>
          <w:szCs w:val="24"/>
        </w:rPr>
        <w:t xml:space="preserve">g for the respondent, the court a </w:t>
      </w:r>
      <w:r>
        <w:rPr>
          <w:rFonts w:ascii="Times New Roman" w:hAnsi="Times New Roman" w:cs="Times New Roman"/>
          <w:i/>
          <w:iCs/>
          <w:sz w:val="24"/>
          <w:szCs w:val="24"/>
        </w:rPr>
        <w:t>quo</w:t>
      </w:r>
      <w:r>
        <w:rPr>
          <w:rFonts w:ascii="Times New Roman" w:hAnsi="Times New Roman" w:cs="Times New Roman"/>
          <w:sz w:val="24"/>
          <w:szCs w:val="24"/>
        </w:rPr>
        <w:t xml:space="preserve"> ruled that the matter was not </w:t>
      </w:r>
      <w:proofErr w:type="spellStart"/>
      <w:r>
        <w:rPr>
          <w:rFonts w:ascii="Times New Roman" w:hAnsi="Times New Roman" w:cs="Times New Roman"/>
          <w:i/>
          <w:iCs/>
          <w:sz w:val="24"/>
          <w:szCs w:val="24"/>
        </w:rPr>
        <w:t>lis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pendens</w:t>
      </w:r>
      <w:proofErr w:type="spellEnd"/>
      <w:r>
        <w:rPr>
          <w:rFonts w:ascii="Times New Roman" w:hAnsi="Times New Roman" w:cs="Times New Roman"/>
          <w:sz w:val="24"/>
          <w:szCs w:val="24"/>
        </w:rPr>
        <w:t xml:space="preserve"> as case number HCH678/22 had been withdrawn. The court a </w:t>
      </w:r>
      <w:r>
        <w:rPr>
          <w:rFonts w:ascii="Times New Roman" w:hAnsi="Times New Roman" w:cs="Times New Roman"/>
          <w:i/>
          <w:iCs/>
          <w:sz w:val="24"/>
          <w:szCs w:val="24"/>
        </w:rPr>
        <w:t>quo</w:t>
      </w:r>
      <w:r>
        <w:rPr>
          <w:rFonts w:ascii="Times New Roman" w:hAnsi="Times New Roman" w:cs="Times New Roman"/>
          <w:sz w:val="24"/>
          <w:szCs w:val="24"/>
        </w:rPr>
        <w:t xml:space="preserve"> also found that there was no proof of a second agreement or payment for the property. The court a </w:t>
      </w:r>
      <w:r>
        <w:rPr>
          <w:rFonts w:ascii="Times New Roman" w:hAnsi="Times New Roman" w:cs="Times New Roman"/>
          <w:i/>
          <w:iCs/>
          <w:sz w:val="24"/>
          <w:szCs w:val="24"/>
        </w:rPr>
        <w:t>quo</w:t>
      </w:r>
      <w:r>
        <w:rPr>
          <w:rFonts w:ascii="Times New Roman" w:hAnsi="Times New Roman" w:cs="Times New Roman"/>
          <w:sz w:val="24"/>
          <w:szCs w:val="24"/>
        </w:rPr>
        <w:t xml:space="preserve"> was of the vi</w:t>
      </w:r>
      <w:r>
        <w:rPr>
          <w:rFonts w:ascii="Times New Roman" w:hAnsi="Times New Roman" w:cs="Times New Roman"/>
          <w:sz w:val="24"/>
          <w:szCs w:val="24"/>
        </w:rPr>
        <w:t>ew that the appellants had not shown, on a balance of probabilities, a right of retention to the property; they had no legal claim, and that there was no possibility of a valid defence.</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u w:val="single"/>
        </w:rPr>
      </w:pPr>
      <w:r>
        <w:rPr>
          <w:rFonts w:ascii="Times New Roman" w:hAnsi="Times New Roman" w:cs="Times New Roman"/>
          <w:sz w:val="24"/>
          <w:szCs w:val="24"/>
        </w:rPr>
        <w:t xml:space="preserve">Aggrieved by the decision of the court a </w:t>
      </w:r>
      <w:r>
        <w:rPr>
          <w:rFonts w:ascii="Times New Roman" w:hAnsi="Times New Roman" w:cs="Times New Roman"/>
          <w:i/>
          <w:iCs/>
          <w:sz w:val="24"/>
          <w:szCs w:val="24"/>
        </w:rPr>
        <w:t>quo</w:t>
      </w:r>
      <w:r>
        <w:rPr>
          <w:rFonts w:ascii="Times New Roman" w:hAnsi="Times New Roman" w:cs="Times New Roman"/>
          <w:sz w:val="24"/>
          <w:szCs w:val="24"/>
        </w:rPr>
        <w:t>, the appellants noted thi</w:t>
      </w:r>
      <w:r>
        <w:rPr>
          <w:rFonts w:ascii="Times New Roman" w:hAnsi="Times New Roman" w:cs="Times New Roman"/>
          <w:sz w:val="24"/>
          <w:szCs w:val="24"/>
        </w:rPr>
        <w:t xml:space="preserve">s appeal. </w:t>
      </w:r>
    </w:p>
    <w:p w:rsidR="00DA28BE" w:rsidRDefault="00DA28BE">
      <w:pPr>
        <w:pStyle w:val="ListParagraph"/>
        <w:spacing w:line="360" w:lineRule="auto"/>
        <w:ind w:left="426"/>
        <w:jc w:val="both"/>
        <w:rPr>
          <w:rFonts w:ascii="Times New Roman" w:hAnsi="Times New Roman" w:cs="Times New Roman"/>
          <w:sz w:val="24"/>
          <w:szCs w:val="24"/>
        </w:rPr>
      </w:pPr>
    </w:p>
    <w:p w:rsidR="00DA28BE" w:rsidRDefault="0002175D">
      <w:pPr>
        <w:pStyle w:val="ListParagraph"/>
        <w:spacing w:line="360" w:lineRule="auto"/>
        <w:ind w:left="426"/>
        <w:jc w:val="both"/>
        <w:rPr>
          <w:rFonts w:ascii="Times New Roman" w:hAnsi="Times New Roman" w:cs="Times New Roman"/>
          <w:b/>
          <w:bCs/>
          <w:sz w:val="24"/>
          <w:szCs w:val="24"/>
          <w:u w:val="single"/>
        </w:rPr>
      </w:pPr>
      <w:r>
        <w:rPr>
          <w:rFonts w:ascii="Times New Roman" w:hAnsi="Times New Roman" w:cs="Times New Roman"/>
          <w:sz w:val="24"/>
          <w:szCs w:val="24"/>
        </w:rPr>
        <w:t xml:space="preserve"> </w:t>
      </w:r>
      <w:r>
        <w:rPr>
          <w:rFonts w:ascii="Times New Roman" w:hAnsi="Times New Roman" w:cs="Times New Roman"/>
          <w:b/>
          <w:bCs/>
          <w:sz w:val="24"/>
          <w:szCs w:val="24"/>
          <w:u w:val="single"/>
        </w:rPr>
        <w:t xml:space="preserve">GROUNDS OF APPEAL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Below, I quote the appellants' grounds of appeal verbatim: </w:t>
      </w:r>
    </w:p>
    <w:p w:rsidR="00DA28BE" w:rsidRDefault="0002175D">
      <w:pPr>
        <w:pStyle w:val="ListParagraph"/>
        <w:numPr>
          <w:ilvl w:val="0"/>
          <w:numId w:val="2"/>
        </w:numPr>
        <w:spacing w:after="0" w:line="240" w:lineRule="auto"/>
        <w:jc w:val="both"/>
        <w:rPr>
          <w:rFonts w:ascii="Times New Roman" w:hAnsi="Times New Roman" w:cs="Times New Roman"/>
        </w:rPr>
      </w:pPr>
      <w:bookmarkStart w:id="2" w:name="_Hlk206080708"/>
      <w:r>
        <w:rPr>
          <w:rFonts w:ascii="Times New Roman" w:hAnsi="Times New Roman" w:cs="Times New Roman"/>
          <w:lang w:val="en-US"/>
        </w:rPr>
        <w:lastRenderedPageBreak/>
        <w:t>“</w:t>
      </w:r>
      <w:r>
        <w:rPr>
          <w:rFonts w:ascii="Times New Roman" w:hAnsi="Times New Roman" w:cs="Times New Roman"/>
        </w:rPr>
        <w:t>The court a quo erred improperly exercised its discretion and erred in law by granting the summary judgment application when the appellants had managed to prove a</w:t>
      </w:r>
      <w:r>
        <w:rPr>
          <w:rFonts w:ascii="Times New Roman" w:hAnsi="Times New Roman" w:cs="Times New Roman"/>
        </w:rPr>
        <w:t xml:space="preserve">n arguable defence. The court a quo’s decision in that respect is so outrageous in its defiance of logic or common sense that no reasonable court applying its mind to the facts could reach such decision. </w:t>
      </w:r>
    </w:p>
    <w:bookmarkEnd w:id="2"/>
    <w:p w:rsidR="00DA28BE" w:rsidRDefault="0002175D">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court a quo erred and grossly misdirected itsel</w:t>
      </w:r>
      <w:r>
        <w:rPr>
          <w:rFonts w:ascii="Times New Roman" w:hAnsi="Times New Roman" w:cs="Times New Roman"/>
        </w:rPr>
        <w:t xml:space="preserve">f on the facts and law by failing to appreciate that </w:t>
      </w:r>
      <w:bookmarkStart w:id="3" w:name="_Hlk206052090"/>
      <w:r>
        <w:rPr>
          <w:rFonts w:ascii="Times New Roman" w:hAnsi="Times New Roman" w:cs="Times New Roman"/>
        </w:rPr>
        <w:t>the 1</w:t>
      </w:r>
      <w:r>
        <w:rPr>
          <w:rFonts w:ascii="Times New Roman" w:hAnsi="Times New Roman" w:cs="Times New Roman"/>
          <w:vertAlign w:val="superscript"/>
        </w:rPr>
        <w:t>st</w:t>
      </w:r>
      <w:r>
        <w:rPr>
          <w:rFonts w:ascii="Times New Roman" w:hAnsi="Times New Roman" w:cs="Times New Roman"/>
        </w:rPr>
        <w:t xml:space="preserve"> Appellant had a right of retention </w:t>
      </w:r>
      <w:bookmarkEnd w:id="3"/>
      <w:r>
        <w:rPr>
          <w:rFonts w:ascii="Times New Roman" w:hAnsi="Times New Roman" w:cs="Times New Roman"/>
        </w:rPr>
        <w:t xml:space="preserve">arising from the verbal agreement of sale of the property in issue whose terms were established and constituted a triable issue. </w:t>
      </w:r>
    </w:p>
    <w:p w:rsidR="00DA28BE" w:rsidRDefault="0002175D">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court a quo erred and misd</w:t>
      </w:r>
      <w:r>
        <w:rPr>
          <w:rFonts w:ascii="Times New Roman" w:hAnsi="Times New Roman" w:cs="Times New Roman"/>
        </w:rPr>
        <w:t xml:space="preserve">irected itself in law by failing to appreciate </w:t>
      </w:r>
      <w:bookmarkStart w:id="4" w:name="_Hlk208073923"/>
      <w:r>
        <w:rPr>
          <w:rFonts w:ascii="Times New Roman" w:hAnsi="Times New Roman" w:cs="Times New Roman"/>
        </w:rPr>
        <w:t>that the 2</w:t>
      </w:r>
      <w:r>
        <w:rPr>
          <w:rFonts w:ascii="Times New Roman" w:hAnsi="Times New Roman" w:cs="Times New Roman"/>
          <w:vertAlign w:val="superscript"/>
        </w:rPr>
        <w:t>nd</w:t>
      </w:r>
      <w:r>
        <w:rPr>
          <w:rFonts w:ascii="Times New Roman" w:hAnsi="Times New Roman" w:cs="Times New Roman"/>
        </w:rPr>
        <w:t xml:space="preserve"> appellant was improperly cited as a party without proper basis at law having been established</w:t>
      </w:r>
      <w:r>
        <w:rPr>
          <w:rFonts w:ascii="Times New Roman" w:hAnsi="Times New Roman" w:cs="Times New Roman"/>
          <w:lang w:val="en-US"/>
        </w:rPr>
        <w:t>”</w:t>
      </w:r>
      <w:r>
        <w:rPr>
          <w:rFonts w:ascii="Times New Roman" w:hAnsi="Times New Roman" w:cs="Times New Roman"/>
        </w:rPr>
        <w:t>.</w:t>
      </w:r>
      <w:bookmarkEnd w:id="4"/>
    </w:p>
    <w:p w:rsidR="00DA28BE" w:rsidRDefault="00DA28BE">
      <w:pPr>
        <w:pStyle w:val="ListParagraph"/>
        <w:spacing w:after="0" w:line="240" w:lineRule="auto"/>
        <w:ind w:left="1080"/>
        <w:jc w:val="both"/>
        <w:rPr>
          <w:rFonts w:ascii="Times New Roman" w:hAnsi="Times New Roman" w:cs="Times New Roman"/>
        </w:rPr>
      </w:pPr>
    </w:p>
    <w:p w:rsidR="00DA28BE" w:rsidRDefault="0002175D">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SUBMISSIONS BY THE PARTIES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At the hearing of the appeal, the respondent’s counsel, Mr </w:t>
      </w:r>
      <w:proofErr w:type="spellStart"/>
      <w:r>
        <w:rPr>
          <w:rFonts w:ascii="Times New Roman" w:hAnsi="Times New Roman" w:cs="Times New Roman"/>
          <w:i/>
          <w:iCs/>
          <w:sz w:val="24"/>
          <w:szCs w:val="24"/>
        </w:rPr>
        <w:t>Ushewokunze</w:t>
      </w:r>
      <w:proofErr w:type="spellEnd"/>
      <w:r>
        <w:rPr>
          <w:rFonts w:ascii="Times New Roman" w:hAnsi="Times New Roman" w:cs="Times New Roman"/>
          <w:sz w:val="24"/>
          <w:szCs w:val="24"/>
        </w:rPr>
        <w:t xml:space="preserve">, made an oral application for leave to have the respondent’s supplementary heads of argument incorporated into the record. In response, Mr </w:t>
      </w:r>
      <w:proofErr w:type="spellStart"/>
      <w:r>
        <w:rPr>
          <w:rFonts w:ascii="Times New Roman" w:hAnsi="Times New Roman" w:cs="Times New Roman"/>
          <w:i/>
          <w:iCs/>
          <w:sz w:val="24"/>
          <w:szCs w:val="24"/>
        </w:rPr>
        <w:t>Mkwachari</w:t>
      </w:r>
      <w:proofErr w:type="spellEnd"/>
      <w:r>
        <w:rPr>
          <w:rFonts w:ascii="Times New Roman" w:hAnsi="Times New Roman" w:cs="Times New Roman"/>
          <w:sz w:val="24"/>
          <w:szCs w:val="24"/>
        </w:rPr>
        <w:t>, appearing on behalf of the appellants, submitted that he was in a position to address the points raised i</w:t>
      </w:r>
      <w:r>
        <w:rPr>
          <w:rFonts w:ascii="Times New Roman" w:hAnsi="Times New Roman" w:cs="Times New Roman"/>
          <w:sz w:val="24"/>
          <w:szCs w:val="24"/>
        </w:rPr>
        <w:t xml:space="preserve">n the supplementary heads of arguments orally, without the need for him to file any written responses to those heads. Consequently, we granted the leave sought, and the supplementary heads of argument were incorporated as part of the record.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th</w:t>
      </w:r>
      <w:r>
        <w:rPr>
          <w:rFonts w:ascii="Times New Roman" w:hAnsi="Times New Roman" w:cs="Times New Roman"/>
          <w:sz w:val="24"/>
          <w:szCs w:val="24"/>
        </w:rPr>
        <w:t xml:space="preserve">e respondent contended that the first ground of appeal was not clear and concise, as it does not specify which segment of the court </w:t>
      </w:r>
      <w:r>
        <w:rPr>
          <w:rFonts w:ascii="Times New Roman" w:hAnsi="Times New Roman" w:cs="Times New Roman"/>
          <w:i/>
          <w:sz w:val="24"/>
          <w:szCs w:val="24"/>
        </w:rPr>
        <w:t>a quo’s</w:t>
      </w:r>
      <w:r>
        <w:rPr>
          <w:rFonts w:ascii="Times New Roman" w:hAnsi="Times New Roman" w:cs="Times New Roman"/>
          <w:sz w:val="24"/>
          <w:szCs w:val="24"/>
        </w:rPr>
        <w:t xml:space="preserve"> decision is being challenged. It asserted that the appellants merely allege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and improperl</w:t>
      </w:r>
      <w:r>
        <w:rPr>
          <w:rFonts w:ascii="Times New Roman" w:hAnsi="Times New Roman" w:cs="Times New Roman"/>
          <w:sz w:val="24"/>
          <w:szCs w:val="24"/>
        </w:rPr>
        <w:t xml:space="preserve">y exercised its discretion in granting summary judgment, despite having an arguable case, which, the respondent submitted, is a blanket statement. It was the respondent’s contention that the claim before the court </w:t>
      </w:r>
      <w:r>
        <w:rPr>
          <w:rFonts w:ascii="Times New Roman" w:hAnsi="Times New Roman" w:cs="Times New Roman"/>
          <w:i/>
          <w:sz w:val="24"/>
          <w:szCs w:val="24"/>
        </w:rPr>
        <w:t>a quo</w:t>
      </w:r>
      <w:r>
        <w:rPr>
          <w:rFonts w:ascii="Times New Roman" w:hAnsi="Times New Roman" w:cs="Times New Roman"/>
          <w:sz w:val="24"/>
          <w:szCs w:val="24"/>
        </w:rPr>
        <w:t xml:space="preserve"> was one of </w:t>
      </w:r>
      <w:r>
        <w:rPr>
          <w:rFonts w:ascii="Times New Roman" w:hAnsi="Times New Roman" w:cs="Times New Roman"/>
          <w:i/>
          <w:sz w:val="24"/>
          <w:szCs w:val="24"/>
        </w:rPr>
        <w:t xml:space="preserve">rei </w:t>
      </w:r>
      <w:proofErr w:type="spellStart"/>
      <w:r>
        <w:rPr>
          <w:rFonts w:ascii="Times New Roman" w:hAnsi="Times New Roman" w:cs="Times New Roman"/>
          <w:i/>
          <w:sz w:val="24"/>
          <w:szCs w:val="24"/>
        </w:rPr>
        <w:t>vindicatio</w:t>
      </w:r>
      <w:proofErr w:type="spellEnd"/>
      <w:r>
        <w:rPr>
          <w:rFonts w:ascii="Times New Roman" w:hAnsi="Times New Roman" w:cs="Times New Roman"/>
          <w:sz w:val="24"/>
          <w:szCs w:val="24"/>
        </w:rPr>
        <w:t>, which adm</w:t>
      </w:r>
      <w:r>
        <w:rPr>
          <w:rFonts w:ascii="Times New Roman" w:hAnsi="Times New Roman" w:cs="Times New Roman"/>
          <w:sz w:val="24"/>
          <w:szCs w:val="24"/>
        </w:rPr>
        <w:t xml:space="preserve">its of four possible defences. It was therefore insufficient for the appellants to merely assert the existence of an arguable defence without referencing any of the four defences upon which the appellants could rely.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respondent submitted that it would</w:t>
      </w:r>
      <w:r>
        <w:rPr>
          <w:rFonts w:ascii="Times New Roman" w:hAnsi="Times New Roman" w:cs="Times New Roman"/>
          <w:sz w:val="24"/>
          <w:szCs w:val="24"/>
        </w:rPr>
        <w:t xml:space="preserve"> have been prudent for the appellants to particularise the defence upon which they were relying. The respondent submitted, further, that it was not for the court to sift through heads of argument and determine which issue must be determined by the court. I</w:t>
      </w:r>
      <w:r>
        <w:rPr>
          <w:rFonts w:ascii="Times New Roman" w:hAnsi="Times New Roman" w:cs="Times New Roman"/>
          <w:sz w:val="24"/>
          <w:szCs w:val="24"/>
        </w:rPr>
        <w:t xml:space="preserve">n the circumstances, the respondent contended that the ground of appeal had been clumsily drafted.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The respondent argued that the second sentence of the first ground of appeal sought to attack the factual finding of the court, but there appeared to be no</w:t>
      </w:r>
      <w:r>
        <w:rPr>
          <w:rFonts w:ascii="Times New Roman" w:hAnsi="Times New Roman" w:cs="Times New Roman"/>
          <w:sz w:val="24"/>
          <w:szCs w:val="24"/>
        </w:rPr>
        <w:t xml:space="preserve"> attack on any finding of fact by the appellant.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In response, the appellants took the position that the first ground of appeal was clear and concise.  They stated that the finding of the court </w:t>
      </w:r>
      <w:r>
        <w:rPr>
          <w:rFonts w:ascii="Times New Roman" w:hAnsi="Times New Roman" w:cs="Times New Roman"/>
          <w:i/>
          <w:sz w:val="24"/>
          <w:szCs w:val="24"/>
        </w:rPr>
        <w:t>a quo</w:t>
      </w:r>
      <w:r>
        <w:rPr>
          <w:rFonts w:ascii="Times New Roman" w:hAnsi="Times New Roman" w:cs="Times New Roman"/>
          <w:sz w:val="24"/>
          <w:szCs w:val="24"/>
        </w:rPr>
        <w:t xml:space="preserve"> was premised on the fact that the appellants had no </w:t>
      </w:r>
      <w:r>
        <w:rPr>
          <w:rFonts w:ascii="Times New Roman" w:hAnsi="Times New Roman" w:cs="Times New Roman"/>
          <w:i/>
          <w:sz w:val="24"/>
          <w:szCs w:val="24"/>
        </w:rPr>
        <w:t>bo</w:t>
      </w:r>
      <w:r>
        <w:rPr>
          <w:rFonts w:ascii="Times New Roman" w:hAnsi="Times New Roman" w:cs="Times New Roman"/>
          <w:i/>
          <w:sz w:val="24"/>
          <w:szCs w:val="24"/>
        </w:rPr>
        <w:t>na fide</w:t>
      </w:r>
      <w:r>
        <w:rPr>
          <w:rFonts w:ascii="Times New Roman" w:hAnsi="Times New Roman" w:cs="Times New Roman"/>
          <w:sz w:val="24"/>
          <w:szCs w:val="24"/>
        </w:rPr>
        <w:t xml:space="preserve"> defence to the claim, and this is the finding which the appellants were attacking. As such, the appellants argued, as far as summary judgment is concerned, the law required that a defendant establish a </w:t>
      </w:r>
      <w:r>
        <w:rPr>
          <w:rFonts w:ascii="Times New Roman" w:hAnsi="Times New Roman" w:cs="Times New Roman"/>
          <w:i/>
          <w:sz w:val="24"/>
          <w:szCs w:val="24"/>
        </w:rPr>
        <w:t>prima facie</w:t>
      </w:r>
      <w:r>
        <w:rPr>
          <w:rFonts w:ascii="Times New Roman" w:hAnsi="Times New Roman" w:cs="Times New Roman"/>
          <w:sz w:val="24"/>
          <w:szCs w:val="24"/>
        </w:rPr>
        <w:t xml:space="preserve"> defence, which defence must be </w:t>
      </w:r>
      <w:r>
        <w:rPr>
          <w:rFonts w:ascii="Times New Roman" w:hAnsi="Times New Roman" w:cs="Times New Roman"/>
          <w:i/>
          <w:sz w:val="24"/>
          <w:szCs w:val="24"/>
        </w:rPr>
        <w:t>bon</w:t>
      </w:r>
      <w:r>
        <w:rPr>
          <w:rFonts w:ascii="Times New Roman" w:hAnsi="Times New Roman" w:cs="Times New Roman"/>
          <w:i/>
          <w:sz w:val="24"/>
          <w:szCs w:val="24"/>
        </w:rPr>
        <w:t>a fide</w:t>
      </w:r>
      <w:r>
        <w:rPr>
          <w:rFonts w:ascii="Times New Roman" w:hAnsi="Times New Roman" w:cs="Times New Roman"/>
          <w:sz w:val="24"/>
          <w:szCs w:val="24"/>
        </w:rPr>
        <w:t xml:space="preserve">. In the circumstances, the appellants averred that they were at large to attack the finding by the court </w:t>
      </w:r>
      <w:r>
        <w:rPr>
          <w:rFonts w:ascii="Times New Roman" w:hAnsi="Times New Roman" w:cs="Times New Roman"/>
          <w:i/>
          <w:sz w:val="24"/>
          <w:szCs w:val="24"/>
        </w:rPr>
        <w:t>a quo</w:t>
      </w:r>
      <w:r>
        <w:rPr>
          <w:rFonts w:ascii="Times New Roman" w:hAnsi="Times New Roman" w:cs="Times New Roman"/>
          <w:sz w:val="24"/>
          <w:szCs w:val="24"/>
        </w:rPr>
        <w:t xml:space="preserve"> that there was no </w:t>
      </w:r>
      <w:r>
        <w:rPr>
          <w:rFonts w:ascii="Times New Roman" w:hAnsi="Times New Roman" w:cs="Times New Roman"/>
          <w:i/>
          <w:sz w:val="24"/>
          <w:szCs w:val="24"/>
        </w:rPr>
        <w:t>prima facie</w:t>
      </w:r>
      <w:r>
        <w:rPr>
          <w:rFonts w:ascii="Times New Roman" w:hAnsi="Times New Roman" w:cs="Times New Roman"/>
          <w:sz w:val="24"/>
          <w:szCs w:val="24"/>
        </w:rPr>
        <w:t xml:space="preserve"> defence.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On the merits, the appellants argued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in its failure to consider that th</w:t>
      </w:r>
      <w:r>
        <w:rPr>
          <w:rFonts w:ascii="Times New Roman" w:hAnsi="Times New Roman" w:cs="Times New Roman"/>
          <w:sz w:val="24"/>
          <w:szCs w:val="24"/>
        </w:rPr>
        <w:t xml:space="preserve">e appellant had raised a </w:t>
      </w:r>
      <w:r>
        <w:rPr>
          <w:rFonts w:ascii="Times New Roman" w:hAnsi="Times New Roman" w:cs="Times New Roman"/>
          <w:i/>
          <w:sz w:val="24"/>
          <w:szCs w:val="24"/>
        </w:rPr>
        <w:t>prima facie</w:t>
      </w:r>
      <w:r>
        <w:rPr>
          <w:rFonts w:ascii="Times New Roman" w:hAnsi="Times New Roman" w:cs="Times New Roman"/>
          <w:sz w:val="24"/>
          <w:szCs w:val="24"/>
        </w:rPr>
        <w:t xml:space="preserve"> defence to the respondent's claim. They stated that there existed a verbal agreement whose terms were clearly spelt out. Further to that, there was letter of demand from the respondents' legal practitioners, wherein a d</w:t>
      </w:r>
      <w:r>
        <w:rPr>
          <w:rFonts w:ascii="Times New Roman" w:hAnsi="Times New Roman" w:cs="Times New Roman"/>
          <w:sz w:val="24"/>
          <w:szCs w:val="24"/>
        </w:rPr>
        <w:t xml:space="preserve">emand for the purchase price was made, and attached cheques- all of which proved that there was an agreement of sale between the parties. The appellants submitted that it was irrational for the court a </w:t>
      </w:r>
      <w:r>
        <w:rPr>
          <w:rFonts w:ascii="Times New Roman" w:hAnsi="Times New Roman" w:cs="Times New Roman"/>
          <w:i/>
          <w:iCs/>
          <w:sz w:val="24"/>
          <w:szCs w:val="24"/>
        </w:rPr>
        <w:t>quo</w:t>
      </w:r>
      <w:r>
        <w:rPr>
          <w:rFonts w:ascii="Times New Roman" w:hAnsi="Times New Roman" w:cs="Times New Roman"/>
          <w:sz w:val="24"/>
          <w:szCs w:val="24"/>
        </w:rPr>
        <w:t xml:space="preserve"> to determine that there was no agreement between t</w:t>
      </w:r>
      <w:r>
        <w:rPr>
          <w:rFonts w:ascii="Times New Roman" w:hAnsi="Times New Roman" w:cs="Times New Roman"/>
          <w:sz w:val="24"/>
          <w:szCs w:val="24"/>
        </w:rPr>
        <w:t xml:space="preserve">he parties.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appellants further contended that the oral agreement of sale established the right of retention of the property. Additionally, the appellants contended that they had raised the issue of improper joinder of the second appellant in the court</w:t>
      </w:r>
      <w:r>
        <w:rPr>
          <w:rFonts w:ascii="Times New Roman" w:hAnsi="Times New Roman" w:cs="Times New Roman"/>
          <w:sz w:val="24"/>
          <w:szCs w:val="24"/>
        </w:rPr>
        <w:t xml:space="preserve"> </w:t>
      </w:r>
      <w:r>
        <w:rPr>
          <w:rFonts w:ascii="Times New Roman" w:hAnsi="Times New Roman" w:cs="Times New Roman"/>
          <w:i/>
          <w:sz w:val="24"/>
          <w:szCs w:val="24"/>
        </w:rPr>
        <w:t>a quo</w:t>
      </w:r>
      <w:r>
        <w:rPr>
          <w:rFonts w:ascii="Times New Roman" w:hAnsi="Times New Roman" w:cs="Times New Roman"/>
          <w:sz w:val="24"/>
          <w:szCs w:val="24"/>
        </w:rPr>
        <w:t xml:space="preserve">, but the court a </w:t>
      </w:r>
      <w:r>
        <w:rPr>
          <w:rFonts w:ascii="Times New Roman" w:hAnsi="Times New Roman" w:cs="Times New Roman"/>
          <w:i/>
          <w:iCs/>
          <w:sz w:val="24"/>
          <w:szCs w:val="24"/>
        </w:rPr>
        <w:t xml:space="preserve">quo </w:t>
      </w:r>
      <w:r>
        <w:rPr>
          <w:rFonts w:ascii="Times New Roman" w:hAnsi="Times New Roman" w:cs="Times New Roman"/>
          <w:sz w:val="24"/>
          <w:szCs w:val="24"/>
        </w:rPr>
        <w:t xml:space="preserve">had not determined the issue, and that constituted a misdirection which had the effect of vitiating the order given.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i/>
          <w:sz w:val="24"/>
          <w:szCs w:val="24"/>
        </w:rPr>
        <w:t>Per contra</w:t>
      </w:r>
      <w:r>
        <w:rPr>
          <w:rFonts w:ascii="Times New Roman" w:hAnsi="Times New Roman" w:cs="Times New Roman"/>
          <w:sz w:val="24"/>
          <w:szCs w:val="24"/>
        </w:rPr>
        <w:t xml:space="preserve">, </w:t>
      </w:r>
      <w:bookmarkStart w:id="5" w:name="_Hlk208075438"/>
      <w:r>
        <w:rPr>
          <w:rFonts w:ascii="Times New Roman" w:hAnsi="Times New Roman" w:cs="Times New Roman"/>
          <w:sz w:val="24"/>
          <w:szCs w:val="24"/>
        </w:rPr>
        <w:t>the respondent stated that the entire notice of appeal did not have a ground that attacked the fin</w:t>
      </w:r>
      <w:r>
        <w:rPr>
          <w:rFonts w:ascii="Times New Roman" w:hAnsi="Times New Roman" w:cs="Times New Roman"/>
          <w:sz w:val="24"/>
          <w:szCs w:val="24"/>
        </w:rPr>
        <w:t xml:space="preserve">dings of fact made by the court </w:t>
      </w:r>
      <w:r>
        <w:rPr>
          <w:rFonts w:ascii="Times New Roman" w:hAnsi="Times New Roman" w:cs="Times New Roman"/>
          <w:i/>
          <w:sz w:val="24"/>
          <w:szCs w:val="24"/>
        </w:rPr>
        <w:t>a quo,</w:t>
      </w:r>
      <w:r>
        <w:rPr>
          <w:rFonts w:ascii="Times New Roman" w:hAnsi="Times New Roman" w:cs="Times New Roman"/>
          <w:sz w:val="24"/>
          <w:szCs w:val="24"/>
        </w:rPr>
        <w:t xml:space="preserve"> particularly that there was no agreement of sale and that no payment was made. Mr </w:t>
      </w:r>
      <w:proofErr w:type="spellStart"/>
      <w:r>
        <w:rPr>
          <w:rFonts w:ascii="Times New Roman" w:hAnsi="Times New Roman" w:cs="Times New Roman"/>
          <w:i/>
          <w:sz w:val="24"/>
          <w:szCs w:val="24"/>
        </w:rPr>
        <w:t>Ushewokunze</w:t>
      </w:r>
      <w:proofErr w:type="spellEnd"/>
      <w:r>
        <w:rPr>
          <w:rFonts w:ascii="Times New Roman" w:hAnsi="Times New Roman" w:cs="Times New Roman"/>
          <w:i/>
          <w:sz w:val="24"/>
          <w:szCs w:val="24"/>
        </w:rPr>
        <w:t xml:space="preserve"> </w:t>
      </w:r>
      <w:r>
        <w:rPr>
          <w:rFonts w:ascii="Times New Roman" w:hAnsi="Times New Roman" w:cs="Times New Roman"/>
          <w:iCs/>
          <w:sz w:val="24"/>
          <w:szCs w:val="24"/>
        </w:rPr>
        <w:t>argued</w:t>
      </w:r>
      <w:r>
        <w:rPr>
          <w:rFonts w:ascii="Times New Roman" w:hAnsi="Times New Roman" w:cs="Times New Roman"/>
          <w:i/>
          <w:sz w:val="24"/>
          <w:szCs w:val="24"/>
        </w:rPr>
        <w:t xml:space="preserve"> </w:t>
      </w:r>
      <w:r>
        <w:rPr>
          <w:rFonts w:ascii="Times New Roman" w:hAnsi="Times New Roman" w:cs="Times New Roman"/>
          <w:sz w:val="24"/>
          <w:szCs w:val="24"/>
        </w:rPr>
        <w:t xml:space="preserve">that a finding of fact had been made by the court </w:t>
      </w:r>
      <w:r>
        <w:rPr>
          <w:rFonts w:ascii="Times New Roman" w:hAnsi="Times New Roman" w:cs="Times New Roman"/>
          <w:i/>
          <w:sz w:val="24"/>
          <w:szCs w:val="24"/>
        </w:rPr>
        <w:t xml:space="preserve">a </w:t>
      </w:r>
      <w:proofErr w:type="gramStart"/>
      <w:r>
        <w:rPr>
          <w:rFonts w:ascii="Times New Roman" w:hAnsi="Times New Roman" w:cs="Times New Roman"/>
          <w:i/>
          <w:sz w:val="24"/>
          <w:szCs w:val="24"/>
        </w:rPr>
        <w:t>quo,</w:t>
      </w:r>
      <w:proofErr w:type="gramEnd"/>
      <w:r>
        <w:rPr>
          <w:rFonts w:ascii="Times New Roman" w:hAnsi="Times New Roman" w:cs="Times New Roman"/>
          <w:sz w:val="24"/>
          <w:szCs w:val="24"/>
        </w:rPr>
        <w:t xml:space="preserve"> and that finding of fact had not been challenged in the not</w:t>
      </w:r>
      <w:r>
        <w:rPr>
          <w:rFonts w:ascii="Times New Roman" w:hAnsi="Times New Roman" w:cs="Times New Roman"/>
          <w:sz w:val="24"/>
          <w:szCs w:val="24"/>
        </w:rPr>
        <w:t xml:space="preserve">ice of appeal, and it was not brought for ventilation before this court. He further argued that a right of retention, as claimed by the respondent, is a lien and is a form of security. He submitted that this right is conferred by law on a person who is in </w:t>
      </w:r>
      <w:r>
        <w:rPr>
          <w:rFonts w:ascii="Times New Roman" w:hAnsi="Times New Roman" w:cs="Times New Roman"/>
          <w:sz w:val="24"/>
          <w:szCs w:val="24"/>
        </w:rPr>
        <w:t xml:space="preserve">possession of someone’s property on which he has expended money or money’s worth and therefore retains possession of the property until he has been duly compensated. </w:t>
      </w:r>
    </w:p>
    <w:bookmarkEnd w:id="5"/>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Additionally, he argued, from the record of proceedings in the court </w:t>
      </w:r>
      <w:r>
        <w:rPr>
          <w:rFonts w:ascii="Times New Roman" w:hAnsi="Times New Roman" w:cs="Times New Roman"/>
          <w:i/>
          <w:sz w:val="24"/>
          <w:szCs w:val="24"/>
        </w:rPr>
        <w:t>a quo,</w:t>
      </w:r>
      <w:r>
        <w:rPr>
          <w:rFonts w:ascii="Times New Roman" w:hAnsi="Times New Roman" w:cs="Times New Roman"/>
          <w:sz w:val="24"/>
          <w:szCs w:val="24"/>
        </w:rPr>
        <w:t xml:space="preserve"> there was no claim or allegation that the appellants incurred any expenses for which they required or were claiming compensation from the respondent. He submitted that the appellants had quoted the principle out of context.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With regard to the citation of the second appellant, it was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Ushewokunze</w:t>
      </w:r>
      <w:r>
        <w:rPr>
          <w:rFonts w:ascii="Times New Roman" w:hAnsi="Times New Roman" w:cs="Times New Roman"/>
          <w:sz w:val="24"/>
          <w:szCs w:val="24"/>
        </w:rPr>
        <w:t>’s</w:t>
      </w:r>
      <w:proofErr w:type="spellEnd"/>
      <w:r>
        <w:rPr>
          <w:rFonts w:ascii="Times New Roman" w:hAnsi="Times New Roman" w:cs="Times New Roman"/>
          <w:sz w:val="24"/>
          <w:szCs w:val="24"/>
        </w:rPr>
        <w:t xml:space="preserve"> argument that the record showed that from the appellant's own pleadings, the appellant admitted to both of them being in possession of the property. In any event, he further argue</w:t>
      </w:r>
      <w:r>
        <w:rPr>
          <w:rFonts w:ascii="Times New Roman" w:hAnsi="Times New Roman" w:cs="Times New Roman"/>
          <w:sz w:val="24"/>
          <w:szCs w:val="24"/>
        </w:rPr>
        <w:t xml:space="preserve">d, the net effect of an order granted against the first appellant specifically was the same, because even if the second appellant was to be excused from the proceedings, he could still be evicted from the property through the first appellant. He submitted </w:t>
      </w:r>
      <w:r>
        <w:rPr>
          <w:rFonts w:ascii="Times New Roman" w:hAnsi="Times New Roman" w:cs="Times New Roman"/>
          <w:sz w:val="24"/>
          <w:szCs w:val="24"/>
        </w:rPr>
        <w:t xml:space="preserve">that if the worry was that of costs being levied against the second appellant, the respondent would not pursue costs. Alternatively, this could court vary the court a </w:t>
      </w:r>
      <w:r>
        <w:rPr>
          <w:rFonts w:ascii="Times New Roman" w:hAnsi="Times New Roman" w:cs="Times New Roman"/>
          <w:i/>
          <w:iCs/>
          <w:sz w:val="24"/>
          <w:szCs w:val="24"/>
        </w:rPr>
        <w:t>quo</w:t>
      </w:r>
      <w:r>
        <w:rPr>
          <w:rFonts w:ascii="Times New Roman" w:hAnsi="Times New Roman" w:cs="Times New Roman"/>
          <w:sz w:val="24"/>
          <w:szCs w:val="24"/>
        </w:rPr>
        <w:t xml:space="preserve">’s order for costs. </w:t>
      </w:r>
    </w:p>
    <w:p w:rsidR="00DA28BE" w:rsidRDefault="0002175D">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ISSUES FOR DETERMINATION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I decipher the issues falling for det</w:t>
      </w:r>
      <w:r>
        <w:rPr>
          <w:rFonts w:ascii="Times New Roman" w:hAnsi="Times New Roman" w:cs="Times New Roman"/>
          <w:sz w:val="24"/>
          <w:szCs w:val="24"/>
        </w:rPr>
        <w:t xml:space="preserve">ermination in this appeal to be as follows: </w:t>
      </w:r>
    </w:p>
    <w:p w:rsidR="00DA28BE" w:rsidRDefault="0002175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first ground of appeal is clear and concise.</w:t>
      </w:r>
    </w:p>
    <w:p w:rsidR="00DA28BE" w:rsidRDefault="0002175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Pr>
          <w:rFonts w:ascii="Times New Roman" w:hAnsi="Times New Roman" w:cs="Times New Roman"/>
          <w:i/>
          <w:sz w:val="24"/>
          <w:szCs w:val="24"/>
        </w:rPr>
        <w:t>a quo</w:t>
      </w:r>
      <w:r>
        <w:rPr>
          <w:rFonts w:ascii="Times New Roman" w:hAnsi="Times New Roman" w:cs="Times New Roman"/>
          <w:sz w:val="24"/>
          <w:szCs w:val="24"/>
        </w:rPr>
        <w:t xml:space="preserve"> erred in failing to appreciate that the appellant had a right of retention to the property. </w:t>
      </w:r>
    </w:p>
    <w:p w:rsidR="00DA28BE" w:rsidRDefault="0002175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Pr>
          <w:rFonts w:ascii="Times New Roman" w:hAnsi="Times New Roman" w:cs="Times New Roman"/>
          <w:i/>
          <w:sz w:val="24"/>
          <w:szCs w:val="24"/>
        </w:rPr>
        <w:t>a quo</w:t>
      </w:r>
      <w:r>
        <w:rPr>
          <w:rFonts w:ascii="Times New Roman" w:hAnsi="Times New Roman" w:cs="Times New Roman"/>
          <w:sz w:val="24"/>
          <w:szCs w:val="24"/>
        </w:rPr>
        <w:t xml:space="preserve"> erred in fail</w:t>
      </w:r>
      <w:r>
        <w:rPr>
          <w:rFonts w:ascii="Times New Roman" w:hAnsi="Times New Roman" w:cs="Times New Roman"/>
          <w:sz w:val="24"/>
          <w:szCs w:val="24"/>
        </w:rPr>
        <w:t xml:space="preserve">ing to appreciate that the second appellant was improperly cited. </w:t>
      </w:r>
    </w:p>
    <w:p w:rsidR="00DA28BE" w:rsidRDefault="0002175D">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WHETHER THE FIRST GROUND OF APPEAL IS CLEAR AND CONCISE</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Appeals from the magistrates’ court are governed by Order 31 of the Magistrates Court (Civil) Rules, 2019. O31 r(1) (4) (b) of those </w:t>
      </w:r>
      <w:r>
        <w:rPr>
          <w:rFonts w:ascii="Times New Roman" w:hAnsi="Times New Roman" w:cs="Times New Roman"/>
          <w:sz w:val="24"/>
          <w:szCs w:val="24"/>
        </w:rPr>
        <w:t>Rules states that:</w:t>
      </w:r>
    </w:p>
    <w:p w:rsidR="00DA28BE" w:rsidRDefault="0002175D">
      <w:pPr>
        <w:pStyle w:val="ListParagraph"/>
        <w:spacing w:after="0" w:line="240" w:lineRule="auto"/>
        <w:jc w:val="both"/>
        <w:rPr>
          <w:rFonts w:ascii="Times New Roman" w:hAnsi="Times New Roman" w:cs="Times New Roman"/>
        </w:rPr>
      </w:pPr>
      <w:r>
        <w:rPr>
          <w:rFonts w:ascii="Times New Roman" w:hAnsi="Times New Roman" w:cs="Times New Roman"/>
        </w:rPr>
        <w:t>“(4) A notice of appeal or cross-appeal shall state</w:t>
      </w:r>
    </w:p>
    <w:p w:rsidR="00DA28BE" w:rsidRDefault="0002175D">
      <w:pPr>
        <w:pStyle w:val="ListParagraph"/>
        <w:numPr>
          <w:ilvl w:val="0"/>
          <w:numId w:val="4"/>
        </w:numPr>
        <w:spacing w:after="0" w:line="240" w:lineRule="auto"/>
        <w:ind w:left="2090"/>
        <w:jc w:val="both"/>
        <w:rPr>
          <w:rFonts w:ascii="Times New Roman" w:hAnsi="Times New Roman" w:cs="Times New Roman"/>
        </w:rPr>
      </w:pPr>
      <w:r>
        <w:rPr>
          <w:rFonts w:ascii="Times New Roman" w:hAnsi="Times New Roman" w:cs="Times New Roman"/>
        </w:rPr>
        <w:t>….</w:t>
      </w:r>
    </w:p>
    <w:p w:rsidR="00DA28BE" w:rsidRDefault="0002175D">
      <w:pPr>
        <w:pStyle w:val="ListParagraph"/>
        <w:numPr>
          <w:ilvl w:val="0"/>
          <w:numId w:val="4"/>
        </w:numPr>
        <w:spacing w:after="0" w:line="240" w:lineRule="auto"/>
        <w:ind w:left="2090"/>
        <w:jc w:val="both"/>
        <w:rPr>
          <w:rFonts w:ascii="Times New Roman" w:hAnsi="Times New Roman" w:cs="Times New Roman"/>
          <w:u w:val="single"/>
        </w:rPr>
      </w:pPr>
      <w:r>
        <w:rPr>
          <w:rFonts w:ascii="Times New Roman" w:hAnsi="Times New Roman" w:cs="Times New Roman"/>
          <w:u w:val="single"/>
        </w:rPr>
        <w:t xml:space="preserve">In the grounds of appeal, concisely and clearly the findings of fact or rulings of law appealed against </w:t>
      </w:r>
    </w:p>
    <w:p w:rsidR="00DA28BE" w:rsidRDefault="0002175D">
      <w:pPr>
        <w:pStyle w:val="ListParagraph"/>
        <w:numPr>
          <w:ilvl w:val="0"/>
          <w:numId w:val="4"/>
        </w:numPr>
        <w:spacing w:after="0" w:line="240" w:lineRule="auto"/>
        <w:ind w:left="2090"/>
        <w:jc w:val="both"/>
        <w:rPr>
          <w:rFonts w:ascii="Times New Roman" w:hAnsi="Times New Roman" w:cs="Times New Roman"/>
        </w:rPr>
      </w:pPr>
      <w:r>
        <w:rPr>
          <w:rFonts w:ascii="Times New Roman" w:hAnsi="Times New Roman" w:cs="Times New Roman"/>
        </w:rPr>
        <w:t>…..</w:t>
      </w:r>
    </w:p>
    <w:p w:rsidR="00DA28BE" w:rsidRDefault="0002175D">
      <w:pPr>
        <w:pStyle w:val="ListParagraph"/>
        <w:numPr>
          <w:ilvl w:val="0"/>
          <w:numId w:val="4"/>
        </w:numPr>
        <w:spacing w:after="0" w:line="240" w:lineRule="auto"/>
        <w:ind w:left="2090"/>
        <w:jc w:val="both"/>
        <w:rPr>
          <w:rFonts w:ascii="Times New Roman" w:hAnsi="Times New Roman" w:cs="Times New Roman"/>
        </w:rPr>
      </w:pPr>
      <w:r>
        <w:rPr>
          <w:rFonts w:ascii="Times New Roman" w:hAnsi="Times New Roman" w:cs="Times New Roman"/>
        </w:rPr>
        <w:t xml:space="preserve">…..” [my emphasis] </w:t>
      </w:r>
    </w:p>
    <w:p w:rsidR="00DA28BE" w:rsidRDefault="00DA28BE">
      <w:pPr>
        <w:pStyle w:val="ListParagraph"/>
        <w:spacing w:after="0" w:line="240" w:lineRule="auto"/>
        <w:ind w:left="2090"/>
        <w:jc w:val="both"/>
        <w:rPr>
          <w:rFonts w:ascii="Times New Roman" w:hAnsi="Times New Roman" w:cs="Times New Roman"/>
        </w:rPr>
      </w:pP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above rule mandates that a notice of appeal must</w:t>
      </w:r>
      <w:r>
        <w:rPr>
          <w:rFonts w:ascii="Times New Roman" w:hAnsi="Times New Roman" w:cs="Times New Roman"/>
          <w:sz w:val="24"/>
          <w:szCs w:val="24"/>
        </w:rPr>
        <w:t xml:space="preserve"> contain grounds of appeal that are clear and concise. Failure to comply with the mandatory provisions of this rule renders an appeal a nullity.  See </w:t>
      </w:r>
      <w:proofErr w:type="spellStart"/>
      <w:r>
        <w:rPr>
          <w:rFonts w:ascii="Times New Roman" w:hAnsi="Times New Roman" w:cs="Times New Roman"/>
          <w:i/>
          <w:sz w:val="24"/>
          <w:szCs w:val="24"/>
        </w:rPr>
        <w:t>Matanhire</w:t>
      </w:r>
      <w:proofErr w:type="spellEnd"/>
      <w:r>
        <w:rPr>
          <w:rFonts w:ascii="Times New Roman" w:hAnsi="Times New Roman" w:cs="Times New Roman"/>
          <w:sz w:val="24"/>
          <w:szCs w:val="24"/>
        </w:rPr>
        <w:t xml:space="preserve"> v </w:t>
      </w:r>
      <w:r>
        <w:rPr>
          <w:rFonts w:ascii="Times New Roman" w:hAnsi="Times New Roman" w:cs="Times New Roman"/>
          <w:i/>
          <w:sz w:val="24"/>
          <w:szCs w:val="24"/>
        </w:rPr>
        <w:t>BP &amp; Shell Marketing Services (Pvt) Ltd</w:t>
      </w:r>
      <w:r>
        <w:rPr>
          <w:rFonts w:ascii="Times New Roman" w:hAnsi="Times New Roman" w:cs="Times New Roman"/>
          <w:sz w:val="24"/>
          <w:szCs w:val="24"/>
        </w:rPr>
        <w:t xml:space="preserve"> 2004 (2) ZLR 147 (S). If a ground of appeal is general</w:t>
      </w:r>
      <w:r>
        <w:rPr>
          <w:rFonts w:ascii="Times New Roman" w:hAnsi="Times New Roman" w:cs="Times New Roman"/>
          <w:sz w:val="24"/>
          <w:szCs w:val="24"/>
        </w:rPr>
        <w:t xml:space="preserve"> and not specific, that particular ground of appeal cannot be a valid ground of appeal. See </w:t>
      </w:r>
      <w:proofErr w:type="spellStart"/>
      <w:r>
        <w:rPr>
          <w:rFonts w:ascii="Times New Roman" w:hAnsi="Times New Roman" w:cs="Times New Roman"/>
          <w:i/>
          <w:sz w:val="24"/>
          <w:szCs w:val="24"/>
        </w:rPr>
        <w:t>Chimaiwache</w:t>
      </w:r>
      <w:proofErr w:type="spellEnd"/>
      <w:r>
        <w:rPr>
          <w:rFonts w:ascii="Times New Roman" w:hAnsi="Times New Roman" w:cs="Times New Roman"/>
          <w:sz w:val="24"/>
          <w:szCs w:val="24"/>
        </w:rPr>
        <w:t xml:space="preserve"> v </w:t>
      </w:r>
      <w:r>
        <w:rPr>
          <w:rFonts w:ascii="Times New Roman" w:hAnsi="Times New Roman" w:cs="Times New Roman"/>
          <w:i/>
          <w:sz w:val="24"/>
          <w:szCs w:val="24"/>
        </w:rPr>
        <w:t>S</w:t>
      </w:r>
      <w:r>
        <w:rPr>
          <w:rFonts w:ascii="Times New Roman" w:hAnsi="Times New Roman" w:cs="Times New Roman"/>
          <w:sz w:val="24"/>
          <w:szCs w:val="24"/>
        </w:rPr>
        <w:t xml:space="preserve"> SC 18-13 at p7.</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i/>
          <w:sz w:val="24"/>
          <w:szCs w:val="24"/>
        </w:rPr>
        <w:lastRenderedPageBreak/>
        <w:t>Chikura</w:t>
      </w:r>
      <w:proofErr w:type="spellEnd"/>
      <w:r>
        <w:rPr>
          <w:rFonts w:ascii="Times New Roman" w:hAnsi="Times New Roman" w:cs="Times New Roman"/>
          <w:i/>
          <w:sz w:val="24"/>
          <w:szCs w:val="24"/>
        </w:rPr>
        <w:t xml:space="preserve"> N.O. &amp; Anor</w:t>
      </w:r>
      <w:r>
        <w:rPr>
          <w:rFonts w:ascii="Times New Roman" w:hAnsi="Times New Roman" w:cs="Times New Roman"/>
          <w:sz w:val="24"/>
          <w:szCs w:val="24"/>
        </w:rPr>
        <w:t xml:space="preserve"> v </w:t>
      </w:r>
      <w:r>
        <w:rPr>
          <w:rFonts w:ascii="Times New Roman" w:hAnsi="Times New Roman" w:cs="Times New Roman"/>
          <w:i/>
          <w:sz w:val="24"/>
          <w:szCs w:val="24"/>
        </w:rPr>
        <w:t>Al Shams Global BVI Limited</w:t>
      </w:r>
      <w:r>
        <w:rPr>
          <w:rFonts w:ascii="Times New Roman" w:hAnsi="Times New Roman" w:cs="Times New Roman"/>
          <w:sz w:val="24"/>
          <w:szCs w:val="24"/>
        </w:rPr>
        <w:t xml:space="preserve"> SC 17-17 is authority for the proposition that a ground of appeal must raise real issues for determination that should be immediately ascertainable upon perusal of the grounds of appeal. It also states that the grounds of appeal must ensure that the respo</w:t>
      </w:r>
      <w:r>
        <w:rPr>
          <w:rFonts w:ascii="Times New Roman" w:hAnsi="Times New Roman" w:cs="Times New Roman"/>
          <w:sz w:val="24"/>
          <w:szCs w:val="24"/>
        </w:rPr>
        <w:t>ndent is properly informed of the case he has to meet on appeal. At p 4 of the cyclostyled</w:t>
      </w:r>
      <w:r>
        <w:rPr>
          <w:rFonts w:ascii="Times New Roman" w:hAnsi="Times New Roman" w:cs="Times New Roman"/>
          <w:i/>
          <w:sz w:val="24"/>
          <w:szCs w:val="24"/>
        </w:rPr>
        <w:t xml:space="preserve"> </w:t>
      </w:r>
      <w:r>
        <w:rPr>
          <w:rFonts w:ascii="Times New Roman" w:hAnsi="Times New Roman" w:cs="Times New Roman"/>
          <w:iCs/>
          <w:sz w:val="24"/>
          <w:szCs w:val="24"/>
        </w:rPr>
        <w:t>judgment,</w:t>
      </w:r>
      <w:r>
        <w:rPr>
          <w:rFonts w:ascii="Times New Roman" w:hAnsi="Times New Roman" w:cs="Times New Roman"/>
          <w:i/>
          <w:sz w:val="24"/>
          <w:szCs w:val="24"/>
        </w:rPr>
        <w:t xml:space="preserve"> </w:t>
      </w:r>
      <w:r>
        <w:rPr>
          <w:rFonts w:ascii="Times New Roman" w:hAnsi="Times New Roman" w:cs="Times New Roman"/>
          <w:sz w:val="24"/>
          <w:szCs w:val="24"/>
        </w:rPr>
        <w:t xml:space="preserve">the court makes the following pertinent remarks: </w:t>
      </w:r>
    </w:p>
    <w:p w:rsidR="00DA28BE" w:rsidRDefault="000217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 xml:space="preserve">In </w:t>
      </w:r>
      <w:proofErr w:type="spellStart"/>
      <w:r>
        <w:rPr>
          <w:rFonts w:ascii="Times New Roman" w:hAnsi="Times New Roman" w:cs="Times New Roman"/>
          <w:i/>
        </w:rPr>
        <w:t>Sonyongo</w:t>
      </w:r>
      <w:proofErr w:type="spellEnd"/>
      <w:r>
        <w:rPr>
          <w:rFonts w:ascii="Times New Roman" w:hAnsi="Times New Roman" w:cs="Times New Roman"/>
        </w:rPr>
        <w:t xml:space="preserve"> v </w:t>
      </w:r>
      <w:r>
        <w:rPr>
          <w:rFonts w:ascii="Times New Roman" w:hAnsi="Times New Roman" w:cs="Times New Roman"/>
          <w:i/>
        </w:rPr>
        <w:t>Minister of Law and Order</w:t>
      </w:r>
      <w:r>
        <w:rPr>
          <w:rFonts w:ascii="Times New Roman" w:hAnsi="Times New Roman" w:cs="Times New Roman"/>
        </w:rPr>
        <w:t xml:space="preserve"> 1996 (4) SA 384, </w:t>
      </w:r>
      <w:r>
        <w:rPr>
          <w:rFonts w:ascii="Times New Roman" w:hAnsi="Times New Roman" w:cs="Times New Roman"/>
          <w:smallCaps/>
          <w:sz w:val="24"/>
          <w:szCs w:val="24"/>
        </w:rPr>
        <w:t>Leach</w:t>
      </w:r>
      <w:r>
        <w:rPr>
          <w:rFonts w:ascii="Times New Roman" w:hAnsi="Times New Roman" w:cs="Times New Roman"/>
        </w:rPr>
        <w:t xml:space="preserve"> J was dealing with an application for lea</w:t>
      </w:r>
      <w:r>
        <w:rPr>
          <w:rFonts w:ascii="Times New Roman" w:hAnsi="Times New Roman" w:cs="Times New Roman"/>
        </w:rPr>
        <w:t>ve to appeal in terms of r 49(1) (b) of the Uniform Rules of Court of South Africa.  That rule required the grounds of appeal to be set out in the application.  The learned Judge at p 385E – 386A of his judgment said the following:</w:t>
      </w:r>
      <w:r>
        <w:rPr>
          <w:rFonts w:ascii="Times New Roman" w:hAnsi="Times New Roman" w:cs="Times New Roman"/>
          <w:sz w:val="24"/>
          <w:szCs w:val="24"/>
        </w:rPr>
        <w:t xml:space="preserve"> </w:t>
      </w:r>
    </w:p>
    <w:p w:rsidR="00DA28BE" w:rsidRDefault="0002175D">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0"/>
          <w:szCs w:val="20"/>
        </w:rPr>
        <w:t>I am not aware of any judgment dealing specifically with grounds of appeal as envisaged by Rule 49(1</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b); however, Rule 49 (3) is couched in similar terms and also requires the filing of a notice of appeal which shall specify ‘the grounds upon which the ap</w:t>
      </w:r>
      <w:r>
        <w:rPr>
          <w:rFonts w:ascii="Times New Roman" w:hAnsi="Times New Roman" w:cs="Times New Roman"/>
          <w:sz w:val="20"/>
          <w:szCs w:val="20"/>
        </w:rPr>
        <w:t xml:space="preserve">peal is founded.’ In regard to that </w:t>
      </w:r>
      <w:proofErr w:type="spellStart"/>
      <w:r>
        <w:rPr>
          <w:rFonts w:ascii="Times New Roman" w:hAnsi="Times New Roman" w:cs="Times New Roman"/>
          <w:sz w:val="20"/>
          <w:szCs w:val="20"/>
        </w:rPr>
        <w:t>subrule</w:t>
      </w:r>
      <w:proofErr w:type="spellEnd"/>
      <w:r>
        <w:rPr>
          <w:rFonts w:ascii="Times New Roman" w:hAnsi="Times New Roman" w:cs="Times New Roman"/>
          <w:sz w:val="20"/>
          <w:szCs w:val="20"/>
        </w:rPr>
        <w:t xml:space="preserve"> it is now well established that the provisions thereof are peremptory and that the grounds of appeal are required, </w:t>
      </w:r>
      <w:r>
        <w:rPr>
          <w:rFonts w:ascii="Times New Roman" w:hAnsi="Times New Roman" w:cs="Times New Roman"/>
          <w:i/>
          <w:iCs/>
          <w:sz w:val="20"/>
          <w:szCs w:val="20"/>
        </w:rPr>
        <w:t>inter alia</w:t>
      </w:r>
      <w:r>
        <w:rPr>
          <w:rFonts w:ascii="Times New Roman" w:hAnsi="Times New Roman" w:cs="Times New Roman"/>
          <w:sz w:val="20"/>
          <w:szCs w:val="20"/>
        </w:rPr>
        <w:t>, to give the respondent an opportunity of abandoning the judgment, to inform the respo</w:t>
      </w:r>
      <w:r>
        <w:rPr>
          <w:rFonts w:ascii="Times New Roman" w:hAnsi="Times New Roman" w:cs="Times New Roman"/>
          <w:sz w:val="20"/>
          <w:szCs w:val="20"/>
        </w:rPr>
        <w:t xml:space="preserve">ndent of the case he has to meet and to notify the Court of the points to be raised. Accordingly, insofar as Rule 49 (3) is concerned, </w:t>
      </w:r>
      <w:r>
        <w:rPr>
          <w:rFonts w:ascii="Times New Roman" w:hAnsi="Times New Roman" w:cs="Times New Roman"/>
          <w:sz w:val="20"/>
          <w:szCs w:val="20"/>
          <w:u w:val="single"/>
        </w:rPr>
        <w:t>it has been held that grounds of appeal are bad if they are so widely expressed that it leaves  the appellant free to can</w:t>
      </w:r>
      <w:r>
        <w:rPr>
          <w:rFonts w:ascii="Times New Roman" w:hAnsi="Times New Roman" w:cs="Times New Roman"/>
          <w:sz w:val="20"/>
          <w:szCs w:val="20"/>
          <w:u w:val="single"/>
        </w:rPr>
        <w:t>vass every finding of fact and every ruling of the law made by the court a quo, or if they specify the findings of fact or rulings of law appealed against so vaguely as to be of no value either to the Court or to the respondent, or if they, in general, fai</w:t>
      </w:r>
      <w:r>
        <w:rPr>
          <w:rFonts w:ascii="Times New Roman" w:hAnsi="Times New Roman" w:cs="Times New Roman"/>
          <w:sz w:val="20"/>
          <w:szCs w:val="20"/>
          <w:u w:val="single"/>
        </w:rPr>
        <w:t xml:space="preserve">l to specify clearly and in unambiguous terms exactly what case the respondent must be prepared to meet – see, for example, </w:t>
      </w:r>
      <w:r>
        <w:rPr>
          <w:rFonts w:ascii="Times New Roman" w:hAnsi="Times New Roman" w:cs="Times New Roman"/>
          <w:i/>
          <w:iCs/>
          <w:sz w:val="20"/>
          <w:szCs w:val="20"/>
          <w:u w:val="single"/>
        </w:rPr>
        <w:t xml:space="preserve">Harvey </w:t>
      </w:r>
      <w:r>
        <w:rPr>
          <w:rFonts w:ascii="Times New Roman" w:hAnsi="Times New Roman" w:cs="Times New Roman"/>
          <w:sz w:val="20"/>
          <w:szCs w:val="20"/>
          <w:u w:val="single"/>
        </w:rPr>
        <w:t>v</w:t>
      </w:r>
      <w:r>
        <w:rPr>
          <w:rFonts w:ascii="Times New Roman" w:hAnsi="Times New Roman" w:cs="Times New Roman"/>
          <w:i/>
          <w:iCs/>
          <w:sz w:val="20"/>
          <w:szCs w:val="20"/>
          <w:u w:val="single"/>
        </w:rPr>
        <w:t xml:space="preserve"> Brown</w:t>
      </w:r>
      <w:r>
        <w:rPr>
          <w:rFonts w:ascii="Times New Roman" w:hAnsi="Times New Roman" w:cs="Times New Roman"/>
          <w:sz w:val="20"/>
          <w:szCs w:val="20"/>
          <w:u w:val="single"/>
        </w:rPr>
        <w:t xml:space="preserve"> 1964 (3) SA 381 (E)at 383; </w:t>
      </w:r>
      <w:r>
        <w:rPr>
          <w:rFonts w:ascii="Times New Roman" w:hAnsi="Times New Roman" w:cs="Times New Roman"/>
          <w:i/>
          <w:iCs/>
          <w:sz w:val="20"/>
          <w:szCs w:val="20"/>
          <w:u w:val="single"/>
        </w:rPr>
        <w:t xml:space="preserve">Kilian </w:t>
      </w:r>
      <w:r>
        <w:rPr>
          <w:rFonts w:ascii="Times New Roman" w:hAnsi="Times New Roman" w:cs="Times New Roman"/>
          <w:sz w:val="20"/>
          <w:szCs w:val="20"/>
          <w:u w:val="single"/>
        </w:rPr>
        <w:t>v</w:t>
      </w:r>
      <w:r>
        <w:rPr>
          <w:rFonts w:ascii="Times New Roman" w:hAnsi="Times New Roman" w:cs="Times New Roman"/>
          <w:i/>
          <w:iCs/>
          <w:sz w:val="20"/>
          <w:szCs w:val="20"/>
          <w:u w:val="single"/>
        </w:rPr>
        <w:t xml:space="preserve"> </w:t>
      </w:r>
      <w:proofErr w:type="spellStart"/>
      <w:r>
        <w:rPr>
          <w:rFonts w:ascii="Times New Roman" w:hAnsi="Times New Roman" w:cs="Times New Roman"/>
          <w:i/>
          <w:iCs/>
          <w:sz w:val="20"/>
          <w:szCs w:val="20"/>
          <w:u w:val="single"/>
        </w:rPr>
        <w:t>Geregsbode</w:t>
      </w:r>
      <w:proofErr w:type="spellEnd"/>
      <w:r>
        <w:rPr>
          <w:rFonts w:ascii="Times New Roman" w:hAnsi="Times New Roman" w:cs="Times New Roman"/>
          <w:i/>
          <w:iCs/>
          <w:sz w:val="20"/>
          <w:szCs w:val="20"/>
          <w:u w:val="single"/>
        </w:rPr>
        <w:t xml:space="preserve">, </w:t>
      </w:r>
      <w:proofErr w:type="spellStart"/>
      <w:r>
        <w:rPr>
          <w:rFonts w:ascii="Times New Roman" w:hAnsi="Times New Roman" w:cs="Times New Roman"/>
          <w:i/>
          <w:iCs/>
          <w:sz w:val="20"/>
          <w:szCs w:val="20"/>
          <w:u w:val="single"/>
        </w:rPr>
        <w:t>Uitenhange</w:t>
      </w:r>
      <w:proofErr w:type="spellEnd"/>
      <w:r>
        <w:rPr>
          <w:rFonts w:ascii="Times New Roman" w:hAnsi="Times New Roman" w:cs="Times New Roman"/>
          <w:sz w:val="20"/>
          <w:szCs w:val="20"/>
          <w:u w:val="single"/>
        </w:rPr>
        <w:t xml:space="preserve"> 1980 (1) SA 808 (A) at 815 and Erasmus </w:t>
      </w:r>
      <w:r>
        <w:rPr>
          <w:rFonts w:ascii="Times New Roman" w:hAnsi="Times New Roman" w:cs="Times New Roman"/>
          <w:i/>
          <w:iCs/>
          <w:sz w:val="20"/>
          <w:szCs w:val="20"/>
          <w:u w:val="single"/>
        </w:rPr>
        <w:t>Superior Court Prac</w:t>
      </w:r>
      <w:r>
        <w:rPr>
          <w:rFonts w:ascii="Times New Roman" w:hAnsi="Times New Roman" w:cs="Times New Roman"/>
          <w:i/>
          <w:iCs/>
          <w:sz w:val="20"/>
          <w:szCs w:val="20"/>
          <w:u w:val="single"/>
        </w:rPr>
        <w:t>tice</w:t>
      </w:r>
      <w:r>
        <w:rPr>
          <w:rFonts w:ascii="Times New Roman" w:hAnsi="Times New Roman" w:cs="Times New Roman"/>
          <w:sz w:val="20"/>
          <w:szCs w:val="20"/>
          <w:u w:val="single"/>
        </w:rPr>
        <w:t xml:space="preserve"> B1-356-357 and the various authorities there cited</w:t>
      </w:r>
      <w:r>
        <w:rPr>
          <w:rFonts w:ascii="Times New Roman" w:hAnsi="Times New Roman" w:cs="Times New Roman"/>
          <w:sz w:val="24"/>
          <w:szCs w:val="24"/>
          <w:u w:val="single"/>
        </w:rPr>
        <w:t>.</w:t>
      </w:r>
    </w:p>
    <w:p w:rsidR="00DA28BE" w:rsidRDefault="0002175D">
      <w:pPr>
        <w:spacing w:after="0" w:line="240" w:lineRule="auto"/>
        <w:ind w:left="720"/>
        <w:jc w:val="both"/>
        <w:rPr>
          <w:rFonts w:ascii="Times New Roman" w:hAnsi="Times New Roman" w:cs="Times New Roman"/>
        </w:rPr>
      </w:pPr>
      <w:r>
        <w:rPr>
          <w:rFonts w:ascii="Times New Roman" w:hAnsi="Times New Roman" w:cs="Times New Roman"/>
        </w:rPr>
        <w:t>It seems to me that, by a parity of reasoning, the grounds of appeal required under Rule 49 (1) (b) must similarly be clearly and succinctly set out in clear and unambiguous terms so as to enable the</w:t>
      </w:r>
      <w:r>
        <w:rPr>
          <w:rFonts w:ascii="Times New Roman" w:hAnsi="Times New Roman" w:cs="Times New Roman"/>
        </w:rPr>
        <w:t xml:space="preserve"> court and the respondent to be fully and properly informed of the case which the applicant seeks to make out and which the respondent is to meet in opposing the application for leave to appeal. Just as Rule 49 (3) is peremptory in that regard, Rule 49 (1)</w:t>
      </w:r>
      <w:r>
        <w:rPr>
          <w:rFonts w:ascii="Times New Roman" w:hAnsi="Times New Roman" w:cs="Times New Roman"/>
        </w:rPr>
        <w:t xml:space="preserve"> (b) must also be regarded as being peremptory. In my view, the lengthy and rambling notice of appeal filed in </w:t>
      </w:r>
      <w:proofErr w:type="spellStart"/>
      <w:r>
        <w:rPr>
          <w:rFonts w:ascii="Times New Roman" w:hAnsi="Times New Roman" w:cs="Times New Roman"/>
          <w:i/>
          <w:iCs/>
        </w:rPr>
        <w:t>casu</w:t>
      </w:r>
      <w:proofErr w:type="spellEnd"/>
      <w:r>
        <w:rPr>
          <w:rFonts w:ascii="Times New Roman" w:hAnsi="Times New Roman" w:cs="Times New Roman"/>
        </w:rPr>
        <w:t xml:space="preserve"> falls woefully short of what was required. Mr </w:t>
      </w:r>
      <w:proofErr w:type="spellStart"/>
      <w:r>
        <w:rPr>
          <w:rFonts w:ascii="Times New Roman" w:hAnsi="Times New Roman" w:cs="Times New Roman"/>
          <w:i/>
          <w:iCs/>
        </w:rPr>
        <w:t>Bursey</w:t>
      </w:r>
      <w:proofErr w:type="spellEnd"/>
      <w:r>
        <w:rPr>
          <w:rFonts w:ascii="Times New Roman" w:hAnsi="Times New Roman" w:cs="Times New Roman"/>
        </w:rPr>
        <w:t xml:space="preserve"> suggested that grounds of appeal could be gleaned from the notice, but that is not the point – the point is that the notice must clearly set out the grounds, and it is not for the Court to have to analyse a lengthy document in an attempt to establish what</w:t>
      </w:r>
      <w:r>
        <w:rPr>
          <w:rFonts w:ascii="Times New Roman" w:hAnsi="Times New Roman" w:cs="Times New Roman"/>
        </w:rPr>
        <w:t xml:space="preserve"> grounds the applicant intended to rely upon but did not clearly set out. On this basis alone, the application seems to me to be fatally defective and must be dismissed.”   </w:t>
      </w:r>
    </w:p>
    <w:p w:rsidR="00DA28BE" w:rsidRDefault="0002175D">
      <w:pPr>
        <w:spacing w:after="0" w:line="240" w:lineRule="auto"/>
        <w:ind w:left="720"/>
        <w:jc w:val="both"/>
        <w:rPr>
          <w:rFonts w:ascii="Times New Roman" w:hAnsi="Times New Roman" w:cs="Times New Roman"/>
        </w:rPr>
      </w:pPr>
      <w:r>
        <w:rPr>
          <w:rFonts w:ascii="Times New Roman" w:hAnsi="Times New Roman" w:cs="Times New Roman"/>
        </w:rPr>
        <w:t>(The emphasis is mine)”</w:t>
      </w:r>
    </w:p>
    <w:p w:rsidR="00DA28BE" w:rsidRDefault="00DA28BE">
      <w:pPr>
        <w:spacing w:after="0" w:line="240" w:lineRule="auto"/>
        <w:ind w:left="720"/>
        <w:jc w:val="both"/>
        <w:rPr>
          <w:rFonts w:ascii="Times New Roman" w:hAnsi="Times New Roman" w:cs="Times New Roman"/>
          <w:sz w:val="24"/>
          <w:szCs w:val="24"/>
        </w:rPr>
      </w:pP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jurisprudence coming out of this jurisdiction establi</w:t>
      </w:r>
      <w:r>
        <w:rPr>
          <w:rFonts w:ascii="Times New Roman" w:hAnsi="Times New Roman" w:cs="Times New Roman"/>
          <w:sz w:val="24"/>
          <w:szCs w:val="24"/>
        </w:rPr>
        <w:t xml:space="preserve">shes that a ground of appeal must be specific as to which finding of fact or ruling of law made by the </w:t>
      </w:r>
      <w:r>
        <w:rPr>
          <w:rFonts w:ascii="Times New Roman" w:hAnsi="Times New Roman" w:cs="Times New Roman"/>
          <w:i/>
          <w:sz w:val="24"/>
          <w:szCs w:val="24"/>
        </w:rPr>
        <w:t>court a quo</w:t>
      </w:r>
      <w:r>
        <w:rPr>
          <w:rFonts w:ascii="Times New Roman" w:hAnsi="Times New Roman" w:cs="Times New Roman"/>
          <w:sz w:val="24"/>
          <w:szCs w:val="24"/>
        </w:rPr>
        <w:t xml:space="preserve"> is being appealed against. Grounds of appeal will be bad if they are expressed widely, such that they leave the appellant free to canvass eve</w:t>
      </w:r>
      <w:r>
        <w:rPr>
          <w:rFonts w:ascii="Times New Roman" w:hAnsi="Times New Roman" w:cs="Times New Roman"/>
          <w:sz w:val="24"/>
          <w:szCs w:val="24"/>
        </w:rPr>
        <w:t xml:space="preserve">ry finding of fact and every ruling of law made by the court </w:t>
      </w:r>
      <w:r>
        <w:rPr>
          <w:rFonts w:ascii="Times New Roman" w:hAnsi="Times New Roman" w:cs="Times New Roman"/>
          <w:i/>
          <w:sz w:val="24"/>
          <w:szCs w:val="24"/>
        </w:rPr>
        <w:t>a quo</w:t>
      </w:r>
      <w:r>
        <w:rPr>
          <w:rFonts w:ascii="Times New Roman" w:hAnsi="Times New Roman" w:cs="Times New Roman"/>
          <w:sz w:val="24"/>
          <w:szCs w:val="24"/>
        </w:rPr>
        <w:t xml:space="preserve">.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iCs/>
          <w:sz w:val="24"/>
          <w:szCs w:val="24"/>
        </w:rPr>
        <w:t>casu</w:t>
      </w:r>
      <w:proofErr w:type="spellEnd"/>
      <w:r>
        <w:rPr>
          <w:rFonts w:ascii="Times New Roman" w:hAnsi="Times New Roman" w:cs="Times New Roman"/>
          <w:sz w:val="24"/>
          <w:szCs w:val="24"/>
        </w:rPr>
        <w:t>, the ground of appeal deemed offensive reads as follows: -</w:t>
      </w:r>
    </w:p>
    <w:p w:rsidR="00DA28BE" w:rsidRDefault="0002175D">
      <w:pPr>
        <w:pStyle w:val="ListParagraph"/>
        <w:spacing w:line="240" w:lineRule="auto"/>
        <w:jc w:val="both"/>
        <w:rPr>
          <w:rFonts w:ascii="Times New Roman" w:hAnsi="Times New Roman" w:cs="Times New Roman"/>
        </w:rPr>
      </w:pPr>
      <w:r>
        <w:rPr>
          <w:rFonts w:ascii="Times New Roman" w:hAnsi="Times New Roman" w:cs="Times New Roman"/>
        </w:rPr>
        <w:lastRenderedPageBreak/>
        <w:t>“The court a quo erred improperly exercised its discretion and erred in law by granting the summary judgment application</w:t>
      </w:r>
      <w:r>
        <w:rPr>
          <w:rFonts w:ascii="Times New Roman" w:hAnsi="Times New Roman" w:cs="Times New Roman"/>
        </w:rPr>
        <w:t xml:space="preserve"> when the Appellants had managed to prove an arguable defence. The court </w:t>
      </w:r>
      <w:r>
        <w:rPr>
          <w:rFonts w:ascii="Times New Roman" w:hAnsi="Times New Roman" w:cs="Times New Roman"/>
          <w:i/>
          <w:iCs/>
        </w:rPr>
        <w:t>a quo’</w:t>
      </w:r>
      <w:r>
        <w:rPr>
          <w:rFonts w:ascii="Times New Roman" w:hAnsi="Times New Roman" w:cs="Times New Roman"/>
        </w:rPr>
        <w:t xml:space="preserve">s decision in that respect is so outrageous in its defiance of logic or common sense that no reasonable court applying its mind to the facts could reach such decision.”  </w:t>
      </w:r>
    </w:p>
    <w:p w:rsidR="00DA28BE" w:rsidRDefault="00DA28BE">
      <w:pPr>
        <w:pStyle w:val="ListParagraph"/>
        <w:spacing w:line="360" w:lineRule="auto"/>
        <w:ind w:left="426"/>
        <w:jc w:val="both"/>
        <w:rPr>
          <w:rFonts w:ascii="Times New Roman" w:hAnsi="Times New Roman" w:cs="Times New Roman"/>
          <w:sz w:val="24"/>
          <w:szCs w:val="24"/>
        </w:rPr>
      </w:pP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One f</w:t>
      </w:r>
      <w:r>
        <w:rPr>
          <w:rFonts w:ascii="Times New Roman" w:hAnsi="Times New Roman" w:cs="Times New Roman"/>
          <w:sz w:val="24"/>
          <w:szCs w:val="24"/>
        </w:rPr>
        <w:t xml:space="preserve">ails to make sense of the first sentence of this ground of appeal. However, it would appear that the appellants are attacking the court </w:t>
      </w:r>
      <w:r>
        <w:rPr>
          <w:rFonts w:ascii="Times New Roman" w:hAnsi="Times New Roman" w:cs="Times New Roman"/>
          <w:i/>
          <w:iCs/>
          <w:sz w:val="24"/>
          <w:szCs w:val="24"/>
        </w:rPr>
        <w:t>a quo’</w:t>
      </w:r>
      <w:r>
        <w:rPr>
          <w:rFonts w:ascii="Times New Roman" w:hAnsi="Times New Roman" w:cs="Times New Roman"/>
          <w:sz w:val="24"/>
          <w:szCs w:val="24"/>
        </w:rPr>
        <w:t xml:space="preserve">s exercise of discretion as well as the court </w:t>
      </w:r>
      <w:r>
        <w:rPr>
          <w:rFonts w:ascii="Times New Roman" w:hAnsi="Times New Roman" w:cs="Times New Roman"/>
          <w:i/>
          <w:sz w:val="24"/>
          <w:szCs w:val="24"/>
        </w:rPr>
        <w:t xml:space="preserve">a quo’s </w:t>
      </w:r>
      <w:r>
        <w:rPr>
          <w:rFonts w:ascii="Times New Roman" w:hAnsi="Times New Roman" w:cs="Times New Roman"/>
          <w:sz w:val="24"/>
          <w:szCs w:val="24"/>
        </w:rPr>
        <w:t xml:space="preserve">finding of granting summary judgment in circumstances where </w:t>
      </w:r>
      <w:r>
        <w:rPr>
          <w:rFonts w:ascii="Times New Roman" w:hAnsi="Times New Roman" w:cs="Times New Roman"/>
          <w:sz w:val="24"/>
          <w:szCs w:val="24"/>
        </w:rPr>
        <w:t xml:space="preserve">the appellants are of the view that they had an arguable case.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Therein </w:t>
      </w:r>
      <w:proofErr w:type="gramStart"/>
      <w:r>
        <w:rPr>
          <w:rFonts w:ascii="Times New Roman" w:hAnsi="Times New Roman" w:cs="Times New Roman"/>
          <w:sz w:val="24"/>
          <w:szCs w:val="24"/>
        </w:rPr>
        <w:t>lies</w:t>
      </w:r>
      <w:proofErr w:type="gramEnd"/>
      <w:r>
        <w:rPr>
          <w:rFonts w:ascii="Times New Roman" w:hAnsi="Times New Roman" w:cs="Times New Roman"/>
          <w:sz w:val="24"/>
          <w:szCs w:val="24"/>
        </w:rPr>
        <w:t xml:space="preserve"> the problem. For the appellants to simply state that they had an arguable case in the court </w:t>
      </w:r>
      <w:r>
        <w:rPr>
          <w:rFonts w:ascii="Times New Roman" w:hAnsi="Times New Roman" w:cs="Times New Roman"/>
          <w:i/>
          <w:sz w:val="24"/>
          <w:szCs w:val="24"/>
        </w:rPr>
        <w:t>a quo</w:t>
      </w:r>
      <w:r>
        <w:rPr>
          <w:rFonts w:ascii="Times New Roman" w:hAnsi="Times New Roman" w:cs="Times New Roman"/>
          <w:sz w:val="24"/>
          <w:szCs w:val="24"/>
        </w:rPr>
        <w:t xml:space="preserve"> without stating what exactly was arguable would inevitably place the court in a p</w:t>
      </w:r>
      <w:r>
        <w:rPr>
          <w:rFonts w:ascii="Times New Roman" w:hAnsi="Times New Roman" w:cs="Times New Roman"/>
          <w:sz w:val="24"/>
          <w:szCs w:val="24"/>
        </w:rPr>
        <w:t xml:space="preserve">osition where it would have to sift through the record and identify what exactly was presented before the court </w:t>
      </w:r>
      <w:r>
        <w:rPr>
          <w:rFonts w:ascii="Times New Roman" w:hAnsi="Times New Roman" w:cs="Times New Roman"/>
          <w:i/>
          <w:sz w:val="24"/>
          <w:szCs w:val="24"/>
        </w:rPr>
        <w:t>a quo</w:t>
      </w:r>
      <w:r>
        <w:rPr>
          <w:rFonts w:ascii="Times New Roman" w:hAnsi="Times New Roman" w:cs="Times New Roman"/>
          <w:sz w:val="24"/>
          <w:szCs w:val="24"/>
        </w:rPr>
        <w:t xml:space="preserve"> that can be termed as being arguable. I make these remarks conscious of the fact that the matter before the court </w:t>
      </w:r>
      <w:r>
        <w:rPr>
          <w:rFonts w:ascii="Times New Roman" w:hAnsi="Times New Roman" w:cs="Times New Roman"/>
          <w:i/>
          <w:sz w:val="24"/>
          <w:szCs w:val="24"/>
        </w:rPr>
        <w:t>a quo</w:t>
      </w:r>
      <w:r>
        <w:rPr>
          <w:rFonts w:ascii="Times New Roman" w:hAnsi="Times New Roman" w:cs="Times New Roman"/>
          <w:sz w:val="24"/>
          <w:szCs w:val="24"/>
        </w:rPr>
        <w:t xml:space="preserve"> was one for evicti</w:t>
      </w:r>
      <w:r>
        <w:rPr>
          <w:rFonts w:ascii="Times New Roman" w:hAnsi="Times New Roman" w:cs="Times New Roman"/>
          <w:sz w:val="24"/>
          <w:szCs w:val="24"/>
        </w:rPr>
        <w:t xml:space="preserve">on, which is based on the principle of </w:t>
      </w:r>
      <w:r>
        <w:rPr>
          <w:rFonts w:ascii="Times New Roman" w:hAnsi="Times New Roman" w:cs="Times New Roman"/>
          <w:i/>
          <w:sz w:val="24"/>
          <w:szCs w:val="24"/>
        </w:rPr>
        <w:t xml:space="preserve">rei </w:t>
      </w:r>
      <w:proofErr w:type="spellStart"/>
      <w:r>
        <w:rPr>
          <w:rFonts w:ascii="Times New Roman" w:hAnsi="Times New Roman" w:cs="Times New Roman"/>
          <w:i/>
          <w:sz w:val="24"/>
          <w:szCs w:val="24"/>
        </w:rPr>
        <w:t>vindicatio</w:t>
      </w:r>
      <w:proofErr w:type="spellEnd"/>
      <w:r>
        <w:rPr>
          <w:rFonts w:ascii="Times New Roman" w:hAnsi="Times New Roman" w:cs="Times New Roman"/>
          <w:sz w:val="24"/>
          <w:szCs w:val="24"/>
        </w:rPr>
        <w:t xml:space="preserve">. As correctly pointed out by the respondent’s counsel, a claim for </w:t>
      </w:r>
      <w:r>
        <w:rPr>
          <w:rFonts w:ascii="Times New Roman" w:hAnsi="Times New Roman" w:cs="Times New Roman"/>
          <w:i/>
          <w:sz w:val="24"/>
          <w:szCs w:val="24"/>
        </w:rPr>
        <w:t xml:space="preserve">rei </w:t>
      </w:r>
      <w:proofErr w:type="spellStart"/>
      <w:r>
        <w:rPr>
          <w:rFonts w:ascii="Times New Roman" w:hAnsi="Times New Roman" w:cs="Times New Roman"/>
          <w:i/>
          <w:sz w:val="24"/>
          <w:szCs w:val="24"/>
        </w:rPr>
        <w:t>vindicatio</w:t>
      </w:r>
      <w:proofErr w:type="spellEnd"/>
      <w:r>
        <w:rPr>
          <w:rFonts w:ascii="Times New Roman" w:hAnsi="Times New Roman" w:cs="Times New Roman"/>
          <w:sz w:val="24"/>
          <w:szCs w:val="24"/>
        </w:rPr>
        <w:t xml:space="preserve"> is open to four defences. The case of </w:t>
      </w:r>
      <w:r>
        <w:rPr>
          <w:rFonts w:ascii="Times New Roman" w:hAnsi="Times New Roman" w:cs="Times New Roman"/>
          <w:i/>
          <w:sz w:val="24"/>
          <w:szCs w:val="24"/>
          <w:lang w:val="en-US"/>
        </w:rPr>
        <w:t xml:space="preserve">January </w:t>
      </w:r>
      <w:r>
        <w:rPr>
          <w:rFonts w:ascii="Times New Roman" w:hAnsi="Times New Roman" w:cs="Times New Roman"/>
          <w:sz w:val="24"/>
          <w:szCs w:val="24"/>
          <w:lang w:val="en-US"/>
        </w:rPr>
        <w:t>v</w:t>
      </w: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Maferefu</w:t>
      </w:r>
      <w:proofErr w:type="spellEnd"/>
      <w:r>
        <w:rPr>
          <w:rFonts w:ascii="Times New Roman" w:hAnsi="Times New Roman" w:cs="Times New Roman"/>
          <w:sz w:val="24"/>
          <w:szCs w:val="24"/>
          <w:lang w:val="en-US"/>
        </w:rPr>
        <w:t xml:space="preserve"> SC-14-20, lays out on p7 of the cyclostyled judgment the </w:t>
      </w:r>
      <w:proofErr w:type="spellStart"/>
      <w:r>
        <w:rPr>
          <w:rFonts w:ascii="Times New Roman" w:hAnsi="Times New Roman" w:cs="Times New Roman"/>
          <w:sz w:val="24"/>
          <w:szCs w:val="24"/>
          <w:lang w:val="en-US"/>
        </w:rPr>
        <w:t>defenc</w:t>
      </w:r>
      <w:r>
        <w:rPr>
          <w:rFonts w:ascii="Times New Roman" w:hAnsi="Times New Roman" w:cs="Times New Roman"/>
          <w:sz w:val="24"/>
          <w:szCs w:val="24"/>
          <w:lang w:val="en-US"/>
        </w:rPr>
        <w:t>es</w:t>
      </w:r>
      <w:proofErr w:type="spellEnd"/>
      <w:r>
        <w:rPr>
          <w:rFonts w:ascii="Times New Roman" w:hAnsi="Times New Roman" w:cs="Times New Roman"/>
          <w:sz w:val="24"/>
          <w:szCs w:val="24"/>
          <w:lang w:val="en-US"/>
        </w:rPr>
        <w:t xml:space="preserve"> available for a claim of </w:t>
      </w:r>
      <w:r>
        <w:rPr>
          <w:rFonts w:ascii="Times New Roman" w:hAnsi="Times New Roman" w:cs="Times New Roman"/>
          <w:i/>
          <w:sz w:val="24"/>
          <w:szCs w:val="24"/>
          <w:lang w:val="en-US"/>
        </w:rPr>
        <w:t xml:space="preserve">rei </w:t>
      </w:r>
      <w:proofErr w:type="spellStart"/>
      <w:r>
        <w:rPr>
          <w:rFonts w:ascii="Times New Roman" w:hAnsi="Times New Roman" w:cs="Times New Roman"/>
          <w:i/>
          <w:sz w:val="24"/>
          <w:szCs w:val="24"/>
          <w:lang w:val="en-US"/>
        </w:rPr>
        <w:t>vindicatio</w:t>
      </w:r>
      <w:proofErr w:type="spellEnd"/>
      <w:r>
        <w:rPr>
          <w:rFonts w:ascii="Times New Roman" w:hAnsi="Times New Roman" w:cs="Times New Roman"/>
          <w:sz w:val="24"/>
          <w:szCs w:val="24"/>
          <w:lang w:val="en-US"/>
        </w:rPr>
        <w:t xml:space="preserve"> in the following terms:</w:t>
      </w:r>
    </w:p>
    <w:p w:rsidR="00DA28BE" w:rsidRDefault="0002175D">
      <w:pPr>
        <w:spacing w:after="0" w:line="240" w:lineRule="auto"/>
        <w:ind w:left="1003"/>
        <w:jc w:val="both"/>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“There are basically four main </w:t>
      </w:r>
      <w:proofErr w:type="spellStart"/>
      <w:r>
        <w:rPr>
          <w:rFonts w:ascii="Times New Roman" w:eastAsia="Calibri" w:hAnsi="Times New Roman" w:cs="Times New Roman"/>
          <w:szCs w:val="24"/>
          <w:lang w:val="en-US"/>
        </w:rPr>
        <w:t>defences</w:t>
      </w:r>
      <w:proofErr w:type="spellEnd"/>
      <w:r>
        <w:rPr>
          <w:rFonts w:ascii="Times New Roman" w:eastAsia="Calibri" w:hAnsi="Times New Roman" w:cs="Times New Roman"/>
          <w:szCs w:val="24"/>
          <w:lang w:val="en-US"/>
        </w:rPr>
        <w:t xml:space="preserve"> to a claim of </w:t>
      </w:r>
      <w:r>
        <w:rPr>
          <w:rFonts w:ascii="Times New Roman" w:eastAsia="Calibri" w:hAnsi="Times New Roman" w:cs="Times New Roman"/>
          <w:i/>
          <w:szCs w:val="24"/>
          <w:lang w:val="en-US"/>
        </w:rPr>
        <w:t xml:space="preserve">rei </w:t>
      </w:r>
      <w:proofErr w:type="spellStart"/>
      <w:r>
        <w:rPr>
          <w:rFonts w:ascii="Times New Roman" w:eastAsia="Calibri" w:hAnsi="Times New Roman" w:cs="Times New Roman"/>
          <w:i/>
          <w:szCs w:val="24"/>
          <w:lang w:val="en-US"/>
        </w:rPr>
        <w:t>vindicatio</w:t>
      </w:r>
      <w:proofErr w:type="spellEnd"/>
      <w:r>
        <w:rPr>
          <w:rFonts w:ascii="Times New Roman" w:eastAsia="Calibri" w:hAnsi="Times New Roman" w:cs="Times New Roman"/>
          <w:szCs w:val="24"/>
          <w:lang w:val="en-US"/>
        </w:rPr>
        <w:t xml:space="preserve"> which are: </w:t>
      </w:r>
    </w:p>
    <w:p w:rsidR="00DA28BE" w:rsidRDefault="0002175D">
      <w:pPr>
        <w:numPr>
          <w:ilvl w:val="0"/>
          <w:numId w:val="5"/>
        </w:numPr>
        <w:spacing w:after="0" w:line="240" w:lineRule="auto"/>
        <w:ind w:left="1570" w:hanging="284"/>
        <w:jc w:val="both"/>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   </w:t>
      </w:r>
      <w:proofErr w:type="gramStart"/>
      <w:r>
        <w:rPr>
          <w:rFonts w:ascii="Times New Roman" w:eastAsia="Calibri" w:hAnsi="Times New Roman" w:cs="Times New Roman"/>
          <w:szCs w:val="24"/>
          <w:lang w:val="en-US"/>
        </w:rPr>
        <w:t>that</w:t>
      </w:r>
      <w:proofErr w:type="gramEnd"/>
      <w:r>
        <w:rPr>
          <w:rFonts w:ascii="Times New Roman" w:eastAsia="Calibri" w:hAnsi="Times New Roman" w:cs="Times New Roman"/>
          <w:szCs w:val="24"/>
          <w:lang w:val="en-US"/>
        </w:rPr>
        <w:t xml:space="preserve"> the applicant is not the owner of the property in question.</w:t>
      </w:r>
    </w:p>
    <w:p w:rsidR="00DA28BE" w:rsidRDefault="0002175D">
      <w:pPr>
        <w:numPr>
          <w:ilvl w:val="0"/>
          <w:numId w:val="5"/>
        </w:numPr>
        <w:spacing w:after="0" w:line="240" w:lineRule="auto"/>
        <w:ind w:left="1570" w:hanging="284"/>
        <w:jc w:val="both"/>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   that the property in question no longer exists and can no longer be identified</w:t>
      </w:r>
    </w:p>
    <w:p w:rsidR="00DA28BE" w:rsidRDefault="0002175D">
      <w:pPr>
        <w:spacing w:after="0" w:line="240" w:lineRule="auto"/>
        <w:ind w:left="1286"/>
        <w:jc w:val="both"/>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(iii)  </w:t>
      </w:r>
      <w:proofErr w:type="gramStart"/>
      <w:r>
        <w:rPr>
          <w:rFonts w:ascii="Times New Roman" w:eastAsia="Calibri" w:hAnsi="Times New Roman" w:cs="Times New Roman"/>
          <w:szCs w:val="24"/>
          <w:lang w:val="en-US"/>
        </w:rPr>
        <w:t>that</w:t>
      </w:r>
      <w:proofErr w:type="gramEnd"/>
      <w:r>
        <w:rPr>
          <w:rFonts w:ascii="Times New Roman" w:eastAsia="Calibri" w:hAnsi="Times New Roman" w:cs="Times New Roman"/>
          <w:szCs w:val="24"/>
          <w:lang w:val="en-US"/>
        </w:rPr>
        <w:t xml:space="preserve"> the respondent’s possession of such property is lawful</w:t>
      </w:r>
    </w:p>
    <w:p w:rsidR="00DA28BE" w:rsidRDefault="0002175D">
      <w:pPr>
        <w:spacing w:after="0" w:line="240" w:lineRule="auto"/>
        <w:ind w:left="1570" w:hanging="284"/>
        <w:jc w:val="both"/>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(iv)  </w:t>
      </w:r>
      <w:proofErr w:type="gramStart"/>
      <w:r>
        <w:rPr>
          <w:rFonts w:ascii="Times New Roman" w:eastAsia="Calibri" w:hAnsi="Times New Roman" w:cs="Times New Roman"/>
          <w:szCs w:val="24"/>
          <w:lang w:val="en-US"/>
        </w:rPr>
        <w:t>that</w:t>
      </w:r>
      <w:proofErr w:type="gramEnd"/>
      <w:r>
        <w:rPr>
          <w:rFonts w:ascii="Times New Roman" w:eastAsia="Calibri" w:hAnsi="Times New Roman" w:cs="Times New Roman"/>
          <w:szCs w:val="24"/>
          <w:lang w:val="en-US"/>
        </w:rPr>
        <w:t xml:space="preserve"> the respondent is no longer in physical control of the property – See the cases</w:t>
      </w:r>
    </w:p>
    <w:p w:rsidR="00DA28BE" w:rsidRDefault="0002175D">
      <w:pPr>
        <w:spacing w:after="0" w:line="240" w:lineRule="auto"/>
        <w:ind w:left="1570" w:hanging="284"/>
        <w:jc w:val="both"/>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      </w:t>
      </w:r>
      <w:proofErr w:type="gramStart"/>
      <w:r>
        <w:rPr>
          <w:rFonts w:ascii="Times New Roman" w:eastAsia="Calibri" w:hAnsi="Times New Roman" w:cs="Times New Roman"/>
          <w:szCs w:val="24"/>
          <w:lang w:val="en-US"/>
        </w:rPr>
        <w:t>of</w:t>
      </w:r>
      <w:proofErr w:type="gramEnd"/>
      <w:r>
        <w:rPr>
          <w:rFonts w:ascii="Times New Roman" w:eastAsia="Calibri" w:hAnsi="Times New Roman" w:cs="Times New Roman"/>
          <w:szCs w:val="24"/>
          <w:lang w:val="en-US"/>
        </w:rPr>
        <w:t> </w:t>
      </w:r>
      <w:proofErr w:type="spellStart"/>
      <w:r>
        <w:rPr>
          <w:rFonts w:ascii="Times New Roman" w:eastAsia="Calibri" w:hAnsi="Times New Roman" w:cs="Times New Roman"/>
          <w:i/>
          <w:szCs w:val="24"/>
          <w:lang w:val="en-US"/>
        </w:rPr>
        <w:t>Chetty</w:t>
      </w:r>
      <w:proofErr w:type="spellEnd"/>
      <w:r>
        <w:rPr>
          <w:rFonts w:ascii="Times New Roman" w:eastAsia="Calibri" w:hAnsi="Times New Roman" w:cs="Times New Roman"/>
          <w:i/>
          <w:szCs w:val="24"/>
          <w:lang w:val="en-US"/>
        </w:rPr>
        <w:t xml:space="preserve"> </w:t>
      </w:r>
      <w:r>
        <w:rPr>
          <w:rFonts w:ascii="Times New Roman" w:eastAsia="Calibri" w:hAnsi="Times New Roman" w:cs="Times New Roman"/>
          <w:iCs/>
          <w:szCs w:val="24"/>
          <w:lang w:val="en-US"/>
        </w:rPr>
        <w:t>v</w:t>
      </w:r>
      <w:r>
        <w:rPr>
          <w:rFonts w:ascii="Times New Roman" w:eastAsia="Calibri" w:hAnsi="Times New Roman" w:cs="Times New Roman"/>
          <w:i/>
          <w:szCs w:val="24"/>
          <w:lang w:val="en-US"/>
        </w:rPr>
        <w:t xml:space="preserve"> Naidoo</w:t>
      </w:r>
      <w:r>
        <w:rPr>
          <w:rFonts w:ascii="Times New Roman" w:eastAsia="Calibri" w:hAnsi="Times New Roman" w:cs="Times New Roman"/>
          <w:b/>
          <w:szCs w:val="24"/>
          <w:lang w:val="en-US"/>
        </w:rPr>
        <w:t xml:space="preserve"> </w:t>
      </w:r>
      <w:r>
        <w:rPr>
          <w:rFonts w:ascii="Times New Roman" w:eastAsia="Calibri" w:hAnsi="Times New Roman" w:cs="Times New Roman"/>
          <w:i/>
          <w:szCs w:val="24"/>
          <w:lang w:val="en-US"/>
        </w:rPr>
        <w:t>(supra)</w:t>
      </w:r>
      <w:r>
        <w:rPr>
          <w:rStyle w:val="FootnoteReference"/>
          <w:rFonts w:ascii="Times New Roman" w:eastAsia="Calibri" w:hAnsi="Times New Roman" w:cs="Times New Roman"/>
          <w:i/>
          <w:szCs w:val="24"/>
          <w:lang w:val="en-US"/>
        </w:rPr>
        <w:footnoteReference w:id="1"/>
      </w:r>
      <w:r>
        <w:rPr>
          <w:rFonts w:ascii="Times New Roman" w:eastAsia="Calibri" w:hAnsi="Times New Roman" w:cs="Times New Roman"/>
          <w:i/>
          <w:szCs w:val="24"/>
          <w:lang w:val="en-US"/>
        </w:rPr>
        <w:t xml:space="preserve"> and</w:t>
      </w:r>
      <w:r>
        <w:rPr>
          <w:rFonts w:ascii="Times New Roman" w:eastAsia="Calibri" w:hAnsi="Times New Roman" w:cs="Times New Roman"/>
          <w:b/>
          <w:szCs w:val="24"/>
          <w:lang w:val="en-US"/>
        </w:rPr>
        <w:t xml:space="preserve"> </w:t>
      </w:r>
      <w:r>
        <w:rPr>
          <w:rFonts w:ascii="Times New Roman" w:eastAsia="Calibri" w:hAnsi="Times New Roman" w:cs="Times New Roman"/>
          <w:i/>
          <w:szCs w:val="24"/>
          <w:lang w:val="en-US"/>
        </w:rPr>
        <w:t>Residents of Joe </w:t>
      </w:r>
      <w:proofErr w:type="spellStart"/>
      <w:r>
        <w:rPr>
          <w:rFonts w:ascii="Times New Roman" w:eastAsia="Calibri" w:hAnsi="Times New Roman" w:cs="Times New Roman"/>
          <w:i/>
          <w:szCs w:val="24"/>
          <w:lang w:val="en-US"/>
        </w:rPr>
        <w:t>Slovo</w:t>
      </w:r>
      <w:proofErr w:type="spellEnd"/>
      <w:r>
        <w:rPr>
          <w:rFonts w:ascii="Times New Roman" w:eastAsia="Calibri" w:hAnsi="Times New Roman" w:cs="Times New Roman"/>
          <w:i/>
          <w:szCs w:val="24"/>
          <w:lang w:val="en-US"/>
        </w:rPr>
        <w:t xml:space="preserve"> Community </w:t>
      </w:r>
      <w:r>
        <w:rPr>
          <w:rFonts w:ascii="Times New Roman" w:eastAsia="Calibri" w:hAnsi="Times New Roman" w:cs="Times New Roman"/>
          <w:iCs/>
          <w:szCs w:val="24"/>
          <w:lang w:val="en-US"/>
        </w:rPr>
        <w:t>v</w:t>
      </w:r>
      <w:r>
        <w:rPr>
          <w:rFonts w:ascii="Times New Roman" w:eastAsia="Calibri" w:hAnsi="Times New Roman" w:cs="Times New Roman"/>
          <w:i/>
          <w:szCs w:val="24"/>
          <w:lang w:val="en-US"/>
        </w:rPr>
        <w:t xml:space="preserve"> </w:t>
      </w:r>
      <w:proofErr w:type="spellStart"/>
      <w:r>
        <w:rPr>
          <w:rFonts w:ascii="Times New Roman" w:eastAsia="Calibri" w:hAnsi="Times New Roman" w:cs="Times New Roman"/>
          <w:i/>
          <w:szCs w:val="24"/>
          <w:lang w:val="en-US"/>
        </w:rPr>
        <w:t>Thabelisha</w:t>
      </w:r>
      <w:proofErr w:type="spellEnd"/>
      <w:r>
        <w:rPr>
          <w:rFonts w:ascii="Times New Roman" w:eastAsia="Calibri" w:hAnsi="Times New Roman" w:cs="Times New Roman"/>
          <w:i/>
          <w:szCs w:val="24"/>
          <w:lang w:val="en-US"/>
        </w:rPr>
        <w:t xml:space="preserve"> Homes </w:t>
      </w:r>
      <w:r>
        <w:rPr>
          <w:rFonts w:ascii="Times New Roman" w:eastAsia="Calibri" w:hAnsi="Times New Roman" w:cs="Times New Roman"/>
          <w:szCs w:val="24"/>
          <w:lang w:val="en-US"/>
        </w:rPr>
        <w:t>2010 (3) SA 454 (CC).”</w:t>
      </w:r>
    </w:p>
    <w:p w:rsidR="00DA28BE" w:rsidRDefault="00DA28BE">
      <w:pPr>
        <w:spacing w:after="0" w:line="240" w:lineRule="auto"/>
        <w:ind w:left="1570" w:hanging="284"/>
        <w:jc w:val="both"/>
        <w:rPr>
          <w:rFonts w:ascii="Times New Roman" w:eastAsia="Calibri" w:hAnsi="Times New Roman" w:cs="Times New Roman"/>
          <w:i/>
          <w:szCs w:val="24"/>
          <w:lang w:val="en-US"/>
        </w:rPr>
      </w:pP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 take the view that if one is to state that they had an arguable case against a claim for </w:t>
      </w:r>
      <w:r>
        <w:rPr>
          <w:rFonts w:ascii="Times New Roman" w:hAnsi="Times New Roman" w:cs="Times New Roman"/>
          <w:i/>
          <w:sz w:val="24"/>
          <w:szCs w:val="24"/>
        </w:rPr>
        <w:t xml:space="preserve">rei </w:t>
      </w:r>
      <w:proofErr w:type="spellStart"/>
      <w:r>
        <w:rPr>
          <w:rFonts w:ascii="Times New Roman" w:hAnsi="Times New Roman" w:cs="Times New Roman"/>
          <w:i/>
          <w:sz w:val="24"/>
          <w:szCs w:val="24"/>
        </w:rPr>
        <w:t>vindicatio</w:t>
      </w:r>
      <w:proofErr w:type="spellEnd"/>
      <w:r>
        <w:rPr>
          <w:rFonts w:ascii="Times New Roman" w:hAnsi="Times New Roman" w:cs="Times New Roman"/>
          <w:sz w:val="24"/>
          <w:szCs w:val="24"/>
        </w:rPr>
        <w:t>, the expectation would be that one would be making a</w:t>
      </w:r>
      <w:r>
        <w:rPr>
          <w:rFonts w:ascii="Times New Roman" w:hAnsi="Times New Roman" w:cs="Times New Roman"/>
          <w:sz w:val="24"/>
          <w:szCs w:val="24"/>
        </w:rPr>
        <w:t>n argument premised on the above-mentioned four possible defences. The appellant simply states that they had an arguable case in circumstances where four possible defences are in their purview. Consequently, the respondent is put in a position wherein it c</w:t>
      </w:r>
      <w:r>
        <w:rPr>
          <w:rFonts w:ascii="Times New Roman" w:hAnsi="Times New Roman" w:cs="Times New Roman"/>
          <w:sz w:val="24"/>
          <w:szCs w:val="24"/>
        </w:rPr>
        <w:t xml:space="preserve">annot anticipate what case it is supposed to meet or which part of the court </w:t>
      </w:r>
      <w:r>
        <w:rPr>
          <w:rFonts w:ascii="Times New Roman" w:hAnsi="Times New Roman" w:cs="Times New Roman"/>
          <w:i/>
          <w:sz w:val="24"/>
          <w:szCs w:val="24"/>
        </w:rPr>
        <w:t>a quo’s</w:t>
      </w:r>
      <w:r>
        <w:rPr>
          <w:rFonts w:ascii="Times New Roman" w:hAnsi="Times New Roman" w:cs="Times New Roman"/>
          <w:sz w:val="24"/>
          <w:szCs w:val="24"/>
        </w:rPr>
        <w:t xml:space="preserve"> judgment the appellants are attacking.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shortcoming in the first ground of appeal becomes more pronounced if one considers that the court</w:t>
      </w:r>
      <w:r>
        <w:rPr>
          <w:rFonts w:ascii="Times New Roman" w:hAnsi="Times New Roman" w:cs="Times New Roman"/>
          <w:i/>
          <w:sz w:val="24"/>
          <w:szCs w:val="24"/>
        </w:rPr>
        <w:t xml:space="preserve"> a quo </w:t>
      </w:r>
      <w:r>
        <w:rPr>
          <w:rFonts w:ascii="Times New Roman" w:hAnsi="Times New Roman" w:cs="Times New Roman"/>
          <w:sz w:val="24"/>
          <w:szCs w:val="24"/>
        </w:rPr>
        <w:t>made a ruling addressin</w:t>
      </w:r>
      <w:r>
        <w:rPr>
          <w:rFonts w:ascii="Times New Roman" w:hAnsi="Times New Roman" w:cs="Times New Roman"/>
          <w:sz w:val="24"/>
          <w:szCs w:val="24"/>
        </w:rPr>
        <w:t xml:space="preserve">g several points namely that the initial sale of </w:t>
      </w:r>
      <w:r>
        <w:rPr>
          <w:rFonts w:ascii="Times New Roman" w:hAnsi="Times New Roman" w:cs="Times New Roman"/>
          <w:sz w:val="24"/>
          <w:szCs w:val="24"/>
        </w:rPr>
        <w:lastRenderedPageBreak/>
        <w:t xml:space="preserve">the property by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Mutyanda</w:t>
      </w:r>
      <w:proofErr w:type="spellEnd"/>
      <w:r>
        <w:rPr>
          <w:rFonts w:ascii="Times New Roman" w:hAnsi="Times New Roman" w:cs="Times New Roman"/>
          <w:sz w:val="24"/>
          <w:szCs w:val="24"/>
        </w:rPr>
        <w:t xml:space="preserve"> was conducted without the requisite authority to sell it; that an agreement of sale had never been executed between the parties as is mandatory for transactions involving immovabl</w:t>
      </w:r>
      <w:r>
        <w:rPr>
          <w:rFonts w:ascii="Times New Roman" w:hAnsi="Times New Roman" w:cs="Times New Roman"/>
          <w:sz w:val="24"/>
          <w:szCs w:val="24"/>
        </w:rPr>
        <w:t>e property; that no payment was received for the property; that there was no agreement in which the respondent was a party; and that the appellants' defence to the respondent's claim was based on the existence of a second oral agreement of sale for the pro</w:t>
      </w:r>
      <w:r>
        <w:rPr>
          <w:rFonts w:ascii="Times New Roman" w:hAnsi="Times New Roman" w:cs="Times New Roman"/>
          <w:sz w:val="24"/>
          <w:szCs w:val="24"/>
        </w:rPr>
        <w:t xml:space="preserve">perty yet there was no evidence supporting the existence of such an agreement.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It is therefore incompetent for the appellants to merely state that an arguable case was presented in the court </w:t>
      </w:r>
      <w:r>
        <w:rPr>
          <w:rFonts w:ascii="Times New Roman" w:hAnsi="Times New Roman" w:cs="Times New Roman"/>
          <w:i/>
          <w:sz w:val="24"/>
          <w:szCs w:val="24"/>
        </w:rPr>
        <w:t>a quo</w:t>
      </w:r>
      <w:r>
        <w:rPr>
          <w:rFonts w:ascii="Times New Roman" w:hAnsi="Times New Roman" w:cs="Times New Roman"/>
          <w:sz w:val="24"/>
          <w:szCs w:val="24"/>
        </w:rPr>
        <w:t xml:space="preserve">, without adhering to the required degree of specificity.  In my judgment, this would place them in an undesirable position where they are at large to argue every finding of fact and ruling of law made by the court </w:t>
      </w:r>
      <w:r>
        <w:rPr>
          <w:rFonts w:ascii="Times New Roman" w:hAnsi="Times New Roman" w:cs="Times New Roman"/>
          <w:i/>
          <w:sz w:val="24"/>
          <w:szCs w:val="24"/>
        </w:rPr>
        <w:t>a quo</w:t>
      </w:r>
      <w:r>
        <w:rPr>
          <w:rFonts w:ascii="Times New Roman" w:hAnsi="Times New Roman" w:cs="Times New Roman"/>
          <w:sz w:val="24"/>
          <w:szCs w:val="24"/>
        </w:rPr>
        <w:t xml:space="preserve">.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If my reading that the first part</w:t>
      </w:r>
      <w:r>
        <w:rPr>
          <w:rFonts w:ascii="Times New Roman" w:hAnsi="Times New Roman" w:cs="Times New Roman"/>
          <w:sz w:val="24"/>
          <w:szCs w:val="24"/>
        </w:rPr>
        <w:t xml:space="preserve"> of the first ground of appeal relates to an improper exercise of discretion is correct, then that part too would suffer the same fate because it does not clarify how or where the trial court improperly exercised its discretion. It seems to me that this st</w:t>
      </w:r>
      <w:r>
        <w:rPr>
          <w:rFonts w:ascii="Times New Roman" w:hAnsi="Times New Roman" w:cs="Times New Roman"/>
          <w:sz w:val="24"/>
          <w:szCs w:val="24"/>
        </w:rPr>
        <w:t xml:space="preserve">atement, incoherent as it is, has just been made as a matter of fashion. On the authority of </w:t>
      </w:r>
      <w:proofErr w:type="spellStart"/>
      <w:r>
        <w:rPr>
          <w:rFonts w:ascii="Times New Roman" w:hAnsi="Times New Roman" w:cs="Times New Roman"/>
          <w:i/>
          <w:sz w:val="24"/>
          <w:szCs w:val="24"/>
        </w:rPr>
        <w:t>Chikura</w:t>
      </w:r>
      <w:proofErr w:type="spellEnd"/>
      <w:r>
        <w:rPr>
          <w:rFonts w:ascii="Times New Roman" w:hAnsi="Times New Roman" w:cs="Times New Roman"/>
          <w:i/>
          <w:sz w:val="24"/>
          <w:szCs w:val="24"/>
        </w:rPr>
        <w:t xml:space="preserve"> N.O. &amp; Anor supra, </w:t>
      </w:r>
      <w:r>
        <w:rPr>
          <w:rFonts w:ascii="Times New Roman" w:hAnsi="Times New Roman" w:cs="Times New Roman"/>
          <w:sz w:val="24"/>
          <w:szCs w:val="24"/>
        </w:rPr>
        <w:t>the manner in which the first ground of appeal has been crafted cannot be permitted. It is therefore my finding that the first ground of</w:t>
      </w:r>
      <w:r>
        <w:rPr>
          <w:rFonts w:ascii="Times New Roman" w:hAnsi="Times New Roman" w:cs="Times New Roman"/>
          <w:sz w:val="24"/>
          <w:szCs w:val="24"/>
        </w:rPr>
        <w:t xml:space="preserve"> appeal stands to be struck off.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i/>
          <w:sz w:val="24"/>
          <w:szCs w:val="24"/>
        </w:rPr>
        <w:t>Sambaza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Al Shams Global BVI Limited</w:t>
      </w:r>
      <w:r>
        <w:rPr>
          <w:rFonts w:ascii="Times New Roman" w:hAnsi="Times New Roman" w:cs="Times New Roman"/>
          <w:sz w:val="24"/>
          <w:szCs w:val="24"/>
        </w:rPr>
        <w:t xml:space="preserve"> SC3-18 at p </w:t>
      </w:r>
      <w:proofErr w:type="gramStart"/>
      <w:r>
        <w:rPr>
          <w:rFonts w:ascii="Times New Roman" w:hAnsi="Times New Roman" w:cs="Times New Roman"/>
          <w:sz w:val="24"/>
          <w:szCs w:val="24"/>
        </w:rPr>
        <w:t>18,</w:t>
      </w:r>
      <w:proofErr w:type="gramEnd"/>
      <w:r>
        <w:rPr>
          <w:rFonts w:ascii="Times New Roman" w:hAnsi="Times New Roman" w:cs="Times New Roman"/>
          <w:sz w:val="24"/>
          <w:szCs w:val="24"/>
        </w:rPr>
        <w:t xml:space="preserve"> holds that a clear and concise ground of appeal cannot be disregarded because there are other defective grounds of appeal in the same notice of appeal. On this basis, I</w:t>
      </w:r>
      <w:r>
        <w:rPr>
          <w:rFonts w:ascii="Times New Roman" w:hAnsi="Times New Roman" w:cs="Times New Roman"/>
          <w:sz w:val="24"/>
          <w:szCs w:val="24"/>
        </w:rPr>
        <w:t xml:space="preserve"> will therefore proceed to determine the remaining grounds of appeal. </w:t>
      </w:r>
    </w:p>
    <w:p w:rsidR="00DA28BE" w:rsidRDefault="00DA28BE">
      <w:pPr>
        <w:spacing w:line="360" w:lineRule="auto"/>
        <w:jc w:val="both"/>
        <w:rPr>
          <w:rFonts w:ascii="Times New Roman" w:hAnsi="Times New Roman" w:cs="Times New Roman"/>
          <w:i/>
          <w:sz w:val="24"/>
          <w:szCs w:val="24"/>
          <w:u w:val="single"/>
        </w:rPr>
      </w:pPr>
    </w:p>
    <w:p w:rsidR="00DA28BE" w:rsidRDefault="0002175D">
      <w:pPr>
        <w:spacing w:line="360" w:lineRule="auto"/>
        <w:jc w:val="both"/>
        <w:rPr>
          <w:rFonts w:ascii="Times New Roman" w:hAnsi="Times New Roman" w:cs="Times New Roman"/>
          <w:b/>
          <w:bCs/>
          <w:iCs/>
          <w:sz w:val="24"/>
          <w:szCs w:val="24"/>
          <w:u w:val="single"/>
        </w:rPr>
      </w:pPr>
      <w:r>
        <w:rPr>
          <w:rFonts w:ascii="Times New Roman" w:hAnsi="Times New Roman" w:cs="Times New Roman"/>
          <w:b/>
          <w:bCs/>
          <w:iCs/>
          <w:sz w:val="24"/>
          <w:szCs w:val="24"/>
          <w:u w:val="single"/>
        </w:rPr>
        <w:t xml:space="preserve">WHETHER THE COURT A </w:t>
      </w:r>
      <w:r>
        <w:rPr>
          <w:rFonts w:ascii="Times New Roman" w:hAnsi="Times New Roman" w:cs="Times New Roman"/>
          <w:b/>
          <w:bCs/>
          <w:i/>
          <w:sz w:val="24"/>
          <w:szCs w:val="24"/>
          <w:u w:val="single"/>
        </w:rPr>
        <w:t>QUO</w:t>
      </w:r>
      <w:r>
        <w:rPr>
          <w:rFonts w:ascii="Times New Roman" w:hAnsi="Times New Roman" w:cs="Times New Roman"/>
          <w:b/>
          <w:bCs/>
          <w:iCs/>
          <w:sz w:val="24"/>
          <w:szCs w:val="24"/>
          <w:u w:val="single"/>
        </w:rPr>
        <w:t xml:space="preserve"> ERRED IN FAILING TO APPRECIATE THAT THE APPELLANT HAD A RIGHT OF RETENTION TO THE PROPERTY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From my reading of this ground of appeal, the appellants seek to im</w:t>
      </w:r>
      <w:r>
        <w:rPr>
          <w:rFonts w:ascii="Times New Roman" w:hAnsi="Times New Roman" w:cs="Times New Roman"/>
          <w:sz w:val="24"/>
          <w:szCs w:val="24"/>
        </w:rPr>
        <w:t xml:space="preserve">pugn the decision of the court a </w:t>
      </w:r>
      <w:r>
        <w:rPr>
          <w:rFonts w:ascii="Times New Roman" w:hAnsi="Times New Roman" w:cs="Times New Roman"/>
          <w:i/>
          <w:iCs/>
          <w:sz w:val="24"/>
          <w:szCs w:val="24"/>
        </w:rPr>
        <w:t>quo</w:t>
      </w:r>
      <w:r>
        <w:rPr>
          <w:rFonts w:ascii="Times New Roman" w:hAnsi="Times New Roman" w:cs="Times New Roman"/>
          <w:sz w:val="24"/>
          <w:szCs w:val="24"/>
        </w:rPr>
        <w:t xml:space="preserve"> on the basis that it erred and grossly misdirected itself by ‘failing to appreciate’ that the first appellant had a right of retention arising from a verbal agreement of sale of the property, whose terms were establishe</w:t>
      </w:r>
      <w:r>
        <w:rPr>
          <w:rFonts w:ascii="Times New Roman" w:hAnsi="Times New Roman" w:cs="Times New Roman"/>
          <w:sz w:val="24"/>
          <w:szCs w:val="24"/>
        </w:rPr>
        <w:t xml:space="preserve">d and ‘constituting a triable issue’.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I have issues with the wording of this ground of appeal. I have earlier on in this judgment related to O31 r4 (1) (b) of the Magistrates’ Court (Civil) Rules, which speaks </w:t>
      </w:r>
      <w:r>
        <w:rPr>
          <w:rFonts w:ascii="Times New Roman" w:hAnsi="Times New Roman" w:cs="Times New Roman"/>
          <w:sz w:val="24"/>
          <w:szCs w:val="24"/>
        </w:rPr>
        <w:lastRenderedPageBreak/>
        <w:t>to the requirement that the grounds of appea</w:t>
      </w:r>
      <w:r>
        <w:rPr>
          <w:rFonts w:ascii="Times New Roman" w:hAnsi="Times New Roman" w:cs="Times New Roman"/>
          <w:sz w:val="24"/>
          <w:szCs w:val="24"/>
        </w:rPr>
        <w:t xml:space="preserve">l must state concisely and clearly the </w:t>
      </w:r>
      <w:r>
        <w:rPr>
          <w:rFonts w:ascii="Times New Roman" w:hAnsi="Times New Roman" w:cs="Times New Roman"/>
          <w:sz w:val="24"/>
          <w:szCs w:val="24"/>
          <w:u w:val="single"/>
        </w:rPr>
        <w:t>findings of fact</w:t>
      </w:r>
      <w:r>
        <w:rPr>
          <w:rFonts w:ascii="Times New Roman" w:hAnsi="Times New Roman" w:cs="Times New Roman"/>
          <w:sz w:val="24"/>
          <w:szCs w:val="24"/>
        </w:rPr>
        <w:t xml:space="preserve"> or </w:t>
      </w:r>
      <w:r>
        <w:rPr>
          <w:rFonts w:ascii="Times New Roman" w:hAnsi="Times New Roman" w:cs="Times New Roman"/>
          <w:sz w:val="24"/>
          <w:szCs w:val="24"/>
          <w:u w:val="single"/>
        </w:rPr>
        <w:t>rulings of law</w:t>
      </w:r>
      <w:r>
        <w:rPr>
          <w:rFonts w:ascii="Times New Roman" w:hAnsi="Times New Roman" w:cs="Times New Roman"/>
          <w:sz w:val="24"/>
          <w:szCs w:val="24"/>
        </w:rPr>
        <w:t xml:space="preserve"> appealed against. I must state that the wording of this ground of appeal somewhat presents challenges, as it seems to speak to the trial court’s failure to understand or recognise th</w:t>
      </w:r>
      <w:r>
        <w:rPr>
          <w:rFonts w:ascii="Times New Roman" w:hAnsi="Times New Roman" w:cs="Times New Roman"/>
          <w:sz w:val="24"/>
          <w:szCs w:val="24"/>
        </w:rPr>
        <w:t xml:space="preserve">at the appellants had a right of retention.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Be that as it may, </w:t>
      </w:r>
      <w:proofErr w:type="spellStart"/>
      <w:r>
        <w:rPr>
          <w:rFonts w:ascii="Times New Roman" w:hAnsi="Times New Roman" w:cs="Times New Roman"/>
          <w:i/>
          <w:sz w:val="24"/>
          <w:szCs w:val="24"/>
        </w:rPr>
        <w:t>Nexbak</w:t>
      </w:r>
      <w:proofErr w:type="spellEnd"/>
      <w:r>
        <w:rPr>
          <w:rFonts w:ascii="Times New Roman" w:hAnsi="Times New Roman" w:cs="Times New Roman"/>
          <w:i/>
          <w:sz w:val="24"/>
          <w:szCs w:val="24"/>
        </w:rPr>
        <w:t xml:space="preserve"> Investments (Pvt) Ltd &amp; Anor</w:t>
      </w:r>
      <w:r>
        <w:rPr>
          <w:rFonts w:ascii="Times New Roman" w:hAnsi="Times New Roman" w:cs="Times New Roman"/>
          <w:sz w:val="24"/>
          <w:szCs w:val="24"/>
        </w:rPr>
        <w:t xml:space="preserve"> v </w:t>
      </w:r>
      <w:r>
        <w:rPr>
          <w:rFonts w:ascii="Times New Roman" w:hAnsi="Times New Roman" w:cs="Times New Roman"/>
          <w:i/>
          <w:sz w:val="24"/>
          <w:szCs w:val="24"/>
        </w:rPr>
        <w:t>Global Electrical Manufacturers (Pvt) Ltd &amp; Anor</w:t>
      </w:r>
      <w:r>
        <w:rPr>
          <w:rFonts w:ascii="Times New Roman" w:hAnsi="Times New Roman" w:cs="Times New Roman"/>
          <w:sz w:val="24"/>
          <w:szCs w:val="24"/>
        </w:rPr>
        <w:t xml:space="preserve"> 2009 (2) ZLR 270 (S) at 273F-274C sets the circumstances under which the right of retention arises. The </w:t>
      </w:r>
      <w:r>
        <w:rPr>
          <w:rFonts w:ascii="Times New Roman" w:hAnsi="Times New Roman" w:cs="Times New Roman"/>
          <w:sz w:val="24"/>
          <w:szCs w:val="24"/>
        </w:rPr>
        <w:t>court states:</w:t>
      </w:r>
    </w:p>
    <w:p w:rsidR="00DA28BE" w:rsidRDefault="0002175D">
      <w:pPr>
        <w:pStyle w:val="ListParagraph"/>
        <w:spacing w:line="360" w:lineRule="auto"/>
        <w:jc w:val="both"/>
        <w:rPr>
          <w:rFonts w:ascii="Times New Roman" w:hAnsi="Times New Roman" w:cs="Times New Roman"/>
        </w:rPr>
      </w:pPr>
      <w:r>
        <w:rPr>
          <w:rFonts w:ascii="Times New Roman" w:hAnsi="Times New Roman" w:cs="Times New Roman"/>
        </w:rPr>
        <w:t xml:space="preserve">“The circumstances in which a person has the right of retention are clearly set out by Professor R H Christie in </w:t>
      </w:r>
      <w:r>
        <w:rPr>
          <w:rFonts w:ascii="Times New Roman" w:hAnsi="Times New Roman" w:cs="Times New Roman"/>
          <w:i/>
          <w:iCs/>
        </w:rPr>
        <w:t xml:space="preserve">Business Law in Zimbabwe </w:t>
      </w:r>
      <w:r>
        <w:rPr>
          <w:rFonts w:ascii="Times New Roman" w:hAnsi="Times New Roman" w:cs="Times New Roman"/>
        </w:rPr>
        <w:t>at pp 454-455, where the learned author states as follows:</w:t>
      </w:r>
    </w:p>
    <w:p w:rsidR="00DA28BE" w:rsidRDefault="0002175D">
      <w:pPr>
        <w:pStyle w:val="ListParagraph"/>
        <w:spacing w:line="240" w:lineRule="auto"/>
        <w:ind w:left="1440"/>
        <w:jc w:val="both"/>
        <w:rPr>
          <w:rFonts w:ascii="Times New Roman" w:hAnsi="Times New Roman" w:cs="Times New Roman"/>
          <w:sz w:val="20"/>
          <w:szCs w:val="20"/>
        </w:rPr>
      </w:pPr>
      <w:r>
        <w:rPr>
          <w:rFonts w:ascii="Times New Roman" w:hAnsi="Times New Roman" w:cs="Times New Roman"/>
          <w:sz w:val="20"/>
          <w:szCs w:val="20"/>
        </w:rPr>
        <w:t>“A right of retention, or lien, arises by operation of law from the principle that no-one should be unjustly enriched at the expense of another. A person who has incurred expenditure on the property of another, movable or immovable, and who is in possessio</w:t>
      </w:r>
      <w:r>
        <w:rPr>
          <w:rFonts w:ascii="Times New Roman" w:hAnsi="Times New Roman" w:cs="Times New Roman"/>
          <w:sz w:val="20"/>
          <w:szCs w:val="20"/>
        </w:rPr>
        <w:t>n of that property, is entitled to retain possession until paid sufficient compensation to prevent the owner being unjustly enriched at his expense. The amount of this compensation will depend on the circumstances. A possessor who has incurred necessary ex</w:t>
      </w:r>
      <w:r>
        <w:rPr>
          <w:rFonts w:ascii="Times New Roman" w:hAnsi="Times New Roman" w:cs="Times New Roman"/>
          <w:sz w:val="20"/>
          <w:szCs w:val="20"/>
        </w:rPr>
        <w:t xml:space="preserve">penses, i.e. expenses which must be incurred to prevent the destruction or deterioration of the property, has a right of retention until paid the amount of his expenditure. This is known as a salvage lien, and it gives the possessor a real right against </w:t>
      </w:r>
      <w:proofErr w:type="gramStart"/>
      <w:r>
        <w:rPr>
          <w:rFonts w:ascii="Times New Roman" w:hAnsi="Times New Roman" w:cs="Times New Roman"/>
          <w:sz w:val="20"/>
          <w:szCs w:val="20"/>
        </w:rPr>
        <w:t>al</w:t>
      </w:r>
      <w:r>
        <w:rPr>
          <w:rFonts w:ascii="Times New Roman" w:hAnsi="Times New Roman" w:cs="Times New Roman"/>
          <w:sz w:val="20"/>
          <w:szCs w:val="20"/>
        </w:rPr>
        <w:t>l the</w:t>
      </w:r>
      <w:proofErr w:type="gramEnd"/>
      <w:r>
        <w:rPr>
          <w:rFonts w:ascii="Times New Roman" w:hAnsi="Times New Roman" w:cs="Times New Roman"/>
          <w:sz w:val="20"/>
          <w:szCs w:val="20"/>
        </w:rPr>
        <w:t xml:space="preserve"> world. Useful expenses, i.e. expenses which have enhanced the market value of the property, give rise to an improvement lien, also valid against all the world, for the amount of the enhancement: </w:t>
      </w:r>
      <w:r>
        <w:rPr>
          <w:rFonts w:ascii="Times New Roman" w:hAnsi="Times New Roman" w:cs="Times New Roman"/>
          <w:i/>
          <w:iCs/>
          <w:sz w:val="20"/>
          <w:szCs w:val="20"/>
        </w:rPr>
        <w:t xml:space="preserve">Fletcher and Fletcher </w:t>
      </w:r>
      <w:r>
        <w:rPr>
          <w:rFonts w:ascii="Times New Roman" w:hAnsi="Times New Roman" w:cs="Times New Roman"/>
          <w:sz w:val="20"/>
          <w:szCs w:val="20"/>
        </w:rPr>
        <w:t xml:space="preserve">v </w:t>
      </w:r>
      <w:r>
        <w:rPr>
          <w:rFonts w:ascii="Times New Roman" w:hAnsi="Times New Roman" w:cs="Times New Roman"/>
          <w:i/>
          <w:iCs/>
          <w:sz w:val="20"/>
          <w:szCs w:val="20"/>
        </w:rPr>
        <w:t xml:space="preserve">Bulawayo Waterworks Co Ltd </w:t>
      </w:r>
      <w:r>
        <w:rPr>
          <w:rFonts w:ascii="Times New Roman" w:hAnsi="Times New Roman" w:cs="Times New Roman"/>
          <w:sz w:val="20"/>
          <w:szCs w:val="20"/>
        </w:rPr>
        <w:t>1915</w:t>
      </w:r>
      <w:r>
        <w:rPr>
          <w:rFonts w:ascii="Times New Roman" w:hAnsi="Times New Roman" w:cs="Times New Roman"/>
          <w:sz w:val="20"/>
          <w:szCs w:val="20"/>
        </w:rPr>
        <w:t xml:space="preserve"> AD 636. The third type of lien, a debtor and creditor </w:t>
      </w:r>
      <w:proofErr w:type="gramStart"/>
      <w:r>
        <w:rPr>
          <w:rFonts w:ascii="Times New Roman" w:hAnsi="Times New Roman" w:cs="Times New Roman"/>
          <w:sz w:val="20"/>
          <w:szCs w:val="20"/>
        </w:rPr>
        <w:t>lien,</w:t>
      </w:r>
      <w:proofErr w:type="gramEnd"/>
      <w:r>
        <w:rPr>
          <w:rFonts w:ascii="Times New Roman" w:hAnsi="Times New Roman" w:cs="Times New Roman"/>
          <w:sz w:val="20"/>
          <w:szCs w:val="20"/>
        </w:rPr>
        <w:t xml:space="preserve"> is available to anyone who has, by contract, performed work or incurred expenditure on the property of another. It confers a personal right, available only against the other party to the contract</w:t>
      </w:r>
      <w:r>
        <w:rPr>
          <w:rFonts w:ascii="Times New Roman" w:hAnsi="Times New Roman" w:cs="Times New Roman"/>
          <w:sz w:val="20"/>
          <w:szCs w:val="20"/>
        </w:rPr>
        <w:t xml:space="preserve"> (or third parties with knowledge of the lien), to retain the property until paid the contract price. …</w:t>
      </w:r>
    </w:p>
    <w:p w:rsidR="00DA28BE" w:rsidRDefault="0002175D">
      <w:pPr>
        <w:pStyle w:val="ListParagraph"/>
        <w:spacing w:line="240" w:lineRule="auto"/>
        <w:ind w:left="1440"/>
        <w:jc w:val="both"/>
        <w:rPr>
          <w:rFonts w:ascii="Times New Roman" w:hAnsi="Times New Roman" w:cs="Times New Roman"/>
          <w:i/>
          <w:iCs/>
          <w:sz w:val="20"/>
          <w:szCs w:val="20"/>
        </w:rPr>
      </w:pPr>
      <w:r>
        <w:rPr>
          <w:rFonts w:ascii="Times New Roman" w:hAnsi="Times New Roman" w:cs="Times New Roman"/>
          <w:i/>
          <w:iCs/>
          <w:sz w:val="20"/>
          <w:szCs w:val="20"/>
        </w:rPr>
        <w:t>A debtor and creditor lien gives no right of retention over other property of the debtor that is in the possession of the creditor (whether in pursuance</w:t>
      </w:r>
      <w:r>
        <w:rPr>
          <w:rFonts w:ascii="Times New Roman" w:hAnsi="Times New Roman" w:cs="Times New Roman"/>
          <w:i/>
          <w:iCs/>
          <w:sz w:val="20"/>
          <w:szCs w:val="20"/>
        </w:rPr>
        <w:t xml:space="preserve"> of the contract or not) but on which he has not actually performed the work in respect of which he claims payment</w:t>
      </w:r>
      <w:r>
        <w:rPr>
          <w:rFonts w:ascii="Times New Roman" w:hAnsi="Times New Roman" w:cs="Times New Roman"/>
          <w:sz w:val="20"/>
          <w:szCs w:val="20"/>
        </w:rPr>
        <w:t xml:space="preserve">: </w:t>
      </w:r>
      <w:r>
        <w:rPr>
          <w:rFonts w:ascii="Times New Roman" w:hAnsi="Times New Roman" w:cs="Times New Roman"/>
          <w:i/>
          <w:iCs/>
          <w:sz w:val="20"/>
          <w:szCs w:val="20"/>
        </w:rPr>
        <w:t xml:space="preserve">Raymer </w:t>
      </w:r>
      <w:r>
        <w:rPr>
          <w:rFonts w:ascii="Times New Roman" w:hAnsi="Times New Roman" w:cs="Times New Roman"/>
          <w:sz w:val="20"/>
          <w:szCs w:val="20"/>
        </w:rPr>
        <w:t xml:space="preserve">&amp; </w:t>
      </w:r>
      <w:r>
        <w:rPr>
          <w:rFonts w:ascii="Times New Roman" w:hAnsi="Times New Roman" w:cs="Times New Roman"/>
          <w:i/>
          <w:iCs/>
          <w:sz w:val="20"/>
          <w:szCs w:val="20"/>
        </w:rPr>
        <w:t xml:space="preserve">Co </w:t>
      </w:r>
      <w:r>
        <w:rPr>
          <w:rFonts w:ascii="Times New Roman" w:hAnsi="Times New Roman" w:cs="Times New Roman"/>
          <w:sz w:val="20"/>
          <w:szCs w:val="20"/>
        </w:rPr>
        <w:t xml:space="preserve">v </w:t>
      </w:r>
      <w:r>
        <w:rPr>
          <w:rFonts w:ascii="Times New Roman" w:hAnsi="Times New Roman" w:cs="Times New Roman"/>
          <w:i/>
          <w:iCs/>
          <w:sz w:val="20"/>
          <w:szCs w:val="20"/>
        </w:rPr>
        <w:t xml:space="preserve">Goldberg &amp; Goldberg </w:t>
      </w:r>
      <w:r>
        <w:rPr>
          <w:rFonts w:ascii="Times New Roman" w:hAnsi="Times New Roman" w:cs="Times New Roman"/>
          <w:sz w:val="20"/>
          <w:szCs w:val="20"/>
        </w:rPr>
        <w:t xml:space="preserve">1912 SR 167; </w:t>
      </w:r>
      <w:r>
        <w:rPr>
          <w:rFonts w:ascii="Times New Roman" w:hAnsi="Times New Roman" w:cs="Times New Roman"/>
          <w:i/>
          <w:iCs/>
          <w:sz w:val="20"/>
          <w:szCs w:val="20"/>
        </w:rPr>
        <w:t xml:space="preserve">Hotel Victoria (Rhodesia) Ltd </w:t>
      </w:r>
      <w:r>
        <w:rPr>
          <w:rFonts w:ascii="Times New Roman" w:hAnsi="Times New Roman" w:cs="Times New Roman"/>
          <w:sz w:val="20"/>
          <w:szCs w:val="20"/>
        </w:rPr>
        <w:t xml:space="preserve">v </w:t>
      </w:r>
      <w:r>
        <w:rPr>
          <w:rFonts w:ascii="Times New Roman" w:hAnsi="Times New Roman" w:cs="Times New Roman"/>
          <w:i/>
          <w:iCs/>
          <w:sz w:val="20"/>
          <w:szCs w:val="20"/>
        </w:rPr>
        <w:t xml:space="preserve">Alexander </w:t>
      </w:r>
      <w:r>
        <w:rPr>
          <w:rFonts w:ascii="Times New Roman" w:hAnsi="Times New Roman" w:cs="Times New Roman"/>
          <w:sz w:val="20"/>
          <w:szCs w:val="20"/>
        </w:rPr>
        <w:t>1952 SR 35, 1952 (2) SA 637”</w:t>
      </w:r>
    </w:p>
    <w:p w:rsidR="00DA28BE" w:rsidRDefault="0002175D">
      <w:pPr>
        <w:pStyle w:val="ListParagraph"/>
        <w:spacing w:line="240" w:lineRule="auto"/>
        <w:ind w:left="1440"/>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emphasis</w:t>
      </w:r>
      <w:proofErr w:type="gramEnd"/>
      <w:r>
        <w:rPr>
          <w:rFonts w:ascii="Times New Roman" w:hAnsi="Times New Roman" w:cs="Times New Roman"/>
          <w:sz w:val="20"/>
          <w:szCs w:val="20"/>
        </w:rPr>
        <w:t xml:space="preserve"> added).”</w:t>
      </w:r>
    </w:p>
    <w:p w:rsidR="00DA28BE" w:rsidRDefault="00DA28BE">
      <w:pPr>
        <w:pStyle w:val="ListParagraph"/>
        <w:spacing w:line="240" w:lineRule="auto"/>
        <w:ind w:left="1440"/>
        <w:jc w:val="both"/>
        <w:rPr>
          <w:rFonts w:ascii="Times New Roman" w:hAnsi="Times New Roman" w:cs="Times New Roman"/>
          <w:sz w:val="24"/>
          <w:szCs w:val="24"/>
        </w:rPr>
      </w:pPr>
    </w:p>
    <w:p w:rsidR="00DA28BE" w:rsidRDefault="0002175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 xml:space="preserve">e appellants state that their right to retention arises from the verbal agreement the first appellant had with the respondent and subsequent payment for the property. The court a </w:t>
      </w:r>
      <w:r>
        <w:rPr>
          <w:rFonts w:ascii="Times New Roman" w:hAnsi="Times New Roman" w:cs="Times New Roman"/>
          <w:i/>
          <w:iCs/>
          <w:sz w:val="24"/>
          <w:szCs w:val="24"/>
        </w:rPr>
        <w:t>quo</w:t>
      </w:r>
      <w:r>
        <w:rPr>
          <w:rFonts w:ascii="Times New Roman" w:hAnsi="Times New Roman" w:cs="Times New Roman"/>
          <w:sz w:val="24"/>
          <w:szCs w:val="24"/>
        </w:rPr>
        <w:t xml:space="preserve"> found that there was no proof of the verbal agreement or the payment. The</w:t>
      </w:r>
      <w:r>
        <w:rPr>
          <w:rFonts w:ascii="Times New Roman" w:hAnsi="Times New Roman" w:cs="Times New Roman"/>
          <w:sz w:val="24"/>
          <w:szCs w:val="24"/>
        </w:rPr>
        <w:t xml:space="preserve"> court a </w:t>
      </w:r>
      <w:r>
        <w:rPr>
          <w:rFonts w:ascii="Times New Roman" w:hAnsi="Times New Roman" w:cs="Times New Roman"/>
          <w:i/>
          <w:iCs/>
          <w:sz w:val="24"/>
          <w:szCs w:val="24"/>
        </w:rPr>
        <w:t>quo</w:t>
      </w:r>
      <w:r>
        <w:rPr>
          <w:rFonts w:ascii="Times New Roman" w:hAnsi="Times New Roman" w:cs="Times New Roman"/>
          <w:sz w:val="24"/>
          <w:szCs w:val="24"/>
        </w:rPr>
        <w:t xml:space="preserve"> also found that the appellants had not even attached proof of purchase of the property. It found that the appellants had not shown on a balance of probabilities that they had a right of retention to the property. </w:t>
      </w:r>
    </w:p>
    <w:p w:rsidR="00DA28BE" w:rsidRDefault="0002175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occurs to me that because </w:t>
      </w:r>
      <w:r>
        <w:rPr>
          <w:rFonts w:ascii="Times New Roman" w:hAnsi="Times New Roman" w:cs="Times New Roman"/>
          <w:sz w:val="24"/>
          <w:szCs w:val="24"/>
        </w:rPr>
        <w:t xml:space="preserve">of the wording of the second ground of appeal, that ground of appeal does not attack these findings of fact or rulings of law made by the court </w:t>
      </w:r>
      <w:r>
        <w:rPr>
          <w:rFonts w:ascii="Times New Roman" w:hAnsi="Times New Roman" w:cs="Times New Roman"/>
          <w:i/>
          <w:sz w:val="24"/>
          <w:szCs w:val="24"/>
        </w:rPr>
        <w:t>a quo</w:t>
      </w:r>
      <w:r>
        <w:rPr>
          <w:rFonts w:ascii="Times New Roman" w:hAnsi="Times New Roman" w:cs="Times New Roman"/>
          <w:iCs/>
          <w:sz w:val="24"/>
          <w:szCs w:val="24"/>
        </w:rPr>
        <w:t xml:space="preserve">. </w:t>
      </w:r>
      <w:r>
        <w:rPr>
          <w:rFonts w:ascii="Times New Roman" w:hAnsi="Times New Roman" w:cs="Times New Roman"/>
          <w:sz w:val="24"/>
          <w:szCs w:val="24"/>
        </w:rPr>
        <w:t xml:space="preserve">I am therefore persuaded by Mr </w:t>
      </w:r>
      <w:proofErr w:type="spellStart"/>
      <w:r>
        <w:rPr>
          <w:rFonts w:ascii="Times New Roman" w:hAnsi="Times New Roman" w:cs="Times New Roman"/>
          <w:i/>
          <w:sz w:val="24"/>
          <w:szCs w:val="24"/>
        </w:rPr>
        <w:t>Ushewokunze</w:t>
      </w:r>
      <w:r>
        <w:rPr>
          <w:rFonts w:ascii="Times New Roman" w:hAnsi="Times New Roman" w:cs="Times New Roman"/>
          <w:iCs/>
          <w:sz w:val="24"/>
          <w:szCs w:val="24"/>
        </w:rPr>
        <w:t>’s</w:t>
      </w:r>
      <w:proofErr w:type="spellEnd"/>
      <w:r>
        <w:rPr>
          <w:rFonts w:ascii="Times New Roman" w:hAnsi="Times New Roman" w:cs="Times New Roman"/>
          <w:i/>
          <w:sz w:val="24"/>
          <w:szCs w:val="24"/>
        </w:rPr>
        <w:t xml:space="preserve"> </w:t>
      </w:r>
      <w:r>
        <w:rPr>
          <w:rFonts w:ascii="Times New Roman" w:hAnsi="Times New Roman" w:cs="Times New Roman"/>
          <w:iCs/>
          <w:sz w:val="24"/>
          <w:szCs w:val="24"/>
        </w:rPr>
        <w:t>submissions</w:t>
      </w:r>
      <w:r>
        <w:rPr>
          <w:rFonts w:ascii="Times New Roman" w:hAnsi="Times New Roman" w:cs="Times New Roman"/>
          <w:i/>
          <w:sz w:val="24"/>
          <w:szCs w:val="24"/>
        </w:rPr>
        <w:t xml:space="preserve"> </w:t>
      </w:r>
      <w:r>
        <w:rPr>
          <w:rFonts w:ascii="Times New Roman" w:hAnsi="Times New Roman" w:cs="Times New Roman"/>
          <w:sz w:val="24"/>
          <w:szCs w:val="24"/>
        </w:rPr>
        <w:t xml:space="preserve">that a finding of fact was made by the court </w:t>
      </w:r>
      <w:r>
        <w:rPr>
          <w:rFonts w:ascii="Times New Roman" w:hAnsi="Times New Roman" w:cs="Times New Roman"/>
          <w:i/>
          <w:sz w:val="24"/>
          <w:szCs w:val="24"/>
        </w:rPr>
        <w:t>a q</w:t>
      </w:r>
      <w:r>
        <w:rPr>
          <w:rFonts w:ascii="Times New Roman" w:hAnsi="Times New Roman" w:cs="Times New Roman"/>
          <w:i/>
          <w:sz w:val="24"/>
          <w:szCs w:val="24"/>
        </w:rPr>
        <w:t>uo,</w:t>
      </w:r>
      <w:r>
        <w:rPr>
          <w:rFonts w:ascii="Times New Roman" w:hAnsi="Times New Roman" w:cs="Times New Roman"/>
          <w:sz w:val="24"/>
          <w:szCs w:val="24"/>
        </w:rPr>
        <w:t xml:space="preserve"> but that finding of fact was not challenged </w:t>
      </w:r>
      <w:r>
        <w:rPr>
          <w:rFonts w:ascii="Times New Roman" w:hAnsi="Times New Roman" w:cs="Times New Roman"/>
          <w:sz w:val="24"/>
          <w:szCs w:val="24"/>
        </w:rPr>
        <w:lastRenderedPageBreak/>
        <w:t xml:space="preserve">in the notice of appeal.   </w:t>
      </w:r>
      <w:r>
        <w:rPr>
          <w:rFonts w:ascii="Times New Roman" w:hAnsi="Times New Roman" w:cs="Times New Roman"/>
          <w:iCs/>
          <w:sz w:val="24"/>
          <w:szCs w:val="24"/>
        </w:rPr>
        <w:t xml:space="preserve">This is because the appellants attack the court a </w:t>
      </w:r>
      <w:r>
        <w:rPr>
          <w:rFonts w:ascii="Times New Roman" w:hAnsi="Times New Roman" w:cs="Times New Roman"/>
          <w:i/>
          <w:sz w:val="24"/>
          <w:szCs w:val="24"/>
        </w:rPr>
        <w:t>quo</w:t>
      </w:r>
      <w:r>
        <w:rPr>
          <w:rFonts w:ascii="Times New Roman" w:hAnsi="Times New Roman" w:cs="Times New Roman"/>
          <w:iCs/>
          <w:sz w:val="24"/>
          <w:szCs w:val="24"/>
        </w:rPr>
        <w:t xml:space="preserve">’s alleged ‘failure to appreciate’ </w:t>
      </w:r>
      <w:r>
        <w:rPr>
          <w:rFonts w:ascii="Times New Roman" w:hAnsi="Times New Roman" w:cs="Times New Roman"/>
          <w:sz w:val="24"/>
          <w:szCs w:val="24"/>
        </w:rPr>
        <w:t xml:space="preserve">that the first appellant had a right of retention. A failure to appreciate is not a finding, </w:t>
      </w:r>
      <w:r>
        <w:rPr>
          <w:rFonts w:ascii="Times New Roman" w:hAnsi="Times New Roman" w:cs="Times New Roman"/>
          <w:sz w:val="24"/>
          <w:szCs w:val="24"/>
        </w:rPr>
        <w:t xml:space="preserve">nor is it a ruling of law. </w:t>
      </w:r>
    </w:p>
    <w:p w:rsidR="00DA28BE" w:rsidRDefault="0002175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any event, the judgment of the court a </w:t>
      </w:r>
      <w:r>
        <w:rPr>
          <w:rFonts w:ascii="Times New Roman" w:hAnsi="Times New Roman" w:cs="Times New Roman"/>
          <w:i/>
          <w:iCs/>
          <w:sz w:val="24"/>
          <w:szCs w:val="24"/>
        </w:rPr>
        <w:t xml:space="preserve">quo </w:t>
      </w:r>
      <w:r>
        <w:rPr>
          <w:rFonts w:ascii="Times New Roman" w:hAnsi="Times New Roman" w:cs="Times New Roman"/>
          <w:sz w:val="24"/>
          <w:szCs w:val="24"/>
        </w:rPr>
        <w:t>does not support the appellants’ contention on the trial court’s alleged failure to understand because the court analysed the evidence before it and reached three conclusions which put the matter to rest namely, that there was no proof of the verbal agreem</w:t>
      </w:r>
      <w:r>
        <w:rPr>
          <w:rFonts w:ascii="Times New Roman" w:hAnsi="Times New Roman" w:cs="Times New Roman"/>
          <w:sz w:val="24"/>
          <w:szCs w:val="24"/>
        </w:rPr>
        <w:t xml:space="preserve">ent, that there was no proof of payment and that the appellants did not have a right of retention.  These have not been impugned in the second ground of appeal.  On this basis, the second ground of appeal fails. </w:t>
      </w:r>
    </w:p>
    <w:p w:rsidR="00DA28BE" w:rsidRDefault="0002175D">
      <w:pPr>
        <w:spacing w:line="360" w:lineRule="auto"/>
        <w:jc w:val="both"/>
        <w:rPr>
          <w:rFonts w:ascii="Times New Roman" w:hAnsi="Times New Roman" w:cs="Times New Roman"/>
          <w:b/>
          <w:bCs/>
          <w:iCs/>
          <w:sz w:val="24"/>
          <w:szCs w:val="24"/>
          <w:u w:val="single"/>
        </w:rPr>
      </w:pPr>
      <w:r>
        <w:rPr>
          <w:rFonts w:ascii="Times New Roman" w:hAnsi="Times New Roman" w:cs="Times New Roman"/>
          <w:b/>
          <w:bCs/>
          <w:iCs/>
          <w:sz w:val="24"/>
          <w:szCs w:val="24"/>
          <w:u w:val="single"/>
        </w:rPr>
        <w:t xml:space="preserve">WHETHER THE COURT A </w:t>
      </w:r>
      <w:r>
        <w:rPr>
          <w:rFonts w:ascii="Times New Roman" w:hAnsi="Times New Roman" w:cs="Times New Roman"/>
          <w:b/>
          <w:bCs/>
          <w:i/>
          <w:sz w:val="24"/>
          <w:szCs w:val="24"/>
          <w:u w:val="single"/>
        </w:rPr>
        <w:t>QUO</w:t>
      </w:r>
      <w:r>
        <w:rPr>
          <w:rFonts w:ascii="Times New Roman" w:hAnsi="Times New Roman" w:cs="Times New Roman"/>
          <w:b/>
          <w:bCs/>
          <w:iCs/>
          <w:sz w:val="24"/>
          <w:szCs w:val="24"/>
          <w:u w:val="single"/>
        </w:rPr>
        <w:t xml:space="preserve"> ERRED IN FAILING TO</w:t>
      </w:r>
      <w:r>
        <w:rPr>
          <w:rFonts w:ascii="Times New Roman" w:hAnsi="Times New Roman" w:cs="Times New Roman"/>
          <w:b/>
          <w:bCs/>
          <w:iCs/>
          <w:sz w:val="24"/>
          <w:szCs w:val="24"/>
          <w:u w:val="single"/>
        </w:rPr>
        <w:t xml:space="preserve"> APPRECIATE THAT THE 2</w:t>
      </w:r>
      <w:r>
        <w:rPr>
          <w:rFonts w:ascii="Times New Roman" w:hAnsi="Times New Roman" w:cs="Times New Roman"/>
          <w:b/>
          <w:bCs/>
          <w:iCs/>
          <w:sz w:val="24"/>
          <w:szCs w:val="24"/>
          <w:u w:val="single"/>
          <w:vertAlign w:val="superscript"/>
        </w:rPr>
        <w:t>ND</w:t>
      </w:r>
      <w:r>
        <w:rPr>
          <w:rFonts w:ascii="Times New Roman" w:hAnsi="Times New Roman" w:cs="Times New Roman"/>
          <w:b/>
          <w:bCs/>
          <w:iCs/>
          <w:sz w:val="24"/>
          <w:szCs w:val="24"/>
          <w:u w:val="single"/>
        </w:rPr>
        <w:t xml:space="preserve"> APPELLANT WAS IMPROPERLY CITED AS A PARTY WITHOUT PROPER BASIS AT LAW HAVING BEEN ESTABLISHED</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In my view, this ground of appeal suffers the same fate as the second ground of appeal. It is an attack on the court a </w:t>
      </w:r>
      <w:r>
        <w:rPr>
          <w:rFonts w:ascii="Times New Roman" w:hAnsi="Times New Roman" w:cs="Times New Roman"/>
          <w:i/>
          <w:iCs/>
          <w:sz w:val="24"/>
          <w:szCs w:val="24"/>
        </w:rPr>
        <w:t>quo</w:t>
      </w:r>
      <w:r>
        <w:rPr>
          <w:rFonts w:ascii="Times New Roman" w:hAnsi="Times New Roman" w:cs="Times New Roman"/>
          <w:sz w:val="24"/>
          <w:szCs w:val="24"/>
        </w:rPr>
        <w:t>’s alleged fail</w:t>
      </w:r>
      <w:r>
        <w:rPr>
          <w:rFonts w:ascii="Times New Roman" w:hAnsi="Times New Roman" w:cs="Times New Roman"/>
          <w:sz w:val="24"/>
          <w:szCs w:val="24"/>
        </w:rPr>
        <w:t>ure to ‘appreciate’ that the second appellant was improperly cited as a party without a proper basis at law having been established. I digress momentarily to comment that in their heads of argument and submissions before this court, the appellants purporte</w:t>
      </w:r>
      <w:r>
        <w:rPr>
          <w:rFonts w:ascii="Times New Roman" w:hAnsi="Times New Roman" w:cs="Times New Roman"/>
          <w:sz w:val="24"/>
          <w:szCs w:val="24"/>
        </w:rPr>
        <w:t xml:space="preserve">d to extend this ground to include the court a </w:t>
      </w:r>
      <w:r>
        <w:rPr>
          <w:rFonts w:ascii="Times New Roman" w:hAnsi="Times New Roman" w:cs="Times New Roman"/>
          <w:i/>
          <w:iCs/>
          <w:sz w:val="24"/>
          <w:szCs w:val="24"/>
        </w:rPr>
        <w:t>quo</w:t>
      </w:r>
      <w:r>
        <w:rPr>
          <w:rFonts w:ascii="Times New Roman" w:hAnsi="Times New Roman" w:cs="Times New Roman"/>
          <w:sz w:val="24"/>
          <w:szCs w:val="24"/>
        </w:rPr>
        <w:t>’s alleged failure to determine the question of the second appellant’s citation. This was inconsistent with the notice of appeal, and it was done without the appellants having sought to amend the third grou</w:t>
      </w:r>
      <w:r>
        <w:rPr>
          <w:rFonts w:ascii="Times New Roman" w:hAnsi="Times New Roman" w:cs="Times New Roman"/>
          <w:sz w:val="24"/>
          <w:szCs w:val="24"/>
        </w:rPr>
        <w:t xml:space="preserve">nd of appeal as it appears in the notice of appeal. Such a course of action is not only irregular but also </w:t>
      </w:r>
      <w:proofErr w:type="spellStart"/>
      <w:r>
        <w:rPr>
          <w:rFonts w:ascii="Times New Roman" w:hAnsi="Times New Roman" w:cs="Times New Roman"/>
          <w:sz w:val="24"/>
          <w:szCs w:val="24"/>
        </w:rPr>
        <w:t>unprocedural</w:t>
      </w:r>
      <w:proofErr w:type="spellEnd"/>
      <w:r>
        <w:rPr>
          <w:rFonts w:ascii="Times New Roman" w:hAnsi="Times New Roman" w:cs="Times New Roman"/>
          <w:sz w:val="24"/>
          <w:szCs w:val="24"/>
        </w:rPr>
        <w:t xml:space="preserve">.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Reverting to the issue at hand, instead of motivating the ground of appeal as captured in its notice of appeal, the appellants concent</w:t>
      </w:r>
      <w:r>
        <w:rPr>
          <w:rFonts w:ascii="Times New Roman" w:hAnsi="Times New Roman" w:cs="Times New Roman"/>
          <w:sz w:val="24"/>
          <w:szCs w:val="24"/>
        </w:rPr>
        <w:t xml:space="preserve">rated on an issue which they had not placed before the court and bemoaned the consequent burdening of the second appellant with costs on a punitive scale. This was fatal to their appeal because, besides putting that ground as the third ground of appeal in </w:t>
      </w:r>
      <w:r>
        <w:rPr>
          <w:rFonts w:ascii="Times New Roman" w:hAnsi="Times New Roman" w:cs="Times New Roman"/>
          <w:sz w:val="24"/>
          <w:szCs w:val="24"/>
        </w:rPr>
        <w:t xml:space="preserve">the notice of appeal, no justification was laid before the court to support that indeed, the court a </w:t>
      </w:r>
      <w:r>
        <w:rPr>
          <w:rFonts w:ascii="Times New Roman" w:hAnsi="Times New Roman" w:cs="Times New Roman"/>
          <w:i/>
          <w:iCs/>
          <w:sz w:val="24"/>
          <w:szCs w:val="24"/>
        </w:rPr>
        <w:t>quo</w:t>
      </w:r>
      <w:r>
        <w:rPr>
          <w:rFonts w:ascii="Times New Roman" w:hAnsi="Times New Roman" w:cs="Times New Roman"/>
          <w:sz w:val="24"/>
          <w:szCs w:val="24"/>
        </w:rPr>
        <w:t xml:space="preserve"> did not understand or ‘appreciate that the second appellant was improperly cited as a party without a proper basis at law having been established.’</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Eve</w:t>
      </w:r>
      <w:r>
        <w:rPr>
          <w:rFonts w:ascii="Times New Roman" w:hAnsi="Times New Roman" w:cs="Times New Roman"/>
          <w:sz w:val="24"/>
          <w:szCs w:val="24"/>
        </w:rPr>
        <w:t xml:space="preserve">n if I were inclined to make a finding on the basis of the ground of appeal alone, I am not persuaded to find that the court a </w:t>
      </w:r>
      <w:r>
        <w:rPr>
          <w:rFonts w:ascii="Times New Roman" w:hAnsi="Times New Roman" w:cs="Times New Roman"/>
          <w:i/>
          <w:iCs/>
          <w:sz w:val="24"/>
          <w:szCs w:val="24"/>
        </w:rPr>
        <w:t>quo</w:t>
      </w:r>
      <w:r>
        <w:rPr>
          <w:rFonts w:ascii="Times New Roman" w:hAnsi="Times New Roman" w:cs="Times New Roman"/>
          <w:sz w:val="24"/>
          <w:szCs w:val="24"/>
        </w:rPr>
        <w:t xml:space="preserve"> failed to appreciate that the second appellant </w:t>
      </w:r>
      <w:r>
        <w:rPr>
          <w:rFonts w:ascii="Times New Roman" w:hAnsi="Times New Roman" w:cs="Times New Roman"/>
          <w:sz w:val="24"/>
          <w:szCs w:val="24"/>
        </w:rPr>
        <w:lastRenderedPageBreak/>
        <w:t xml:space="preserve">was improperly cited. The court a </w:t>
      </w:r>
      <w:r>
        <w:rPr>
          <w:rFonts w:ascii="Times New Roman" w:hAnsi="Times New Roman" w:cs="Times New Roman"/>
          <w:i/>
          <w:iCs/>
          <w:sz w:val="24"/>
          <w:szCs w:val="24"/>
        </w:rPr>
        <w:t>quo</w:t>
      </w:r>
      <w:r>
        <w:rPr>
          <w:rFonts w:ascii="Times New Roman" w:hAnsi="Times New Roman" w:cs="Times New Roman"/>
          <w:sz w:val="24"/>
          <w:szCs w:val="24"/>
        </w:rPr>
        <w:t>’s judgment shows that the court was awar</w:t>
      </w:r>
      <w:r>
        <w:rPr>
          <w:rFonts w:ascii="Times New Roman" w:hAnsi="Times New Roman" w:cs="Times New Roman"/>
          <w:sz w:val="24"/>
          <w:szCs w:val="24"/>
        </w:rPr>
        <w:t xml:space="preserve">e of the second appellant’s opposition on the basis of his being the first appellant’s agent. It went on to correctly analyse the objective of summary judgment proceedings, namely to enable an applicant with a clear case to obtain swift enforcement of its </w:t>
      </w:r>
      <w:r>
        <w:rPr>
          <w:rFonts w:ascii="Times New Roman" w:hAnsi="Times New Roman" w:cs="Times New Roman"/>
          <w:sz w:val="24"/>
          <w:szCs w:val="24"/>
        </w:rPr>
        <w:t xml:space="preserve">claim against the respondent and the requirements of the law for a respondent to successfully resist summary judgment. The court a </w:t>
      </w:r>
      <w:r>
        <w:rPr>
          <w:rFonts w:ascii="Times New Roman" w:hAnsi="Times New Roman" w:cs="Times New Roman"/>
          <w:i/>
          <w:iCs/>
          <w:sz w:val="24"/>
          <w:szCs w:val="24"/>
        </w:rPr>
        <w:t>quo</w:t>
      </w:r>
      <w:r>
        <w:rPr>
          <w:rFonts w:ascii="Times New Roman" w:hAnsi="Times New Roman" w:cs="Times New Roman"/>
          <w:sz w:val="24"/>
          <w:szCs w:val="24"/>
        </w:rPr>
        <w:t xml:space="preserve"> noted the requirement for a respondent to disclose the nature and grounds of his defence, as well as the material facts u</w:t>
      </w:r>
      <w:r>
        <w:rPr>
          <w:rFonts w:ascii="Times New Roman" w:hAnsi="Times New Roman" w:cs="Times New Roman"/>
          <w:sz w:val="24"/>
          <w:szCs w:val="24"/>
        </w:rPr>
        <w:t xml:space="preserve">pon which the defence is based, in a manner that would satisfy the court that the respondent has a </w:t>
      </w:r>
      <w:r>
        <w:rPr>
          <w:rFonts w:ascii="Times New Roman" w:hAnsi="Times New Roman" w:cs="Times New Roman"/>
          <w:i/>
          <w:iCs/>
          <w:sz w:val="24"/>
          <w:szCs w:val="24"/>
        </w:rPr>
        <w:t>prima facie</w:t>
      </w:r>
      <w:r>
        <w:rPr>
          <w:rFonts w:ascii="Times New Roman" w:hAnsi="Times New Roman" w:cs="Times New Roman"/>
          <w:sz w:val="24"/>
          <w:szCs w:val="24"/>
        </w:rPr>
        <w:t xml:space="preserve"> defence to the action. The court a </w:t>
      </w:r>
      <w:r>
        <w:rPr>
          <w:rFonts w:ascii="Times New Roman" w:hAnsi="Times New Roman" w:cs="Times New Roman"/>
          <w:i/>
          <w:iCs/>
          <w:sz w:val="24"/>
          <w:szCs w:val="24"/>
        </w:rPr>
        <w:t>quo</w:t>
      </w:r>
      <w:r>
        <w:rPr>
          <w:rFonts w:ascii="Times New Roman" w:hAnsi="Times New Roman" w:cs="Times New Roman"/>
          <w:sz w:val="24"/>
          <w:szCs w:val="24"/>
        </w:rPr>
        <w:t xml:space="preserve"> made the point that not every defence to the action can succeed in defeating an applicant’s claim.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co</w:t>
      </w:r>
      <w:r>
        <w:rPr>
          <w:rFonts w:ascii="Times New Roman" w:hAnsi="Times New Roman" w:cs="Times New Roman"/>
          <w:sz w:val="24"/>
          <w:szCs w:val="24"/>
        </w:rPr>
        <w:t xml:space="preserve">urt a </w:t>
      </w:r>
      <w:r>
        <w:rPr>
          <w:rFonts w:ascii="Times New Roman" w:hAnsi="Times New Roman" w:cs="Times New Roman"/>
          <w:i/>
          <w:iCs/>
          <w:sz w:val="24"/>
          <w:szCs w:val="24"/>
        </w:rPr>
        <w:t>quo</w:t>
      </w:r>
      <w:r>
        <w:rPr>
          <w:rFonts w:ascii="Times New Roman" w:hAnsi="Times New Roman" w:cs="Times New Roman"/>
          <w:sz w:val="24"/>
          <w:szCs w:val="24"/>
        </w:rPr>
        <w:t xml:space="preserve">’s synthesis of the law accords with the law on summary judgment as established in a long line of cases decided in this jurisdiction: See for instance  </w:t>
      </w:r>
      <w:r>
        <w:rPr>
          <w:rFonts w:ascii="Times New Roman" w:hAnsi="Times New Roman" w:cs="Times New Roman"/>
          <w:bCs/>
          <w:i/>
          <w:sz w:val="24"/>
          <w:szCs w:val="24"/>
          <w:lang w:val="en-GB"/>
        </w:rPr>
        <w:t xml:space="preserve">Jena </w:t>
      </w:r>
      <w:r>
        <w:rPr>
          <w:rFonts w:ascii="Times New Roman" w:hAnsi="Times New Roman" w:cs="Times New Roman"/>
          <w:bCs/>
          <w:sz w:val="24"/>
          <w:szCs w:val="24"/>
          <w:lang w:val="en-GB"/>
        </w:rPr>
        <w:t>v</w:t>
      </w:r>
      <w:r>
        <w:rPr>
          <w:rFonts w:ascii="Times New Roman" w:hAnsi="Times New Roman" w:cs="Times New Roman"/>
          <w:bCs/>
          <w:i/>
          <w:sz w:val="24"/>
          <w:szCs w:val="24"/>
          <w:lang w:val="en-GB"/>
        </w:rPr>
        <w:t xml:space="preserve"> </w:t>
      </w:r>
      <w:proofErr w:type="spellStart"/>
      <w:r>
        <w:rPr>
          <w:rFonts w:ascii="Times New Roman" w:hAnsi="Times New Roman" w:cs="Times New Roman"/>
          <w:bCs/>
          <w:i/>
          <w:sz w:val="24"/>
          <w:szCs w:val="24"/>
          <w:lang w:val="en-GB"/>
        </w:rPr>
        <w:t>Nechipote</w:t>
      </w:r>
      <w:proofErr w:type="spellEnd"/>
      <w:r>
        <w:rPr>
          <w:rFonts w:ascii="Times New Roman" w:hAnsi="Times New Roman" w:cs="Times New Roman"/>
          <w:bCs/>
          <w:i/>
          <w:sz w:val="24"/>
          <w:szCs w:val="24"/>
          <w:lang w:val="en-GB"/>
        </w:rPr>
        <w:t xml:space="preserve"> </w:t>
      </w:r>
      <w:r>
        <w:rPr>
          <w:rFonts w:ascii="Times New Roman" w:hAnsi="Times New Roman" w:cs="Times New Roman"/>
          <w:bCs/>
          <w:sz w:val="24"/>
          <w:szCs w:val="24"/>
          <w:lang w:val="en-GB"/>
        </w:rPr>
        <w:t xml:space="preserve">1986 (1) ZLR 29 (S); </w:t>
      </w:r>
      <w:proofErr w:type="spellStart"/>
      <w:r>
        <w:rPr>
          <w:rFonts w:ascii="Times New Roman" w:hAnsi="Times New Roman" w:cs="Times New Roman"/>
          <w:bCs/>
          <w:i/>
          <w:iCs/>
          <w:sz w:val="24"/>
          <w:szCs w:val="24"/>
        </w:rPr>
        <w:t>Kingstons</w:t>
      </w:r>
      <w:proofErr w:type="spellEnd"/>
      <w:r>
        <w:rPr>
          <w:rFonts w:ascii="Times New Roman" w:hAnsi="Times New Roman" w:cs="Times New Roman"/>
          <w:bCs/>
          <w:i/>
          <w:iCs/>
          <w:sz w:val="24"/>
          <w:szCs w:val="24"/>
        </w:rPr>
        <w:t xml:space="preserve"> Ltd </w:t>
      </w:r>
      <w:r>
        <w:rPr>
          <w:rFonts w:ascii="Times New Roman" w:hAnsi="Times New Roman" w:cs="Times New Roman"/>
          <w:bCs/>
          <w:sz w:val="24"/>
          <w:szCs w:val="24"/>
        </w:rPr>
        <w:t xml:space="preserve">v </w:t>
      </w:r>
      <w:r>
        <w:rPr>
          <w:rFonts w:ascii="Times New Roman" w:hAnsi="Times New Roman" w:cs="Times New Roman"/>
          <w:bCs/>
          <w:i/>
          <w:iCs/>
          <w:sz w:val="24"/>
          <w:szCs w:val="24"/>
        </w:rPr>
        <w:t xml:space="preserve">L D </w:t>
      </w:r>
      <w:proofErr w:type="spellStart"/>
      <w:r>
        <w:rPr>
          <w:rFonts w:ascii="Times New Roman" w:hAnsi="Times New Roman" w:cs="Times New Roman"/>
          <w:bCs/>
          <w:i/>
          <w:iCs/>
          <w:sz w:val="24"/>
          <w:szCs w:val="24"/>
        </w:rPr>
        <w:t>Ineson</w:t>
      </w:r>
      <w:proofErr w:type="spellEnd"/>
      <w:r>
        <w:rPr>
          <w:rFonts w:ascii="Times New Roman" w:hAnsi="Times New Roman" w:cs="Times New Roman"/>
          <w:bCs/>
          <w:i/>
          <w:iCs/>
          <w:sz w:val="24"/>
          <w:szCs w:val="24"/>
        </w:rPr>
        <w:t xml:space="preserve"> (Pvt) Ltd</w:t>
      </w:r>
      <w:r>
        <w:rPr>
          <w:rFonts w:ascii="Times New Roman" w:hAnsi="Times New Roman" w:cs="Times New Roman"/>
          <w:bCs/>
          <w:sz w:val="24"/>
          <w:szCs w:val="24"/>
        </w:rPr>
        <w:t xml:space="preserve"> 2006 (1) ZLR 451 (S); </w:t>
      </w:r>
      <w:r>
        <w:rPr>
          <w:rFonts w:ascii="Times New Roman" w:hAnsi="Times New Roman" w:cs="Times New Roman"/>
          <w:i/>
          <w:iCs/>
          <w:sz w:val="24"/>
          <w:szCs w:val="24"/>
        </w:rPr>
        <w:t xml:space="preserve">Stationery Box (Pvt) Ltd </w:t>
      </w:r>
      <w:r>
        <w:rPr>
          <w:rFonts w:ascii="Times New Roman" w:hAnsi="Times New Roman" w:cs="Times New Roman"/>
          <w:sz w:val="24"/>
          <w:szCs w:val="24"/>
        </w:rPr>
        <w:t>v</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Natcon</w:t>
      </w:r>
      <w:proofErr w:type="spellEnd"/>
      <w:r>
        <w:rPr>
          <w:rFonts w:ascii="Times New Roman" w:hAnsi="Times New Roman" w:cs="Times New Roman"/>
          <w:i/>
          <w:iCs/>
          <w:sz w:val="24"/>
          <w:szCs w:val="24"/>
        </w:rPr>
        <w:t xml:space="preserve"> (Pvt) Ltd &amp; Anor </w:t>
      </w:r>
      <w:r>
        <w:rPr>
          <w:rFonts w:ascii="Times New Roman" w:hAnsi="Times New Roman" w:cs="Times New Roman"/>
          <w:sz w:val="24"/>
          <w:szCs w:val="24"/>
        </w:rPr>
        <w:t xml:space="preserve">2010 (1) ZLR 227 (H) and </w:t>
      </w:r>
      <w:proofErr w:type="spellStart"/>
      <w:r>
        <w:rPr>
          <w:rFonts w:ascii="Times New Roman" w:hAnsi="Times New Roman" w:cs="Times New Roman"/>
          <w:i/>
          <w:sz w:val="24"/>
          <w:szCs w:val="24"/>
        </w:rPr>
        <w:t>Pepukai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Zimi</w:t>
      </w:r>
      <w:proofErr w:type="spellEnd"/>
      <w:r>
        <w:rPr>
          <w:rFonts w:ascii="Times New Roman" w:hAnsi="Times New Roman" w:cs="Times New Roman"/>
          <w:sz w:val="24"/>
          <w:szCs w:val="24"/>
        </w:rPr>
        <w:t xml:space="preserve"> 2020 (2) ZLR 263 (H).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court a </w:t>
      </w:r>
      <w:r>
        <w:rPr>
          <w:rFonts w:ascii="Times New Roman" w:hAnsi="Times New Roman" w:cs="Times New Roman"/>
          <w:i/>
          <w:iCs/>
          <w:sz w:val="24"/>
          <w:szCs w:val="24"/>
        </w:rPr>
        <w:t>quo</w:t>
      </w:r>
      <w:r>
        <w:rPr>
          <w:rFonts w:ascii="Times New Roman" w:hAnsi="Times New Roman" w:cs="Times New Roman"/>
          <w:sz w:val="24"/>
          <w:szCs w:val="24"/>
        </w:rPr>
        <w:t xml:space="preserve"> then went on to correctly analyse the position of the law with regard to eviction based on proof of ti</w:t>
      </w:r>
      <w:r>
        <w:rPr>
          <w:rFonts w:ascii="Times New Roman" w:hAnsi="Times New Roman" w:cs="Times New Roman"/>
          <w:sz w:val="24"/>
          <w:szCs w:val="24"/>
        </w:rPr>
        <w:t xml:space="preserve">tle. Thereafter, the court a </w:t>
      </w:r>
      <w:r>
        <w:rPr>
          <w:rFonts w:ascii="Times New Roman" w:hAnsi="Times New Roman" w:cs="Times New Roman"/>
          <w:i/>
          <w:iCs/>
          <w:sz w:val="24"/>
          <w:szCs w:val="24"/>
        </w:rPr>
        <w:t>quo</w:t>
      </w:r>
      <w:r>
        <w:rPr>
          <w:rFonts w:ascii="Times New Roman" w:hAnsi="Times New Roman" w:cs="Times New Roman"/>
          <w:sz w:val="24"/>
          <w:szCs w:val="24"/>
        </w:rPr>
        <w:t xml:space="preserve"> concluded that the appellants did not have a legal claim and that there was no possibility of a valid defence. The court a </w:t>
      </w:r>
      <w:r>
        <w:rPr>
          <w:rFonts w:ascii="Times New Roman" w:hAnsi="Times New Roman" w:cs="Times New Roman"/>
          <w:i/>
          <w:iCs/>
          <w:sz w:val="24"/>
          <w:szCs w:val="24"/>
        </w:rPr>
        <w:t>quo</w:t>
      </w:r>
      <w:r>
        <w:rPr>
          <w:rFonts w:ascii="Times New Roman" w:hAnsi="Times New Roman" w:cs="Times New Roman"/>
          <w:sz w:val="24"/>
          <w:szCs w:val="24"/>
        </w:rPr>
        <w:t xml:space="preserve">’s rulings of law have not been challenged in this appeal.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That said, I find no fault with the c</w:t>
      </w:r>
      <w:r>
        <w:rPr>
          <w:rFonts w:ascii="Times New Roman" w:hAnsi="Times New Roman" w:cs="Times New Roman"/>
          <w:sz w:val="24"/>
          <w:szCs w:val="24"/>
        </w:rPr>
        <w:t xml:space="preserve">onclusion of the court, considering its analysis of the case, and additionally, that in paragraph 4 of their plea, the appellants, who were the defendants in the court a </w:t>
      </w:r>
      <w:r>
        <w:rPr>
          <w:rFonts w:ascii="Times New Roman" w:hAnsi="Times New Roman" w:cs="Times New Roman"/>
          <w:i/>
          <w:iCs/>
          <w:sz w:val="24"/>
          <w:szCs w:val="24"/>
        </w:rPr>
        <w:t>quo</w:t>
      </w:r>
      <w:r>
        <w:rPr>
          <w:rFonts w:ascii="Times New Roman" w:hAnsi="Times New Roman" w:cs="Times New Roman"/>
          <w:sz w:val="24"/>
          <w:szCs w:val="24"/>
        </w:rPr>
        <w:t>, submitted that</w:t>
      </w:r>
    </w:p>
    <w:p w:rsidR="00DA28BE" w:rsidRDefault="0002175D">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rPr>
        <w:t xml:space="preserve">“…The plaintiff sold the property to the first defendant and the </w:t>
      </w:r>
      <w:r>
        <w:rPr>
          <w:rFonts w:ascii="Times New Roman" w:hAnsi="Times New Roman" w:cs="Times New Roman"/>
          <w:u w:val="single"/>
        </w:rPr>
        <w:t>d</w:t>
      </w:r>
      <w:r>
        <w:rPr>
          <w:rFonts w:ascii="Times New Roman" w:hAnsi="Times New Roman" w:cs="Times New Roman"/>
          <w:u w:val="single"/>
        </w:rPr>
        <w:t xml:space="preserve">efendants </w:t>
      </w:r>
      <w:proofErr w:type="gramStart"/>
      <w:r>
        <w:rPr>
          <w:rFonts w:ascii="Times New Roman" w:hAnsi="Times New Roman" w:cs="Times New Roman"/>
          <w:u w:val="single"/>
        </w:rPr>
        <w:t>are possessing</w:t>
      </w:r>
      <w:proofErr w:type="gramEnd"/>
      <w:r>
        <w:rPr>
          <w:rFonts w:ascii="Times New Roman" w:hAnsi="Times New Roman" w:cs="Times New Roman"/>
          <w:u w:val="single"/>
        </w:rPr>
        <w:t xml:space="preserve"> the property on the basis of the said agreement</w:t>
      </w:r>
      <w:r>
        <w:rPr>
          <w:rFonts w:ascii="Times New Roman" w:hAnsi="Times New Roman" w:cs="Times New Roman"/>
        </w:rPr>
        <w:t xml:space="preserve">….” </w:t>
      </w:r>
      <w:proofErr w:type="gramStart"/>
      <w:r>
        <w:rPr>
          <w:rFonts w:ascii="Times New Roman" w:hAnsi="Times New Roman" w:cs="Times New Roman"/>
          <w:sz w:val="24"/>
          <w:szCs w:val="24"/>
        </w:rPr>
        <w:t>[Emphasis mine].</w:t>
      </w:r>
      <w:proofErr w:type="gramEnd"/>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court a </w:t>
      </w:r>
      <w:r>
        <w:rPr>
          <w:rFonts w:ascii="Times New Roman" w:hAnsi="Times New Roman" w:cs="Times New Roman"/>
          <w:i/>
          <w:iCs/>
          <w:sz w:val="24"/>
          <w:szCs w:val="24"/>
        </w:rPr>
        <w:t>quo</w:t>
      </w:r>
      <w:r>
        <w:rPr>
          <w:rFonts w:ascii="Times New Roman" w:hAnsi="Times New Roman" w:cs="Times New Roman"/>
          <w:sz w:val="24"/>
          <w:szCs w:val="24"/>
        </w:rPr>
        <w:t xml:space="preserve"> noted that the respondent’s claim was based on </w:t>
      </w:r>
      <w:r>
        <w:rPr>
          <w:rFonts w:ascii="Times New Roman" w:hAnsi="Times New Roman" w:cs="Times New Roman"/>
          <w:i/>
          <w:iCs/>
          <w:sz w:val="24"/>
          <w:szCs w:val="24"/>
        </w:rPr>
        <w:t xml:space="preserve">rei </w:t>
      </w:r>
      <w:proofErr w:type="spellStart"/>
      <w:r>
        <w:rPr>
          <w:rFonts w:ascii="Times New Roman" w:hAnsi="Times New Roman" w:cs="Times New Roman"/>
          <w:i/>
          <w:iCs/>
          <w:sz w:val="24"/>
          <w:szCs w:val="24"/>
        </w:rPr>
        <w:t>vindicatio</w:t>
      </w:r>
      <w:proofErr w:type="spellEnd"/>
      <w:r>
        <w:rPr>
          <w:rFonts w:ascii="Times New Roman" w:hAnsi="Times New Roman" w:cs="Times New Roman"/>
          <w:sz w:val="24"/>
          <w:szCs w:val="24"/>
        </w:rPr>
        <w:t>. Against the backdrop of the appellants’ admission of being in possession of the prop</w:t>
      </w:r>
      <w:r>
        <w:rPr>
          <w:rFonts w:ascii="Times New Roman" w:hAnsi="Times New Roman" w:cs="Times New Roman"/>
          <w:sz w:val="24"/>
          <w:szCs w:val="24"/>
        </w:rPr>
        <w:t xml:space="preserve">erty, once the court a </w:t>
      </w:r>
      <w:r>
        <w:rPr>
          <w:rFonts w:ascii="Times New Roman" w:hAnsi="Times New Roman" w:cs="Times New Roman"/>
          <w:i/>
          <w:iCs/>
          <w:sz w:val="24"/>
          <w:szCs w:val="24"/>
        </w:rPr>
        <w:t>quo</w:t>
      </w:r>
      <w:r>
        <w:rPr>
          <w:rFonts w:ascii="Times New Roman" w:hAnsi="Times New Roman" w:cs="Times New Roman"/>
          <w:sz w:val="24"/>
          <w:szCs w:val="24"/>
        </w:rPr>
        <w:t xml:space="preserve"> established that the respondent owns the property and that the appellants’ possession was unlawful, the respondent was entitled to the relief it was seeking.</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It is on this basis that I find that the third ground of appeal lacks m</w:t>
      </w:r>
      <w:r>
        <w:rPr>
          <w:rFonts w:ascii="Times New Roman" w:hAnsi="Times New Roman" w:cs="Times New Roman"/>
          <w:sz w:val="24"/>
          <w:szCs w:val="24"/>
        </w:rPr>
        <w:t xml:space="preserve">erit. </w:t>
      </w:r>
    </w:p>
    <w:p w:rsidR="00DA28BE" w:rsidRDefault="0002175D">
      <w:pPr>
        <w:spacing w:after="0" w:line="360" w:lineRule="auto"/>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MATERIAL DEVELOPMENTS POST HEARING OF THE ARGUMENTS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After we heard arguments in this appeal, we reserved judgment </w:t>
      </w:r>
      <w:r>
        <w:rPr>
          <w:rFonts w:ascii="Times New Roman" w:hAnsi="Times New Roman" w:cs="Times New Roman"/>
          <w:sz w:val="24"/>
          <w:szCs w:val="24"/>
          <w:lang w:val="en-GB"/>
        </w:rPr>
        <w:t>to consider the written and oral submissions that had been made. Before we handed down this judgment, the respondent wrote a letter to</w:t>
      </w:r>
      <w:r>
        <w:rPr>
          <w:rFonts w:ascii="Times New Roman" w:hAnsi="Times New Roman" w:cs="Times New Roman"/>
          <w:sz w:val="24"/>
          <w:szCs w:val="24"/>
          <w:lang w:val="en-GB"/>
        </w:rPr>
        <w:t xml:space="preserve"> us, purportedly acting on the authority of </w:t>
      </w:r>
      <w:proofErr w:type="spellStart"/>
      <w:r>
        <w:rPr>
          <w:rFonts w:ascii="Times New Roman" w:hAnsi="Times New Roman" w:cs="Times New Roman"/>
          <w:i/>
          <w:iCs/>
          <w:sz w:val="24"/>
          <w:szCs w:val="24"/>
          <w:lang w:val="en-GB"/>
        </w:rPr>
        <w:t>Mhungu</w:t>
      </w:r>
      <w:proofErr w:type="spellEnd"/>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v</w:t>
      </w:r>
      <w:r>
        <w:rPr>
          <w:rFonts w:ascii="Times New Roman" w:hAnsi="Times New Roman" w:cs="Times New Roman"/>
          <w:i/>
          <w:iCs/>
          <w:sz w:val="24"/>
          <w:szCs w:val="24"/>
          <w:lang w:val="en-GB"/>
        </w:rPr>
        <w:t xml:space="preserve"> </w:t>
      </w:r>
      <w:proofErr w:type="spellStart"/>
      <w:r>
        <w:rPr>
          <w:rFonts w:ascii="Times New Roman" w:hAnsi="Times New Roman" w:cs="Times New Roman"/>
          <w:i/>
          <w:iCs/>
          <w:sz w:val="24"/>
          <w:szCs w:val="24"/>
          <w:lang w:val="en-GB"/>
        </w:rPr>
        <w:t>Mtindi</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lang w:val="en-GB"/>
        </w:rPr>
        <w:lastRenderedPageBreak/>
        <w:t xml:space="preserve">1986 (2) ZLR 171 (SC). In the letter, Mr </w:t>
      </w:r>
      <w:proofErr w:type="spellStart"/>
      <w:r>
        <w:rPr>
          <w:rFonts w:ascii="Times New Roman" w:hAnsi="Times New Roman" w:cs="Times New Roman"/>
          <w:i/>
          <w:iCs/>
          <w:sz w:val="24"/>
          <w:szCs w:val="24"/>
          <w:lang w:val="en-GB"/>
        </w:rPr>
        <w:t>Ushewokunze</w:t>
      </w:r>
      <w:proofErr w:type="spellEnd"/>
      <w:r>
        <w:rPr>
          <w:rFonts w:ascii="Times New Roman" w:hAnsi="Times New Roman" w:cs="Times New Roman"/>
          <w:sz w:val="24"/>
          <w:szCs w:val="24"/>
          <w:lang w:val="en-GB"/>
        </w:rPr>
        <w:t xml:space="preserve"> sought to bring to our attention that the first appellant’s three cases filed in 2006 which were pending before the High </w:t>
      </w:r>
      <w:proofErr w:type="gramStart"/>
      <w:r>
        <w:rPr>
          <w:rFonts w:ascii="Times New Roman" w:hAnsi="Times New Roman" w:cs="Times New Roman"/>
          <w:sz w:val="24"/>
          <w:szCs w:val="24"/>
          <w:lang w:val="en-GB"/>
        </w:rPr>
        <w:t>Court,</w:t>
      </w:r>
      <w:proofErr w:type="gramEnd"/>
      <w:r>
        <w:rPr>
          <w:rFonts w:ascii="Times New Roman" w:hAnsi="Times New Roman" w:cs="Times New Roman"/>
          <w:sz w:val="24"/>
          <w:szCs w:val="24"/>
          <w:lang w:val="en-GB"/>
        </w:rPr>
        <w:t xml:space="preserve"> had been dismissed for want of prosecution. </w:t>
      </w:r>
      <w:r>
        <w:rPr>
          <w:rFonts w:ascii="Times New Roman" w:hAnsi="Times New Roman" w:cs="Times New Roman"/>
          <w:sz w:val="24"/>
          <w:szCs w:val="24"/>
        </w:rPr>
        <w:t xml:space="preserve">Mr </w:t>
      </w:r>
      <w:proofErr w:type="spellStart"/>
      <w:r>
        <w:rPr>
          <w:rFonts w:ascii="Times New Roman" w:hAnsi="Times New Roman" w:cs="Times New Roman"/>
          <w:i/>
          <w:iCs/>
          <w:sz w:val="24"/>
          <w:szCs w:val="24"/>
        </w:rPr>
        <w:t>Mkwachari</w:t>
      </w:r>
      <w:proofErr w:type="spellEnd"/>
      <w:r>
        <w:rPr>
          <w:rFonts w:ascii="Times New Roman" w:hAnsi="Times New Roman" w:cs="Times New Roman"/>
          <w:sz w:val="24"/>
          <w:szCs w:val="24"/>
        </w:rPr>
        <w:t xml:space="preserve"> has taken exception to Mr </w:t>
      </w:r>
      <w:proofErr w:type="spellStart"/>
      <w:r>
        <w:rPr>
          <w:rFonts w:ascii="Times New Roman" w:hAnsi="Times New Roman" w:cs="Times New Roman"/>
          <w:i/>
          <w:iCs/>
          <w:sz w:val="24"/>
          <w:szCs w:val="24"/>
        </w:rPr>
        <w:t>Ushewokunze</w:t>
      </w:r>
      <w:r>
        <w:rPr>
          <w:rFonts w:ascii="Times New Roman" w:hAnsi="Times New Roman" w:cs="Times New Roman"/>
          <w:sz w:val="24"/>
          <w:szCs w:val="24"/>
        </w:rPr>
        <w:t>’s</w:t>
      </w:r>
      <w:proofErr w:type="spellEnd"/>
      <w:r>
        <w:rPr>
          <w:rFonts w:ascii="Times New Roman" w:hAnsi="Times New Roman" w:cs="Times New Roman"/>
          <w:sz w:val="24"/>
          <w:szCs w:val="24"/>
        </w:rPr>
        <w:t xml:space="preserve"> conduct and rightly so.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i</w:t>
      </w:r>
      <w:r>
        <w:rPr>
          <w:rFonts w:ascii="Times New Roman" w:hAnsi="Times New Roman" w:cs="Times New Roman"/>
          <w:sz w:val="24"/>
          <w:szCs w:val="24"/>
        </w:rPr>
        <w:t xml:space="preserve">ssue of those applications was never an issue before this court. It is irregular for Mr </w:t>
      </w:r>
      <w:proofErr w:type="spellStart"/>
      <w:r>
        <w:rPr>
          <w:rFonts w:ascii="Times New Roman" w:hAnsi="Times New Roman" w:cs="Times New Roman"/>
          <w:i/>
          <w:iCs/>
          <w:sz w:val="24"/>
          <w:szCs w:val="24"/>
        </w:rPr>
        <w:t>Ushewokunze</w:t>
      </w:r>
      <w:proofErr w:type="spellEnd"/>
      <w:r>
        <w:rPr>
          <w:rFonts w:ascii="Times New Roman" w:hAnsi="Times New Roman" w:cs="Times New Roman"/>
          <w:sz w:val="24"/>
          <w:szCs w:val="24"/>
        </w:rPr>
        <w:t xml:space="preserve"> to </w:t>
      </w:r>
      <w:r>
        <w:rPr>
          <w:rFonts w:ascii="Times New Roman" w:hAnsi="Times New Roman" w:cs="Times New Roman"/>
          <w:sz w:val="24"/>
          <w:szCs w:val="24"/>
          <w:lang w:val="en-GB"/>
        </w:rPr>
        <w:t xml:space="preserve">attempt to </w:t>
      </w:r>
      <w:proofErr w:type="spellStart"/>
      <w:r>
        <w:rPr>
          <w:rFonts w:ascii="Times New Roman" w:hAnsi="Times New Roman" w:cs="Times New Roman"/>
          <w:sz w:val="24"/>
          <w:szCs w:val="24"/>
          <w:lang w:val="en-GB"/>
        </w:rPr>
        <w:t>unprocedurally</w:t>
      </w:r>
      <w:proofErr w:type="spellEnd"/>
      <w:r>
        <w:rPr>
          <w:rFonts w:ascii="Times New Roman" w:hAnsi="Times New Roman" w:cs="Times New Roman"/>
          <w:sz w:val="24"/>
          <w:szCs w:val="24"/>
          <w:lang w:val="en-GB"/>
        </w:rPr>
        <w:t xml:space="preserve"> place a non-issue before the court under the guise of the court’s power to refer to its own records. Mr </w:t>
      </w:r>
      <w:proofErr w:type="spellStart"/>
      <w:r>
        <w:rPr>
          <w:rFonts w:ascii="Times New Roman" w:hAnsi="Times New Roman" w:cs="Times New Roman"/>
          <w:i/>
          <w:iCs/>
          <w:sz w:val="24"/>
          <w:szCs w:val="24"/>
          <w:lang w:val="en-GB"/>
        </w:rPr>
        <w:t>Ushewokunze</w:t>
      </w:r>
      <w:r>
        <w:rPr>
          <w:rFonts w:ascii="Times New Roman" w:hAnsi="Times New Roman" w:cs="Times New Roman"/>
          <w:sz w:val="24"/>
          <w:szCs w:val="24"/>
          <w:lang w:val="en-GB"/>
        </w:rPr>
        <w:t>’s</w:t>
      </w:r>
      <w:proofErr w:type="spellEnd"/>
      <w:r>
        <w:rPr>
          <w:rFonts w:ascii="Times New Roman" w:hAnsi="Times New Roman" w:cs="Times New Roman"/>
          <w:sz w:val="24"/>
          <w:szCs w:val="24"/>
          <w:lang w:val="en-GB"/>
        </w:rPr>
        <w:t xml:space="preserve"> conduct i</w:t>
      </w:r>
      <w:r>
        <w:rPr>
          <w:rFonts w:ascii="Times New Roman" w:hAnsi="Times New Roman" w:cs="Times New Roman"/>
          <w:sz w:val="24"/>
          <w:szCs w:val="24"/>
          <w:lang w:val="en-GB"/>
        </w:rPr>
        <w:t>s not only unprofessional but highly unethical. It smacks of an improper but futile attempt to sway the court in a certain direction. Such conduct gravely undermines the integrity of the justice delivery system and cannot be countenanced. As a mark of my d</w:t>
      </w:r>
      <w:r>
        <w:rPr>
          <w:rFonts w:ascii="Times New Roman" w:hAnsi="Times New Roman" w:cs="Times New Roman"/>
          <w:sz w:val="24"/>
          <w:szCs w:val="24"/>
          <w:lang w:val="en-GB"/>
        </w:rPr>
        <w:t xml:space="preserve">ispleasure with the respondent, I decline to make an order as to costs. </w:t>
      </w:r>
    </w:p>
    <w:p w:rsidR="00DA28BE" w:rsidRDefault="0002175D">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DISPOSITION  </w:t>
      </w:r>
    </w:p>
    <w:p w:rsidR="00DA28BE" w:rsidRDefault="0002175D">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As a result, I make the following order:</w:t>
      </w:r>
    </w:p>
    <w:p w:rsidR="00DA28BE" w:rsidRDefault="00DA28BE">
      <w:pPr>
        <w:pStyle w:val="ListParagraph"/>
        <w:spacing w:line="360" w:lineRule="auto"/>
        <w:ind w:left="426"/>
        <w:jc w:val="both"/>
        <w:rPr>
          <w:rFonts w:ascii="Times New Roman" w:hAnsi="Times New Roman" w:cs="Times New Roman"/>
          <w:sz w:val="24"/>
          <w:szCs w:val="24"/>
        </w:rPr>
      </w:pPr>
    </w:p>
    <w:p w:rsidR="00DA28BE" w:rsidRDefault="0002175D">
      <w:pPr>
        <w:pStyle w:val="ListParagraph"/>
        <w:numPr>
          <w:ilvl w:val="3"/>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ground of appeal be and is hereby struck off. </w:t>
      </w:r>
    </w:p>
    <w:p w:rsidR="00DA28BE" w:rsidRDefault="0002175D">
      <w:pPr>
        <w:pStyle w:val="ListParagraph"/>
        <w:numPr>
          <w:ilvl w:val="3"/>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 in respect of the second and th</w:t>
      </w:r>
      <w:r>
        <w:rPr>
          <w:rFonts w:ascii="Times New Roman" w:hAnsi="Times New Roman" w:cs="Times New Roman"/>
          <w:sz w:val="24"/>
          <w:szCs w:val="24"/>
        </w:rPr>
        <w:t xml:space="preserve">ird grounds of appeal. </w:t>
      </w:r>
    </w:p>
    <w:p w:rsidR="00DA28BE" w:rsidRDefault="0002175D">
      <w:pPr>
        <w:pStyle w:val="ListParagraph"/>
        <w:numPr>
          <w:ilvl w:val="3"/>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order as to costs. </w:t>
      </w:r>
    </w:p>
    <w:p w:rsidR="00DA28BE" w:rsidRDefault="00DA28BE">
      <w:pPr>
        <w:spacing w:after="0" w:line="240" w:lineRule="auto"/>
        <w:jc w:val="both"/>
        <w:rPr>
          <w:rFonts w:ascii="Times New Roman" w:hAnsi="Times New Roman" w:cs="Times New Roman"/>
          <w:b/>
          <w:bCs/>
          <w:smallCaps/>
          <w:sz w:val="24"/>
          <w:szCs w:val="24"/>
        </w:rPr>
      </w:pPr>
    </w:p>
    <w:p w:rsidR="00DA28BE" w:rsidRDefault="0002175D">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mallCaps/>
          <w:sz w:val="24"/>
          <w:szCs w:val="24"/>
        </w:rPr>
        <w:t>Mushure</w:t>
      </w:r>
      <w:proofErr w:type="spellEnd"/>
      <w:r>
        <w:rPr>
          <w:rFonts w:ascii="Times New Roman" w:hAnsi="Times New Roman" w:cs="Times New Roman"/>
          <w:b/>
          <w:bCs/>
          <w:smallCaps/>
          <w:sz w:val="24"/>
          <w:szCs w:val="24"/>
        </w:rPr>
        <w:t xml:space="preserve"> J</w:t>
      </w:r>
      <w:r>
        <w:rPr>
          <w:rFonts w:ascii="Times New Roman" w:hAnsi="Times New Roman" w:cs="Times New Roman"/>
          <w:sz w:val="24"/>
          <w:szCs w:val="24"/>
        </w:rPr>
        <w:t>: .............................</w:t>
      </w:r>
    </w:p>
    <w:p w:rsidR="00DA28BE" w:rsidRDefault="00DA28BE">
      <w:pPr>
        <w:rPr>
          <w:rFonts w:ascii="Times New Roman" w:hAnsi="Times New Roman" w:cs="Times New Roman"/>
          <w:sz w:val="24"/>
          <w:szCs w:val="24"/>
        </w:rPr>
      </w:pPr>
    </w:p>
    <w:p w:rsidR="00DA28BE" w:rsidRDefault="00DA28BE">
      <w:pPr>
        <w:rPr>
          <w:rFonts w:ascii="Times New Roman" w:hAnsi="Times New Roman" w:cs="Times New Roman"/>
          <w:sz w:val="24"/>
          <w:szCs w:val="24"/>
        </w:rPr>
      </w:pPr>
    </w:p>
    <w:p w:rsidR="00DA28BE" w:rsidRDefault="0002175D">
      <w:pPr>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 xml:space="preserve">V. </w:t>
      </w:r>
      <w:proofErr w:type="spellStart"/>
      <w:r>
        <w:rPr>
          <w:rFonts w:ascii="Times New Roman" w:hAnsi="Times New Roman" w:cs="Times New Roman"/>
          <w:b/>
          <w:bCs/>
          <w:smallCaps/>
          <w:sz w:val="24"/>
          <w:szCs w:val="24"/>
        </w:rPr>
        <w:t>Ndlovu</w:t>
      </w:r>
      <w:proofErr w:type="spellEnd"/>
      <w:r>
        <w:rPr>
          <w:rFonts w:ascii="Times New Roman" w:hAnsi="Times New Roman" w:cs="Times New Roman"/>
          <w:b/>
          <w:bCs/>
          <w:smallCaps/>
          <w:sz w:val="24"/>
          <w:szCs w:val="24"/>
        </w:rPr>
        <w:t xml:space="preserve"> J</w:t>
      </w:r>
      <w:r>
        <w:rPr>
          <w:rFonts w:ascii="Times New Roman" w:hAnsi="Times New Roman" w:cs="Times New Roman"/>
          <w:sz w:val="24"/>
          <w:szCs w:val="24"/>
        </w:rPr>
        <w:t xml:space="preserve">: ............................. </w:t>
      </w:r>
      <w:proofErr w:type="gramStart"/>
      <w:r>
        <w:rPr>
          <w:rFonts w:ascii="Times New Roman" w:hAnsi="Times New Roman" w:cs="Times New Roman"/>
          <w:sz w:val="24"/>
          <w:szCs w:val="24"/>
        </w:rPr>
        <w:t>agrees</w:t>
      </w:r>
      <w:proofErr w:type="gramEnd"/>
      <w:r>
        <w:rPr>
          <w:rFonts w:ascii="Times New Roman" w:hAnsi="Times New Roman" w:cs="Times New Roman"/>
          <w:sz w:val="24"/>
          <w:szCs w:val="24"/>
        </w:rPr>
        <w:t xml:space="preserve"> </w:t>
      </w:r>
    </w:p>
    <w:p w:rsidR="00DA28BE" w:rsidRDefault="00DA28BE">
      <w:pPr>
        <w:spacing w:after="0" w:line="240" w:lineRule="auto"/>
        <w:jc w:val="both"/>
        <w:rPr>
          <w:rFonts w:ascii="Times New Roman" w:hAnsi="Times New Roman" w:cs="Times New Roman"/>
          <w:sz w:val="24"/>
          <w:szCs w:val="24"/>
        </w:rPr>
      </w:pPr>
    </w:p>
    <w:p w:rsidR="00DA28BE" w:rsidRDefault="0002175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T.H </w:t>
      </w:r>
      <w:proofErr w:type="spellStart"/>
      <w:r>
        <w:rPr>
          <w:rFonts w:ascii="Times New Roman" w:hAnsi="Times New Roman" w:cs="Times New Roman"/>
          <w:i/>
          <w:sz w:val="24"/>
          <w:szCs w:val="24"/>
        </w:rPr>
        <w:t>Chitapi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appellant’s legal practitioners </w:t>
      </w:r>
    </w:p>
    <w:p w:rsidR="00DA28BE" w:rsidRDefault="0002175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Ushewokunze</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xml:space="preserve">, respondent’s legal practitioners </w:t>
      </w:r>
      <w:bookmarkEnd w:id="0"/>
    </w:p>
    <w:p w:rsidR="00DA28BE" w:rsidRDefault="00DA28BE">
      <w:pPr>
        <w:rPr>
          <w:rFonts w:ascii="Times New Roman" w:hAnsi="Times New Roman" w:cs="Times New Roman"/>
          <w:sz w:val="24"/>
          <w:szCs w:val="24"/>
        </w:rPr>
      </w:pPr>
    </w:p>
    <w:p w:rsidR="00DA28BE" w:rsidRDefault="00DA28BE"/>
    <w:sectPr w:rsidR="00DA28B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75D" w:rsidRDefault="0002175D">
      <w:pPr>
        <w:spacing w:line="240" w:lineRule="auto"/>
      </w:pPr>
      <w:r>
        <w:separator/>
      </w:r>
    </w:p>
  </w:endnote>
  <w:endnote w:type="continuationSeparator" w:id="0">
    <w:p w:rsidR="0002175D" w:rsidRDefault="00021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BE" w:rsidRDefault="00DA2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BE" w:rsidRDefault="00DA28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BE" w:rsidRDefault="00DA2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75D" w:rsidRDefault="0002175D">
      <w:pPr>
        <w:spacing w:after="0"/>
      </w:pPr>
      <w:r>
        <w:separator/>
      </w:r>
    </w:p>
  </w:footnote>
  <w:footnote w:type="continuationSeparator" w:id="0">
    <w:p w:rsidR="0002175D" w:rsidRDefault="0002175D">
      <w:pPr>
        <w:spacing w:after="0"/>
      </w:pPr>
      <w:r>
        <w:continuationSeparator/>
      </w:r>
    </w:p>
  </w:footnote>
  <w:footnote w:id="1">
    <w:p w:rsidR="00DA28BE" w:rsidRDefault="0002175D">
      <w:pPr>
        <w:pStyle w:val="FootnoteText"/>
      </w:pPr>
      <w:r>
        <w:rPr>
          <w:rStyle w:val="FootnoteReference"/>
        </w:rPr>
        <w:footnoteRef/>
      </w:r>
      <w:r>
        <w:t xml:space="preserve"> 1974 (3) SA 13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BE" w:rsidRDefault="00DA2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432582"/>
    </w:sdtPr>
    <w:sdtEndPr/>
    <w:sdtContent>
      <w:p w:rsidR="00DA28BE" w:rsidRDefault="0002175D">
        <w:pPr>
          <w:pStyle w:val="Header"/>
          <w:jc w:val="right"/>
        </w:pPr>
        <w:r>
          <w:fldChar w:fldCharType="begin"/>
        </w:r>
        <w:r>
          <w:instrText xml:space="preserve"> PAGE   \* MERGEFORMAT </w:instrText>
        </w:r>
        <w:r>
          <w:fldChar w:fldCharType="separate"/>
        </w:r>
        <w:r w:rsidR="005E2AA6">
          <w:rPr>
            <w:noProof/>
          </w:rPr>
          <w:t>1</w:t>
        </w:r>
        <w:r>
          <w:fldChar w:fldCharType="end"/>
        </w:r>
      </w:p>
      <w:p w:rsidR="00DA28BE" w:rsidRDefault="0002175D">
        <w:pPr>
          <w:pStyle w:val="Header"/>
          <w:wordWrap w:val="0"/>
          <w:jc w:val="right"/>
        </w:pPr>
        <w:r>
          <w:rPr>
            <w:lang w:val="en-US"/>
          </w:rPr>
          <w:t>HH 520/25</w:t>
        </w:r>
      </w:p>
      <w:p w:rsidR="00DA28BE" w:rsidRDefault="0002175D">
        <w:pPr>
          <w:pStyle w:val="Header"/>
          <w:jc w:val="right"/>
        </w:pPr>
        <w:r>
          <w:t>HCHC821/24</w:t>
        </w:r>
      </w:p>
    </w:sdtContent>
  </w:sdt>
  <w:p w:rsidR="00DA28BE" w:rsidRDefault="00DA28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BE" w:rsidRDefault="00DA2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4662D"/>
    <w:multiLevelType w:val="multilevel"/>
    <w:tmpl w:val="2E64662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EC54AF5"/>
    <w:multiLevelType w:val="multilevel"/>
    <w:tmpl w:val="3EC54AF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43043749"/>
    <w:multiLevelType w:val="multilevel"/>
    <w:tmpl w:val="43043749"/>
    <w:lvl w:ilvl="0">
      <w:start w:val="1"/>
      <w:numFmt w:val="lowerLetter"/>
      <w:lvlText w:val="(%1)"/>
      <w:lvlJc w:val="left"/>
      <w:pPr>
        <w:ind w:left="1796" w:hanging="360"/>
      </w:pPr>
      <w:rPr>
        <w:rFonts w:hint="default"/>
      </w:rPr>
    </w:lvl>
    <w:lvl w:ilvl="1">
      <w:start w:val="1"/>
      <w:numFmt w:val="lowerLetter"/>
      <w:lvlText w:val="%2."/>
      <w:lvlJc w:val="left"/>
      <w:pPr>
        <w:ind w:left="2516" w:hanging="360"/>
      </w:pPr>
    </w:lvl>
    <w:lvl w:ilvl="2">
      <w:start w:val="1"/>
      <w:numFmt w:val="lowerRoman"/>
      <w:lvlText w:val="%3."/>
      <w:lvlJc w:val="right"/>
      <w:pPr>
        <w:ind w:left="3236" w:hanging="180"/>
      </w:pPr>
    </w:lvl>
    <w:lvl w:ilvl="3">
      <w:start w:val="1"/>
      <w:numFmt w:val="decimal"/>
      <w:lvlText w:val="%4."/>
      <w:lvlJc w:val="left"/>
      <w:pPr>
        <w:ind w:left="3956" w:hanging="360"/>
      </w:pPr>
    </w:lvl>
    <w:lvl w:ilvl="4">
      <w:start w:val="1"/>
      <w:numFmt w:val="lowerLetter"/>
      <w:lvlText w:val="%5."/>
      <w:lvlJc w:val="left"/>
      <w:pPr>
        <w:ind w:left="4676" w:hanging="360"/>
      </w:pPr>
    </w:lvl>
    <w:lvl w:ilvl="5">
      <w:start w:val="1"/>
      <w:numFmt w:val="lowerRoman"/>
      <w:lvlText w:val="%6."/>
      <w:lvlJc w:val="right"/>
      <w:pPr>
        <w:ind w:left="5396" w:hanging="180"/>
      </w:pPr>
    </w:lvl>
    <w:lvl w:ilvl="6">
      <w:start w:val="1"/>
      <w:numFmt w:val="decimal"/>
      <w:lvlText w:val="%7."/>
      <w:lvlJc w:val="left"/>
      <w:pPr>
        <w:ind w:left="6116" w:hanging="360"/>
      </w:pPr>
    </w:lvl>
    <w:lvl w:ilvl="7">
      <w:start w:val="1"/>
      <w:numFmt w:val="lowerLetter"/>
      <w:lvlText w:val="%8."/>
      <w:lvlJc w:val="left"/>
      <w:pPr>
        <w:ind w:left="6836" w:hanging="360"/>
      </w:pPr>
    </w:lvl>
    <w:lvl w:ilvl="8">
      <w:start w:val="1"/>
      <w:numFmt w:val="lowerRoman"/>
      <w:lvlText w:val="%9."/>
      <w:lvlJc w:val="right"/>
      <w:pPr>
        <w:ind w:left="7556" w:hanging="180"/>
      </w:pPr>
    </w:lvl>
  </w:abstractNum>
  <w:abstractNum w:abstractNumId="3">
    <w:nsid w:val="44A06528"/>
    <w:multiLevelType w:val="multilevel"/>
    <w:tmpl w:val="44A06528"/>
    <w:lvl w:ilvl="0">
      <w:start w:val="1"/>
      <w:numFmt w:val="lowerRoman"/>
      <w:lvlText w:val="(%1)"/>
      <w:lvlJc w:val="left"/>
      <w:pPr>
        <w:ind w:left="1713" w:hanging="720"/>
      </w:pPr>
      <w:rPr>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1212"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nsid w:val="61456915"/>
    <w:multiLevelType w:val="multilevel"/>
    <w:tmpl w:val="61456915"/>
    <w:lvl w:ilvl="0">
      <w:start w:val="1"/>
      <w:numFmt w:val="decimal"/>
      <w:lvlText w:val="[%1]"/>
      <w:lvlJc w:val="left"/>
      <w:pPr>
        <w:ind w:left="644"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A"/>
    <w:rsid w:val="000030A3"/>
    <w:rsid w:val="000052CC"/>
    <w:rsid w:val="0001334C"/>
    <w:rsid w:val="00017646"/>
    <w:rsid w:val="0002175D"/>
    <w:rsid w:val="0002640B"/>
    <w:rsid w:val="000273B5"/>
    <w:rsid w:val="000351E4"/>
    <w:rsid w:val="00047DA4"/>
    <w:rsid w:val="0005338F"/>
    <w:rsid w:val="00056402"/>
    <w:rsid w:val="00065F40"/>
    <w:rsid w:val="00067E27"/>
    <w:rsid w:val="00080AC2"/>
    <w:rsid w:val="000A23CD"/>
    <w:rsid w:val="000A75BB"/>
    <w:rsid w:val="000C1593"/>
    <w:rsid w:val="000C1A39"/>
    <w:rsid w:val="000C2B0C"/>
    <w:rsid w:val="000C377A"/>
    <w:rsid w:val="000D0480"/>
    <w:rsid w:val="000D30F1"/>
    <w:rsid w:val="000D34B5"/>
    <w:rsid w:val="000D64BD"/>
    <w:rsid w:val="000D75F2"/>
    <w:rsid w:val="000E7C6D"/>
    <w:rsid w:val="000F0A22"/>
    <w:rsid w:val="000F1F38"/>
    <w:rsid w:val="001003F9"/>
    <w:rsid w:val="001123B9"/>
    <w:rsid w:val="0011391F"/>
    <w:rsid w:val="00132EFE"/>
    <w:rsid w:val="00145162"/>
    <w:rsid w:val="00146446"/>
    <w:rsid w:val="00152CD7"/>
    <w:rsid w:val="001574A3"/>
    <w:rsid w:val="00161CA6"/>
    <w:rsid w:val="00162000"/>
    <w:rsid w:val="00162AF2"/>
    <w:rsid w:val="00166371"/>
    <w:rsid w:val="00175C77"/>
    <w:rsid w:val="00184A7D"/>
    <w:rsid w:val="001A07D0"/>
    <w:rsid w:val="001B451A"/>
    <w:rsid w:val="001B5AE4"/>
    <w:rsid w:val="001C09B2"/>
    <w:rsid w:val="001C4161"/>
    <w:rsid w:val="001C4BF3"/>
    <w:rsid w:val="001C5AAF"/>
    <w:rsid w:val="001D2132"/>
    <w:rsid w:val="001D4195"/>
    <w:rsid w:val="001E0BD2"/>
    <w:rsid w:val="001E0DC4"/>
    <w:rsid w:val="001E5A25"/>
    <w:rsid w:val="00200CA7"/>
    <w:rsid w:val="00210263"/>
    <w:rsid w:val="00213F9D"/>
    <w:rsid w:val="00213FED"/>
    <w:rsid w:val="00214099"/>
    <w:rsid w:val="002141EE"/>
    <w:rsid w:val="0021523A"/>
    <w:rsid w:val="0024583B"/>
    <w:rsid w:val="00246765"/>
    <w:rsid w:val="00254A1B"/>
    <w:rsid w:val="0026251D"/>
    <w:rsid w:val="002738F5"/>
    <w:rsid w:val="002755C5"/>
    <w:rsid w:val="0029306D"/>
    <w:rsid w:val="002A3EE4"/>
    <w:rsid w:val="002A6FB5"/>
    <w:rsid w:val="002B2E16"/>
    <w:rsid w:val="002B2FBF"/>
    <w:rsid w:val="002C1473"/>
    <w:rsid w:val="002C199B"/>
    <w:rsid w:val="002D384A"/>
    <w:rsid w:val="002E57E9"/>
    <w:rsid w:val="002E7175"/>
    <w:rsid w:val="002F2FE8"/>
    <w:rsid w:val="00300D38"/>
    <w:rsid w:val="00304C32"/>
    <w:rsid w:val="00305074"/>
    <w:rsid w:val="00305F02"/>
    <w:rsid w:val="003135DC"/>
    <w:rsid w:val="00315040"/>
    <w:rsid w:val="0031672B"/>
    <w:rsid w:val="00316DDD"/>
    <w:rsid w:val="0032534A"/>
    <w:rsid w:val="0032741D"/>
    <w:rsid w:val="00335284"/>
    <w:rsid w:val="003363C1"/>
    <w:rsid w:val="003578E1"/>
    <w:rsid w:val="00360CC3"/>
    <w:rsid w:val="00364CE8"/>
    <w:rsid w:val="00381598"/>
    <w:rsid w:val="0039055A"/>
    <w:rsid w:val="00394407"/>
    <w:rsid w:val="0039680C"/>
    <w:rsid w:val="003A5C2C"/>
    <w:rsid w:val="003A6E4B"/>
    <w:rsid w:val="003B37D8"/>
    <w:rsid w:val="003C4487"/>
    <w:rsid w:val="003C557C"/>
    <w:rsid w:val="003C5E17"/>
    <w:rsid w:val="003D2895"/>
    <w:rsid w:val="003D3B11"/>
    <w:rsid w:val="003D4891"/>
    <w:rsid w:val="003E348D"/>
    <w:rsid w:val="003F6397"/>
    <w:rsid w:val="003F746D"/>
    <w:rsid w:val="00400B1A"/>
    <w:rsid w:val="004027CD"/>
    <w:rsid w:val="00406A45"/>
    <w:rsid w:val="00406E72"/>
    <w:rsid w:val="00416AE9"/>
    <w:rsid w:val="00420285"/>
    <w:rsid w:val="00424632"/>
    <w:rsid w:val="004253C0"/>
    <w:rsid w:val="00430532"/>
    <w:rsid w:val="00430B90"/>
    <w:rsid w:val="00432EC5"/>
    <w:rsid w:val="00435C3F"/>
    <w:rsid w:val="0044022F"/>
    <w:rsid w:val="00443C58"/>
    <w:rsid w:val="004445B8"/>
    <w:rsid w:val="0045034C"/>
    <w:rsid w:val="0045184F"/>
    <w:rsid w:val="004549B1"/>
    <w:rsid w:val="00461862"/>
    <w:rsid w:val="004625BA"/>
    <w:rsid w:val="0048121D"/>
    <w:rsid w:val="00481ADA"/>
    <w:rsid w:val="00487280"/>
    <w:rsid w:val="00490B2B"/>
    <w:rsid w:val="00490CF4"/>
    <w:rsid w:val="00492259"/>
    <w:rsid w:val="004A5C6E"/>
    <w:rsid w:val="004C48EE"/>
    <w:rsid w:val="004C5761"/>
    <w:rsid w:val="004C733C"/>
    <w:rsid w:val="004D1C4F"/>
    <w:rsid w:val="004E0112"/>
    <w:rsid w:val="004E2428"/>
    <w:rsid w:val="004E4C8E"/>
    <w:rsid w:val="004F5763"/>
    <w:rsid w:val="00502901"/>
    <w:rsid w:val="00512083"/>
    <w:rsid w:val="005140D5"/>
    <w:rsid w:val="00515D5B"/>
    <w:rsid w:val="00521773"/>
    <w:rsid w:val="00523AFC"/>
    <w:rsid w:val="00525212"/>
    <w:rsid w:val="0053480F"/>
    <w:rsid w:val="00535603"/>
    <w:rsid w:val="00540F12"/>
    <w:rsid w:val="00550363"/>
    <w:rsid w:val="00563D2E"/>
    <w:rsid w:val="005722DC"/>
    <w:rsid w:val="00574325"/>
    <w:rsid w:val="00587E08"/>
    <w:rsid w:val="00595618"/>
    <w:rsid w:val="005B4E89"/>
    <w:rsid w:val="005B74EE"/>
    <w:rsid w:val="005E2AA6"/>
    <w:rsid w:val="005E3BF4"/>
    <w:rsid w:val="005F047B"/>
    <w:rsid w:val="006101FD"/>
    <w:rsid w:val="00614003"/>
    <w:rsid w:val="006328BB"/>
    <w:rsid w:val="0063781C"/>
    <w:rsid w:val="00650866"/>
    <w:rsid w:val="00653D9C"/>
    <w:rsid w:val="00660FA4"/>
    <w:rsid w:val="00661C93"/>
    <w:rsid w:val="00663403"/>
    <w:rsid w:val="00666BD2"/>
    <w:rsid w:val="00667CCE"/>
    <w:rsid w:val="006732E8"/>
    <w:rsid w:val="0067584C"/>
    <w:rsid w:val="00676C29"/>
    <w:rsid w:val="006849EF"/>
    <w:rsid w:val="006902E1"/>
    <w:rsid w:val="00691A3F"/>
    <w:rsid w:val="00694B5A"/>
    <w:rsid w:val="006A0EB9"/>
    <w:rsid w:val="006A6315"/>
    <w:rsid w:val="006B051D"/>
    <w:rsid w:val="006B110B"/>
    <w:rsid w:val="006B4F0B"/>
    <w:rsid w:val="006C2B98"/>
    <w:rsid w:val="006C7013"/>
    <w:rsid w:val="006D0ADC"/>
    <w:rsid w:val="006D71DB"/>
    <w:rsid w:val="006E2C39"/>
    <w:rsid w:val="006F1789"/>
    <w:rsid w:val="006F490C"/>
    <w:rsid w:val="006F7773"/>
    <w:rsid w:val="00700DB5"/>
    <w:rsid w:val="00705945"/>
    <w:rsid w:val="00706958"/>
    <w:rsid w:val="007125F1"/>
    <w:rsid w:val="00722B1B"/>
    <w:rsid w:val="007271A5"/>
    <w:rsid w:val="007337EB"/>
    <w:rsid w:val="007437BB"/>
    <w:rsid w:val="00745136"/>
    <w:rsid w:val="007537AB"/>
    <w:rsid w:val="00754011"/>
    <w:rsid w:val="00766410"/>
    <w:rsid w:val="0076647F"/>
    <w:rsid w:val="00772BC5"/>
    <w:rsid w:val="00781670"/>
    <w:rsid w:val="007861EF"/>
    <w:rsid w:val="007901E8"/>
    <w:rsid w:val="00790429"/>
    <w:rsid w:val="00790C24"/>
    <w:rsid w:val="007A2961"/>
    <w:rsid w:val="007A35FC"/>
    <w:rsid w:val="007A6D52"/>
    <w:rsid w:val="007A75CC"/>
    <w:rsid w:val="007B7E0C"/>
    <w:rsid w:val="007C1FF9"/>
    <w:rsid w:val="007C385C"/>
    <w:rsid w:val="007D75B8"/>
    <w:rsid w:val="007F2E96"/>
    <w:rsid w:val="008001B8"/>
    <w:rsid w:val="00805BBD"/>
    <w:rsid w:val="00807525"/>
    <w:rsid w:val="0081453E"/>
    <w:rsid w:val="00815A2B"/>
    <w:rsid w:val="00817AF1"/>
    <w:rsid w:val="00820327"/>
    <w:rsid w:val="008328BE"/>
    <w:rsid w:val="00844C60"/>
    <w:rsid w:val="008522BC"/>
    <w:rsid w:val="00853EC2"/>
    <w:rsid w:val="008614C4"/>
    <w:rsid w:val="00863C8A"/>
    <w:rsid w:val="00865430"/>
    <w:rsid w:val="00865A6A"/>
    <w:rsid w:val="008715A2"/>
    <w:rsid w:val="00876B5F"/>
    <w:rsid w:val="00880209"/>
    <w:rsid w:val="00880536"/>
    <w:rsid w:val="00881E8C"/>
    <w:rsid w:val="008829F3"/>
    <w:rsid w:val="0088360C"/>
    <w:rsid w:val="008A03AA"/>
    <w:rsid w:val="008A3AFF"/>
    <w:rsid w:val="008A4F1B"/>
    <w:rsid w:val="008A73AD"/>
    <w:rsid w:val="008B0205"/>
    <w:rsid w:val="008B305E"/>
    <w:rsid w:val="008B7476"/>
    <w:rsid w:val="008D5449"/>
    <w:rsid w:val="008E6868"/>
    <w:rsid w:val="008F059C"/>
    <w:rsid w:val="008F4395"/>
    <w:rsid w:val="008F4D3F"/>
    <w:rsid w:val="009005DF"/>
    <w:rsid w:val="00903CBA"/>
    <w:rsid w:val="009044A2"/>
    <w:rsid w:val="00916097"/>
    <w:rsid w:val="00917A8F"/>
    <w:rsid w:val="009219E7"/>
    <w:rsid w:val="00924A78"/>
    <w:rsid w:val="00925954"/>
    <w:rsid w:val="00926A3C"/>
    <w:rsid w:val="0092785B"/>
    <w:rsid w:val="00930022"/>
    <w:rsid w:val="00936215"/>
    <w:rsid w:val="009373CF"/>
    <w:rsid w:val="009413AB"/>
    <w:rsid w:val="00942674"/>
    <w:rsid w:val="0094744E"/>
    <w:rsid w:val="00966B9D"/>
    <w:rsid w:val="009707D0"/>
    <w:rsid w:val="00970D19"/>
    <w:rsid w:val="00970F53"/>
    <w:rsid w:val="0097731F"/>
    <w:rsid w:val="00982C08"/>
    <w:rsid w:val="00985EC1"/>
    <w:rsid w:val="00992812"/>
    <w:rsid w:val="009C7E66"/>
    <w:rsid w:val="009E011C"/>
    <w:rsid w:val="009F4EC7"/>
    <w:rsid w:val="009F5F07"/>
    <w:rsid w:val="00A11BB8"/>
    <w:rsid w:val="00A27180"/>
    <w:rsid w:val="00A37549"/>
    <w:rsid w:val="00A51653"/>
    <w:rsid w:val="00A621C4"/>
    <w:rsid w:val="00A66786"/>
    <w:rsid w:val="00A67CAC"/>
    <w:rsid w:val="00A714C9"/>
    <w:rsid w:val="00A75F5E"/>
    <w:rsid w:val="00A8470A"/>
    <w:rsid w:val="00A92447"/>
    <w:rsid w:val="00A960ED"/>
    <w:rsid w:val="00AA0368"/>
    <w:rsid w:val="00AA7241"/>
    <w:rsid w:val="00AB2C0F"/>
    <w:rsid w:val="00AB3AED"/>
    <w:rsid w:val="00AB4E48"/>
    <w:rsid w:val="00AC0DB8"/>
    <w:rsid w:val="00AC154C"/>
    <w:rsid w:val="00AC2131"/>
    <w:rsid w:val="00AC7DB6"/>
    <w:rsid w:val="00AD0C85"/>
    <w:rsid w:val="00AD60EA"/>
    <w:rsid w:val="00AE06C3"/>
    <w:rsid w:val="00AE5468"/>
    <w:rsid w:val="00AE7D10"/>
    <w:rsid w:val="00AF1A42"/>
    <w:rsid w:val="00AF24F7"/>
    <w:rsid w:val="00B00634"/>
    <w:rsid w:val="00B03009"/>
    <w:rsid w:val="00B033B4"/>
    <w:rsid w:val="00B035E7"/>
    <w:rsid w:val="00B20DEC"/>
    <w:rsid w:val="00B276A7"/>
    <w:rsid w:val="00B30715"/>
    <w:rsid w:val="00B42242"/>
    <w:rsid w:val="00B51F03"/>
    <w:rsid w:val="00B63E5B"/>
    <w:rsid w:val="00B64438"/>
    <w:rsid w:val="00B71536"/>
    <w:rsid w:val="00B7686B"/>
    <w:rsid w:val="00B94733"/>
    <w:rsid w:val="00B95A27"/>
    <w:rsid w:val="00B9722B"/>
    <w:rsid w:val="00BA257D"/>
    <w:rsid w:val="00BB2B5A"/>
    <w:rsid w:val="00BC18D2"/>
    <w:rsid w:val="00BC76BF"/>
    <w:rsid w:val="00BD5090"/>
    <w:rsid w:val="00BD78B7"/>
    <w:rsid w:val="00BE09B9"/>
    <w:rsid w:val="00BE482E"/>
    <w:rsid w:val="00BF0001"/>
    <w:rsid w:val="00C04BA8"/>
    <w:rsid w:val="00C05831"/>
    <w:rsid w:val="00C06E72"/>
    <w:rsid w:val="00C07CFE"/>
    <w:rsid w:val="00C10E08"/>
    <w:rsid w:val="00C11DE7"/>
    <w:rsid w:val="00C15A78"/>
    <w:rsid w:val="00C172E3"/>
    <w:rsid w:val="00C267EF"/>
    <w:rsid w:val="00C33BC6"/>
    <w:rsid w:val="00C400B6"/>
    <w:rsid w:val="00C4254C"/>
    <w:rsid w:val="00C43B2C"/>
    <w:rsid w:val="00C51E26"/>
    <w:rsid w:val="00C5448C"/>
    <w:rsid w:val="00C60A9E"/>
    <w:rsid w:val="00C62266"/>
    <w:rsid w:val="00C64C1E"/>
    <w:rsid w:val="00C70AEC"/>
    <w:rsid w:val="00C82D94"/>
    <w:rsid w:val="00C9051F"/>
    <w:rsid w:val="00C93C4D"/>
    <w:rsid w:val="00C94427"/>
    <w:rsid w:val="00C94DBE"/>
    <w:rsid w:val="00C95546"/>
    <w:rsid w:val="00C95EFF"/>
    <w:rsid w:val="00CA09EF"/>
    <w:rsid w:val="00CA22D1"/>
    <w:rsid w:val="00CB28E3"/>
    <w:rsid w:val="00CB4431"/>
    <w:rsid w:val="00CB7C6A"/>
    <w:rsid w:val="00CD76A8"/>
    <w:rsid w:val="00CE13DB"/>
    <w:rsid w:val="00CE74BD"/>
    <w:rsid w:val="00D01EC7"/>
    <w:rsid w:val="00D07769"/>
    <w:rsid w:val="00D20B4C"/>
    <w:rsid w:val="00D22D6C"/>
    <w:rsid w:val="00D250E7"/>
    <w:rsid w:val="00D259B3"/>
    <w:rsid w:val="00D4682E"/>
    <w:rsid w:val="00D53BFE"/>
    <w:rsid w:val="00D54B00"/>
    <w:rsid w:val="00D72091"/>
    <w:rsid w:val="00D77BD3"/>
    <w:rsid w:val="00D80386"/>
    <w:rsid w:val="00D80AF2"/>
    <w:rsid w:val="00D84959"/>
    <w:rsid w:val="00D86EFE"/>
    <w:rsid w:val="00D86F7D"/>
    <w:rsid w:val="00D87C27"/>
    <w:rsid w:val="00D96944"/>
    <w:rsid w:val="00DA02B0"/>
    <w:rsid w:val="00DA28BE"/>
    <w:rsid w:val="00DB343E"/>
    <w:rsid w:val="00DC710A"/>
    <w:rsid w:val="00DC71D2"/>
    <w:rsid w:val="00DD07D0"/>
    <w:rsid w:val="00DE4105"/>
    <w:rsid w:val="00DE50EC"/>
    <w:rsid w:val="00DE73CF"/>
    <w:rsid w:val="00E0203F"/>
    <w:rsid w:val="00E02304"/>
    <w:rsid w:val="00E04B16"/>
    <w:rsid w:val="00E0722C"/>
    <w:rsid w:val="00E1727D"/>
    <w:rsid w:val="00E245C4"/>
    <w:rsid w:val="00E2594A"/>
    <w:rsid w:val="00E333F2"/>
    <w:rsid w:val="00E3469C"/>
    <w:rsid w:val="00E4211E"/>
    <w:rsid w:val="00E42F3C"/>
    <w:rsid w:val="00E43452"/>
    <w:rsid w:val="00E47BBB"/>
    <w:rsid w:val="00E5684D"/>
    <w:rsid w:val="00E60952"/>
    <w:rsid w:val="00E67BC5"/>
    <w:rsid w:val="00E70970"/>
    <w:rsid w:val="00E82708"/>
    <w:rsid w:val="00E8318C"/>
    <w:rsid w:val="00E8345C"/>
    <w:rsid w:val="00E91D63"/>
    <w:rsid w:val="00E92AED"/>
    <w:rsid w:val="00E93DC8"/>
    <w:rsid w:val="00EA1F53"/>
    <w:rsid w:val="00EC1A33"/>
    <w:rsid w:val="00EC6F01"/>
    <w:rsid w:val="00ED4210"/>
    <w:rsid w:val="00EE665C"/>
    <w:rsid w:val="00EF1EAD"/>
    <w:rsid w:val="00EF44D4"/>
    <w:rsid w:val="00EF6B4B"/>
    <w:rsid w:val="00F10111"/>
    <w:rsid w:val="00F11E66"/>
    <w:rsid w:val="00F13868"/>
    <w:rsid w:val="00F13FD2"/>
    <w:rsid w:val="00F14903"/>
    <w:rsid w:val="00F155BE"/>
    <w:rsid w:val="00F37477"/>
    <w:rsid w:val="00F37E14"/>
    <w:rsid w:val="00F43F2A"/>
    <w:rsid w:val="00F467C4"/>
    <w:rsid w:val="00F507D2"/>
    <w:rsid w:val="00F55373"/>
    <w:rsid w:val="00F57CD5"/>
    <w:rsid w:val="00F60170"/>
    <w:rsid w:val="00F6297C"/>
    <w:rsid w:val="00F666CE"/>
    <w:rsid w:val="00F67212"/>
    <w:rsid w:val="00F700DC"/>
    <w:rsid w:val="00F719DB"/>
    <w:rsid w:val="00F71B0A"/>
    <w:rsid w:val="00F85938"/>
    <w:rsid w:val="00F86C39"/>
    <w:rsid w:val="00F9289D"/>
    <w:rsid w:val="00F94536"/>
    <w:rsid w:val="00F94FBB"/>
    <w:rsid w:val="00FB3CE2"/>
    <w:rsid w:val="00FB5F29"/>
    <w:rsid w:val="00FB7A53"/>
    <w:rsid w:val="00FD475B"/>
    <w:rsid w:val="00FE205B"/>
    <w:rsid w:val="00FF30B7"/>
    <w:rsid w:val="00FF5303"/>
    <w:rsid w:val="00FF5E6A"/>
    <w:rsid w:val="0F864A73"/>
    <w:rsid w:val="29241B1E"/>
    <w:rsid w:val="2AA23948"/>
    <w:rsid w:val="304246C3"/>
    <w:rsid w:val="34EB0D03"/>
    <w:rsid w:val="5EA87D81"/>
    <w:rsid w:val="6A25394E"/>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qFormat/>
    <w:rPr>
      <w:sz w:val="20"/>
      <w:szCs w:val="20"/>
    </w:rPr>
  </w:style>
  <w:style w:type="paragraph" w:customStyle="1" w:styleId="Revision1">
    <w:name w:val="Revision1"/>
    <w:hidden/>
    <w:uiPriority w:val="99"/>
    <w:semiHidden/>
    <w:qFormat/>
    <w:rPr>
      <w:sz w:val="22"/>
      <w:szCs w:val="22"/>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qFormat/>
    <w:rPr>
      <w:sz w:val="20"/>
      <w:szCs w:val="20"/>
    </w:rPr>
  </w:style>
  <w:style w:type="paragraph" w:customStyle="1" w:styleId="Revision1">
    <w:name w:val="Revision1"/>
    <w:hidden/>
    <w:uiPriority w:val="99"/>
    <w:semiHidden/>
    <w:qFormat/>
    <w:rPr>
      <w:sz w:val="22"/>
      <w:szCs w:val="22"/>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8D35B-4C8D-46E3-BE74-A47D2843C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4474</Words>
  <Characters>25506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Mushure</dc:creator>
  <cp:lastModifiedBy>User</cp:lastModifiedBy>
  <cp:revision>2</cp:revision>
  <dcterms:created xsi:type="dcterms:W3CDTF">2025-09-12T11:20:00Z</dcterms:created>
  <dcterms:modified xsi:type="dcterms:W3CDTF">2025-09-12T11:20:00Z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decb6377-c5fd-4b2b-ad18-f8f2a4ae72b2</vt:lpwstr>
  </property>
  <property fmtid="{D5CDD505-2E9C-101B-9397-08002B2CF9AE}" pid="3" name="KSOProductBuildVer">
    <vt:lpwstr>1033-12.2.0.22549</vt:lpwstr>
  </property>
  <property fmtid="{D5CDD505-2E9C-101B-9397-08002B2CF9AE}" pid="4" name="ICV">
    <vt:lpwstr>FCD42CEB62CE447C820C6458820A193D_13</vt:lpwstr>
  </property>
</Properties>
</file>