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24C" w:rsidRPr="00047C13" w:rsidRDefault="00C5124C" w:rsidP="00C5124C">
      <w:pPr>
        <w:spacing w:line="360" w:lineRule="auto"/>
        <w:rPr>
          <w:b/>
        </w:rPr>
      </w:pPr>
      <w:r w:rsidRPr="00047C13">
        <w:rPr>
          <w:b/>
        </w:rPr>
        <w:t>IN T</w:t>
      </w:r>
      <w:r>
        <w:rPr>
          <w:b/>
        </w:rPr>
        <w:t>HE LABOUR COURT OF ZIMBABWE     JUDGMENT NO. LC/MC/</w:t>
      </w:r>
      <w:r w:rsidR="00E61B33">
        <w:rPr>
          <w:b/>
        </w:rPr>
        <w:t>15</w:t>
      </w:r>
      <w:r>
        <w:rPr>
          <w:b/>
        </w:rPr>
        <w:t>/2014</w:t>
      </w:r>
    </w:p>
    <w:p w:rsidR="00C5124C" w:rsidRDefault="00E61B33" w:rsidP="00C5124C">
      <w:pPr>
        <w:spacing w:line="360" w:lineRule="auto"/>
        <w:rPr>
          <w:b/>
        </w:rPr>
      </w:pPr>
      <w:r>
        <w:rPr>
          <w:b/>
        </w:rPr>
        <w:t>MUTARE</w:t>
      </w:r>
      <w:r w:rsidR="00C5124C">
        <w:rPr>
          <w:b/>
        </w:rPr>
        <w:t xml:space="preserve">, 3 FEBRUARY 2014 </w:t>
      </w:r>
      <w:r>
        <w:rPr>
          <w:b/>
        </w:rPr>
        <w:tab/>
      </w:r>
      <w:r w:rsidR="00C5124C">
        <w:rPr>
          <w:b/>
        </w:rPr>
        <w:t xml:space="preserve">       </w:t>
      </w:r>
      <w:r w:rsidR="00C5124C" w:rsidRPr="00047C13">
        <w:rPr>
          <w:b/>
        </w:rPr>
        <w:t xml:space="preserve">    </w:t>
      </w:r>
      <w:r w:rsidR="00C5124C" w:rsidRPr="00047C13">
        <w:rPr>
          <w:b/>
        </w:rPr>
        <w:tab/>
      </w:r>
      <w:r w:rsidR="00C5124C" w:rsidRPr="00047C13">
        <w:rPr>
          <w:b/>
        </w:rPr>
        <w:tab/>
      </w:r>
      <w:r w:rsidR="00C5124C">
        <w:rPr>
          <w:b/>
        </w:rPr>
        <w:t xml:space="preserve">     </w:t>
      </w:r>
      <w:r w:rsidR="00C5124C" w:rsidRPr="00047C13">
        <w:rPr>
          <w:b/>
        </w:rPr>
        <w:t>CASE NO. LC/</w:t>
      </w:r>
      <w:r w:rsidR="00C5124C">
        <w:rPr>
          <w:b/>
        </w:rPr>
        <w:t>H/477/10</w:t>
      </w:r>
    </w:p>
    <w:p w:rsidR="00E61B33" w:rsidRPr="00E61B33" w:rsidRDefault="00E61B33" w:rsidP="00E61B33">
      <w:pPr>
        <w:spacing w:line="360" w:lineRule="auto"/>
        <w:rPr>
          <w:b/>
        </w:rPr>
      </w:pPr>
      <w:r>
        <w:rPr>
          <w:b/>
        </w:rPr>
        <w:t xml:space="preserve">&amp; 28 </w:t>
      </w:r>
      <w:r w:rsidRPr="00E61B33">
        <w:rPr>
          <w:b/>
        </w:rPr>
        <w:t xml:space="preserve">MARCH </w:t>
      </w:r>
      <w:r>
        <w:rPr>
          <w:b/>
        </w:rPr>
        <w:t>2014</w:t>
      </w:r>
    </w:p>
    <w:p w:rsidR="00C5124C" w:rsidRPr="00047C13" w:rsidRDefault="00C5124C" w:rsidP="00C5124C">
      <w:pPr>
        <w:spacing w:line="360" w:lineRule="auto"/>
      </w:pPr>
      <w:r w:rsidRPr="00047C13">
        <w:t>In the matter between</w:t>
      </w:r>
      <w:r>
        <w:t>:-</w:t>
      </w:r>
    </w:p>
    <w:p w:rsidR="00C5124C" w:rsidRPr="00047C13" w:rsidRDefault="00C5124C" w:rsidP="004F6BBC"/>
    <w:p w:rsidR="00C5124C" w:rsidRPr="00047C13" w:rsidRDefault="00C5124C" w:rsidP="00C5124C">
      <w:pPr>
        <w:spacing w:line="360" w:lineRule="auto"/>
        <w:rPr>
          <w:b/>
        </w:rPr>
      </w:pPr>
      <w:r>
        <w:rPr>
          <w:b/>
        </w:rPr>
        <w:t>PUNGWE BREWERIES &amp; MARKETING (PVT) LTD</w:t>
      </w:r>
      <w:r>
        <w:rPr>
          <w:b/>
        </w:rPr>
        <w:tab/>
      </w:r>
      <w:r>
        <w:rPr>
          <w:b/>
        </w:rPr>
        <w:tab/>
      </w:r>
      <w:r>
        <w:rPr>
          <w:b/>
        </w:rPr>
        <w:tab/>
        <w:t>Appellant</w:t>
      </w:r>
    </w:p>
    <w:p w:rsidR="00C5124C" w:rsidRPr="00047C13" w:rsidRDefault="00C5124C" w:rsidP="00C5124C">
      <w:pPr>
        <w:tabs>
          <w:tab w:val="left" w:pos="1995"/>
        </w:tabs>
        <w:spacing w:line="360" w:lineRule="auto"/>
      </w:pPr>
      <w:r w:rsidRPr="00047C13">
        <w:t>And</w:t>
      </w:r>
      <w:r w:rsidRPr="00047C13">
        <w:tab/>
      </w:r>
    </w:p>
    <w:p w:rsidR="00C5124C" w:rsidRDefault="00C5124C" w:rsidP="00C5124C">
      <w:pPr>
        <w:spacing w:line="360" w:lineRule="auto"/>
        <w:rPr>
          <w:b/>
        </w:rPr>
      </w:pPr>
      <w:r>
        <w:rPr>
          <w:b/>
        </w:rPr>
        <w:t>GIFT MWANEMA</w:t>
      </w:r>
      <w:r>
        <w:rPr>
          <w:b/>
        </w:rPr>
        <w:tab/>
      </w:r>
      <w:r>
        <w:rPr>
          <w:b/>
        </w:rPr>
        <w:tab/>
      </w:r>
      <w:r>
        <w:rPr>
          <w:b/>
        </w:rPr>
        <w:tab/>
      </w:r>
      <w:r>
        <w:rPr>
          <w:b/>
        </w:rPr>
        <w:tab/>
      </w:r>
      <w:r>
        <w:rPr>
          <w:b/>
        </w:rPr>
        <w:tab/>
      </w:r>
      <w:r>
        <w:rPr>
          <w:b/>
        </w:rPr>
        <w:tab/>
      </w:r>
      <w:r>
        <w:rPr>
          <w:b/>
        </w:rPr>
        <w:tab/>
      </w:r>
      <w:r>
        <w:rPr>
          <w:b/>
        </w:rPr>
        <w:tab/>
        <w:t>Respondents</w:t>
      </w:r>
    </w:p>
    <w:p w:rsidR="00C5124C" w:rsidRPr="00047C13" w:rsidRDefault="00C5124C" w:rsidP="004F6BBC">
      <w:pPr>
        <w:rPr>
          <w:b/>
        </w:rPr>
      </w:pPr>
    </w:p>
    <w:p w:rsidR="00C5124C" w:rsidRDefault="00C5124C" w:rsidP="00C5124C">
      <w:pPr>
        <w:spacing w:line="360" w:lineRule="auto"/>
      </w:pPr>
      <w:r>
        <w:t xml:space="preserve">Before Honourable E Muchawa, Judge                             </w:t>
      </w:r>
    </w:p>
    <w:p w:rsidR="00C5124C" w:rsidRPr="00047C13" w:rsidRDefault="00C5124C" w:rsidP="00C5124C">
      <w:pPr>
        <w:spacing w:line="360" w:lineRule="auto"/>
      </w:pPr>
      <w:r w:rsidRPr="00047C13">
        <w:tab/>
      </w:r>
      <w:r w:rsidRPr="00047C13">
        <w:tab/>
      </w:r>
      <w:r w:rsidRPr="00047C13">
        <w:tab/>
      </w:r>
    </w:p>
    <w:p w:rsidR="00C5124C" w:rsidRPr="00047C13" w:rsidRDefault="00C5124C" w:rsidP="00C5124C">
      <w:pPr>
        <w:spacing w:line="360" w:lineRule="auto"/>
        <w:rPr>
          <w:b/>
        </w:rPr>
      </w:pPr>
      <w:r w:rsidRPr="00047C13">
        <w:rPr>
          <w:b/>
        </w:rPr>
        <w:t>For App</w:t>
      </w:r>
      <w:r>
        <w:rPr>
          <w:b/>
        </w:rPr>
        <w:t>ellant</w:t>
      </w:r>
      <w:r w:rsidRPr="00047C13">
        <w:rPr>
          <w:b/>
        </w:rPr>
        <w:tab/>
      </w:r>
      <w:r>
        <w:rPr>
          <w:b/>
        </w:rPr>
        <w:tab/>
      </w:r>
      <w:r w:rsidRPr="00047C13">
        <w:rPr>
          <w:b/>
        </w:rPr>
        <w:t>-</w:t>
      </w:r>
      <w:r w:rsidRPr="00047C13">
        <w:rPr>
          <w:b/>
        </w:rPr>
        <w:tab/>
      </w:r>
      <w:r>
        <w:rPr>
          <w:b/>
        </w:rPr>
        <w:t>Mr. W. Makhuyana (Legal Practitioner)</w:t>
      </w:r>
    </w:p>
    <w:p w:rsidR="00C5124C" w:rsidRDefault="00C5124C" w:rsidP="00C5124C">
      <w:pPr>
        <w:spacing w:line="360" w:lineRule="auto"/>
        <w:rPr>
          <w:b/>
        </w:rPr>
      </w:pPr>
      <w:r>
        <w:rPr>
          <w:b/>
        </w:rPr>
        <w:t>For Respondents</w:t>
      </w:r>
      <w:r>
        <w:rPr>
          <w:b/>
        </w:rPr>
        <w:tab/>
      </w:r>
      <w:r w:rsidRPr="00047C13">
        <w:rPr>
          <w:b/>
        </w:rPr>
        <w:tab/>
        <w:t>-</w:t>
      </w:r>
      <w:r w:rsidRPr="00047C13">
        <w:rPr>
          <w:b/>
        </w:rPr>
        <w:tab/>
        <w:t xml:space="preserve">Mr. </w:t>
      </w:r>
      <w:r>
        <w:rPr>
          <w:b/>
        </w:rPr>
        <w:t>E.G. Mwandipe (Trade Unionist)</w:t>
      </w:r>
    </w:p>
    <w:p w:rsidR="00C5124C" w:rsidRPr="00047C13" w:rsidRDefault="00C5124C" w:rsidP="00C5124C">
      <w:pPr>
        <w:spacing w:line="360" w:lineRule="auto"/>
        <w:rPr>
          <w:b/>
        </w:rPr>
      </w:pPr>
    </w:p>
    <w:p w:rsidR="00C5124C" w:rsidRDefault="00C5124C" w:rsidP="00C5124C">
      <w:pPr>
        <w:spacing w:line="360" w:lineRule="auto"/>
        <w:rPr>
          <w:b/>
        </w:rPr>
      </w:pPr>
      <w:r>
        <w:rPr>
          <w:b/>
        </w:rPr>
        <w:t>MUCHAWA J:</w:t>
      </w:r>
    </w:p>
    <w:p w:rsidR="00854BC7" w:rsidRDefault="00854BC7"/>
    <w:p w:rsidR="00C5124C" w:rsidRDefault="00C5124C" w:rsidP="00C5124C">
      <w:pPr>
        <w:spacing w:line="360" w:lineRule="auto"/>
        <w:jc w:val="both"/>
      </w:pPr>
      <w:r>
        <w:tab/>
        <w:t>This is an appeal against an arbitral award which declared the dismissal of respondent unfair and set it aside whilst ordering reinstatement or alternatively damages in lieu of reinstatement.</w:t>
      </w:r>
    </w:p>
    <w:p w:rsidR="00C5124C" w:rsidRDefault="00C5124C" w:rsidP="004F6BBC">
      <w:pPr>
        <w:jc w:val="both"/>
      </w:pPr>
    </w:p>
    <w:p w:rsidR="00C5124C" w:rsidRDefault="00C5124C" w:rsidP="00C5124C">
      <w:pPr>
        <w:spacing w:line="360" w:lineRule="auto"/>
        <w:jc w:val="both"/>
      </w:pPr>
      <w:r>
        <w:tab/>
        <w:t xml:space="preserve">Respondent is a former employee of appellant who was charged in terms of Respondent’s Code of Conduct of breach of Category 4 (18) being </w:t>
      </w:r>
      <w:r w:rsidR="00BA7ECE">
        <w:t>“</w:t>
      </w:r>
      <w:r w:rsidRPr="00BA7ECE">
        <w:rPr>
          <w:i/>
        </w:rPr>
        <w:t xml:space="preserve">gross disregard of standing procedures/rules including disregard of standing </w:t>
      </w:r>
      <w:r w:rsidR="00E667B6" w:rsidRPr="00BA7ECE">
        <w:rPr>
          <w:i/>
        </w:rPr>
        <w:t>rules/procedures resulting in actual or potential financial loss/prejudice to the company</w:t>
      </w:r>
      <w:r w:rsidR="00E667B6">
        <w:t>.</w:t>
      </w:r>
      <w:r w:rsidR="00BA7ECE">
        <w:t>”</w:t>
      </w:r>
      <w:r w:rsidR="00E667B6">
        <w:t xml:space="preserve">  The facts giving rise to the charge were that on the 27</w:t>
      </w:r>
      <w:r w:rsidR="00E667B6" w:rsidRPr="00E667B6">
        <w:rPr>
          <w:vertAlign w:val="superscript"/>
        </w:rPr>
        <w:t>th</w:t>
      </w:r>
      <w:r w:rsidR="00E667B6">
        <w:t xml:space="preserve"> March 2005 Respondent had deposited cash into a bag.  It was discovered at the ban</w:t>
      </w:r>
      <w:r w:rsidR="00702FBA">
        <w:t xml:space="preserve">k that Z$15 000 was missing from the locked bag and the cash in transit crew had to </w:t>
      </w:r>
      <w:r w:rsidR="004F6BBC">
        <w:t>alter the</w:t>
      </w:r>
      <w:r w:rsidR="00702FBA">
        <w:t xml:space="preserve"> deposit slip to reflect the missing amount.</w:t>
      </w:r>
    </w:p>
    <w:p w:rsidR="00702FBA" w:rsidRDefault="00702FBA" w:rsidP="004F6BBC">
      <w:pPr>
        <w:jc w:val="both"/>
      </w:pPr>
    </w:p>
    <w:p w:rsidR="00702FBA" w:rsidRDefault="00702FBA" w:rsidP="00C5124C">
      <w:pPr>
        <w:spacing w:line="360" w:lineRule="auto"/>
        <w:jc w:val="both"/>
      </w:pPr>
      <w:r>
        <w:tab/>
        <w:t>A hearing was conducted on the 13</w:t>
      </w:r>
      <w:r w:rsidRPr="00702FBA">
        <w:rPr>
          <w:vertAlign w:val="superscript"/>
        </w:rPr>
        <w:t>th</w:t>
      </w:r>
      <w:r>
        <w:t xml:space="preserve"> May 2005 and respondent was dismissed.  He then appealed to the Labour department and to arbitration but lost.  An appeal to the Labour Court on 6</w:t>
      </w:r>
      <w:r w:rsidRPr="00702FBA">
        <w:rPr>
          <w:vertAlign w:val="superscript"/>
        </w:rPr>
        <w:t>th</w:t>
      </w:r>
      <w:r>
        <w:t xml:space="preserve"> October 2009 led to a referral of the matter for</w:t>
      </w:r>
      <w:r w:rsidR="00BA7ECE">
        <w:t xml:space="preserve"> an</w:t>
      </w:r>
      <w:r>
        <w:t xml:space="preserve"> arbitral award which found in favour of respondent and is the subject of this appeal.</w:t>
      </w:r>
    </w:p>
    <w:p w:rsidR="006D0E7D" w:rsidRDefault="006D0E7D" w:rsidP="004F6BBC">
      <w:pPr>
        <w:jc w:val="both"/>
      </w:pPr>
    </w:p>
    <w:p w:rsidR="006D0E7D" w:rsidRDefault="006D0E7D" w:rsidP="00C5124C">
      <w:pPr>
        <w:spacing w:line="360" w:lineRule="auto"/>
        <w:jc w:val="both"/>
      </w:pPr>
      <w:r>
        <w:tab/>
        <w:t xml:space="preserve">Before getting into the merits of the appeal, respondent raised the point </w:t>
      </w:r>
      <w:r w:rsidRPr="004F6BBC">
        <w:rPr>
          <w:i/>
        </w:rPr>
        <w:t>in</w:t>
      </w:r>
      <w:r>
        <w:t xml:space="preserve"> </w:t>
      </w:r>
      <w:r w:rsidRPr="004F6BBC">
        <w:rPr>
          <w:i/>
        </w:rPr>
        <w:t>limine</w:t>
      </w:r>
      <w:r>
        <w:t xml:space="preserve"> that the Code of Conduct filed of record is not a registered Code of Conduct as there is no certification of registration, no certificate number and no signature of the registrar.  </w:t>
      </w:r>
      <w:r w:rsidR="003B7B2F">
        <w:t xml:space="preserve">Further it is alleged that there is no declaration by the parties to this particular Code raising the question as to whether the said Code was even negotiated by the parties.  All there </w:t>
      </w:r>
      <w:r w:rsidR="004F6BBC">
        <w:t>is</w:t>
      </w:r>
      <w:r w:rsidR="00BA7ECE">
        <w:t xml:space="preserve"> is a date stamp of the 28</w:t>
      </w:r>
      <w:r w:rsidR="00BA7ECE" w:rsidRPr="00BA7ECE">
        <w:rPr>
          <w:vertAlign w:val="superscript"/>
        </w:rPr>
        <w:t>th</w:t>
      </w:r>
      <w:r w:rsidR="00BA7ECE">
        <w:t xml:space="preserve"> December 2001 on</w:t>
      </w:r>
      <w:r w:rsidR="003B7B2F">
        <w:t xml:space="preserve"> each page of the Code</w:t>
      </w:r>
      <w:r w:rsidR="00BA7ECE">
        <w:t>.</w:t>
      </w:r>
      <w:r w:rsidR="003B7B2F">
        <w:t xml:space="preserve"> </w:t>
      </w:r>
    </w:p>
    <w:p w:rsidR="003B7B2F" w:rsidRDefault="003B7B2F" w:rsidP="004F6BBC">
      <w:pPr>
        <w:jc w:val="both"/>
      </w:pPr>
    </w:p>
    <w:p w:rsidR="003B7B2F" w:rsidRDefault="003B7B2F" w:rsidP="00C5124C">
      <w:pPr>
        <w:spacing w:line="360" w:lineRule="auto"/>
        <w:jc w:val="both"/>
      </w:pPr>
      <w:r>
        <w:tab/>
        <w:t>It was further argued that if the court finds that the Code of Conduct is not registered, then it would follow that the dismissal would be grossly unprocedural and should be set aside.</w:t>
      </w:r>
    </w:p>
    <w:p w:rsidR="003B7B2F" w:rsidRDefault="003B7B2F" w:rsidP="004F6BBC">
      <w:pPr>
        <w:jc w:val="both"/>
      </w:pPr>
    </w:p>
    <w:p w:rsidR="003B7B2F" w:rsidRDefault="003B7B2F" w:rsidP="00C5124C">
      <w:pPr>
        <w:spacing w:line="360" w:lineRule="auto"/>
        <w:jc w:val="both"/>
      </w:pPr>
      <w:r>
        <w:tab/>
        <w:t xml:space="preserve">Appellant argued that labour matters should not be decided on technicalities and drew the court’s attention to previous matters handled by the court in which the same Code was used. </w:t>
      </w:r>
      <w:r w:rsidR="001D046C">
        <w:t xml:space="preserve"> These are </w:t>
      </w:r>
      <w:r w:rsidR="001D046C" w:rsidRPr="004F6BBC">
        <w:rPr>
          <w:i/>
        </w:rPr>
        <w:t>Pungwe Breweries</w:t>
      </w:r>
      <w:r w:rsidR="001D046C">
        <w:t xml:space="preserve"> v </w:t>
      </w:r>
      <w:r w:rsidR="001D046C" w:rsidRPr="004F6BBC">
        <w:rPr>
          <w:i/>
        </w:rPr>
        <w:t>George Mundembe</w:t>
      </w:r>
      <w:r w:rsidR="00BA7ECE">
        <w:rPr>
          <w:i/>
        </w:rPr>
        <w:t xml:space="preserve"> </w:t>
      </w:r>
      <w:r w:rsidR="00BA7ECE" w:rsidRPr="00BA7ECE">
        <w:t>LC/MC/12/13</w:t>
      </w:r>
      <w:r w:rsidR="001D046C" w:rsidRPr="004F6BBC">
        <w:rPr>
          <w:i/>
        </w:rPr>
        <w:t xml:space="preserve"> and</w:t>
      </w:r>
      <w:r w:rsidR="001D046C">
        <w:t xml:space="preserve"> </w:t>
      </w:r>
      <w:r w:rsidR="001D046C" w:rsidRPr="004F6BBC">
        <w:rPr>
          <w:i/>
        </w:rPr>
        <w:t>Pungwe Breweries</w:t>
      </w:r>
      <w:r w:rsidR="001D046C">
        <w:t xml:space="preserve"> v </w:t>
      </w:r>
      <w:r w:rsidR="001D046C" w:rsidRPr="004F6BBC">
        <w:rPr>
          <w:i/>
        </w:rPr>
        <w:t>Pius Nago</w:t>
      </w:r>
      <w:r w:rsidR="00BA7ECE">
        <w:rPr>
          <w:i/>
        </w:rPr>
        <w:t xml:space="preserve"> </w:t>
      </w:r>
      <w:r w:rsidR="00BA7ECE" w:rsidRPr="00BA7ECE">
        <w:t>LC/MC/12/2011</w:t>
      </w:r>
      <w:r w:rsidR="00BA7ECE">
        <w:t>.</w:t>
      </w:r>
    </w:p>
    <w:p w:rsidR="001D046C" w:rsidRDefault="001D046C" w:rsidP="004F6BBC">
      <w:pPr>
        <w:jc w:val="both"/>
      </w:pPr>
    </w:p>
    <w:p w:rsidR="001D046C" w:rsidRDefault="001D046C" w:rsidP="00C5124C">
      <w:pPr>
        <w:spacing w:line="360" w:lineRule="auto"/>
        <w:jc w:val="both"/>
      </w:pPr>
      <w:r>
        <w:tab/>
        <w:t>It was further argued that challenging the Code for the first time on appeal is grossly misplaced particularly as respondent was using the same Code in all prior proceedings and basing its arguments</w:t>
      </w:r>
      <w:r w:rsidR="00B316EC">
        <w:t xml:space="preserve"> on the same.  I was referred to the case of </w:t>
      </w:r>
      <w:r w:rsidR="00B316EC" w:rsidRPr="004F6BBC">
        <w:rPr>
          <w:i/>
        </w:rPr>
        <w:t>Chikanda</w:t>
      </w:r>
      <w:r w:rsidR="00B316EC">
        <w:t xml:space="preserve"> v </w:t>
      </w:r>
      <w:r w:rsidR="00B316EC" w:rsidRPr="004F6BBC">
        <w:rPr>
          <w:i/>
        </w:rPr>
        <w:t>UTC Ltd</w:t>
      </w:r>
      <w:r w:rsidR="00B316EC">
        <w:t xml:space="preserve"> SC 7/99 for the assertion that the tribunal a quo cannot be faulted for not dealing with an argument not raised before it.</w:t>
      </w:r>
    </w:p>
    <w:p w:rsidR="00B316EC" w:rsidRDefault="00B316EC" w:rsidP="004F6BBC">
      <w:pPr>
        <w:jc w:val="both"/>
      </w:pPr>
    </w:p>
    <w:p w:rsidR="00B316EC" w:rsidRDefault="00B316EC" w:rsidP="00C5124C">
      <w:pPr>
        <w:spacing w:line="360" w:lineRule="auto"/>
        <w:jc w:val="both"/>
      </w:pPr>
      <w:r>
        <w:tab/>
        <w:t xml:space="preserve">Respondent’s argument is that this is a point of law and can therefore be raised at any point.  I was referred to previous cases wherein the question of the Code was brought up.  In particular it was pointed out that senior management may not challenge the Code whilst junior </w:t>
      </w:r>
      <w:r w:rsidR="004F6BBC">
        <w:t>staff has</w:t>
      </w:r>
      <w:r>
        <w:t xml:space="preserve"> done so as they did not participate in its drafting.</w:t>
      </w:r>
    </w:p>
    <w:p w:rsidR="00B316EC" w:rsidRDefault="00B316EC" w:rsidP="004F6BBC">
      <w:pPr>
        <w:jc w:val="both"/>
      </w:pPr>
    </w:p>
    <w:p w:rsidR="00B316EC" w:rsidRDefault="00B316EC" w:rsidP="00C5124C">
      <w:pPr>
        <w:spacing w:line="360" w:lineRule="auto"/>
        <w:jc w:val="both"/>
      </w:pPr>
      <w:r>
        <w:tab/>
        <w:t>I note from a perusal of this record</w:t>
      </w:r>
      <w:r w:rsidR="00BA7ECE">
        <w:t>, that</w:t>
      </w:r>
      <w:r>
        <w:t xml:space="preserve"> my sister, </w:t>
      </w:r>
      <w:r w:rsidRPr="004F6BBC">
        <w:rPr>
          <w:b/>
        </w:rPr>
        <w:t>Makamure J</w:t>
      </w:r>
      <w:r>
        <w:t>, observed that the Code on record differed from that in appellant’s possession.  A copy of the correct Code was</w:t>
      </w:r>
      <w:r w:rsidR="00586C07">
        <w:t xml:space="preserve"> then requested.  </w:t>
      </w:r>
    </w:p>
    <w:p w:rsidR="00586C07" w:rsidRDefault="00586C07" w:rsidP="004F6BBC">
      <w:pPr>
        <w:jc w:val="both"/>
      </w:pPr>
    </w:p>
    <w:p w:rsidR="00586C07" w:rsidRDefault="00586C07" w:rsidP="00C5124C">
      <w:pPr>
        <w:spacing w:line="360" w:lineRule="auto"/>
        <w:jc w:val="both"/>
      </w:pPr>
      <w:r>
        <w:lastRenderedPageBreak/>
        <w:tab/>
        <w:t xml:space="preserve">I find that it is proper to raise a point of law, which goes to the root of the matter, at any time, even for the first time on appeal.  I have paid due consideration to the fact that the consideration of this point does not involve unfairness to the appellant </w:t>
      </w:r>
      <w:r w:rsidRPr="004F6BBC">
        <w:rPr>
          <w:i/>
        </w:rPr>
        <w:t>in casu</w:t>
      </w:r>
      <w:r>
        <w:t xml:space="preserve"> as the issue of the validity of the Code was considered before my sister </w:t>
      </w:r>
      <w:r w:rsidRPr="004F6BBC">
        <w:rPr>
          <w:b/>
        </w:rPr>
        <w:t>Makamure J</w:t>
      </w:r>
      <w:r>
        <w:t xml:space="preserve"> and she gave appellant an opportunity to present the correct Code.  I also gave appellant an opportunity to file proof of registration.</w:t>
      </w:r>
    </w:p>
    <w:p w:rsidR="00586C07" w:rsidRDefault="00586C07" w:rsidP="00C5124C">
      <w:pPr>
        <w:spacing w:line="360" w:lineRule="auto"/>
        <w:jc w:val="both"/>
      </w:pPr>
      <w:r>
        <w:t xml:space="preserve">(see </w:t>
      </w:r>
      <w:r w:rsidRPr="004F6BBC">
        <w:rPr>
          <w:i/>
        </w:rPr>
        <w:t>Muchakata</w:t>
      </w:r>
      <w:r>
        <w:t xml:space="preserve"> v </w:t>
      </w:r>
      <w:r w:rsidRPr="004F6BBC">
        <w:rPr>
          <w:i/>
        </w:rPr>
        <w:t>Netherburn Mine</w:t>
      </w:r>
      <w:r>
        <w:t xml:space="preserve"> 1996 (1) ZLR 153 (SC)).</w:t>
      </w:r>
    </w:p>
    <w:p w:rsidR="00586C07" w:rsidRDefault="00586C07" w:rsidP="004F6BBC">
      <w:pPr>
        <w:jc w:val="both"/>
      </w:pPr>
    </w:p>
    <w:p w:rsidR="00586C07" w:rsidRDefault="00586C07" w:rsidP="00C5124C">
      <w:pPr>
        <w:spacing w:line="360" w:lineRule="auto"/>
        <w:jc w:val="both"/>
      </w:pPr>
      <w:r>
        <w:tab/>
      </w:r>
      <w:r w:rsidR="008C7907">
        <w:t>Appellant</w:t>
      </w:r>
      <w:r>
        <w:t xml:space="preserve"> did not provide any further proof of registration of the Code despite being given time to fu</w:t>
      </w:r>
      <w:r w:rsidR="008C7907">
        <w:t xml:space="preserve">rnish the Court with same. There was no rebuttal of the allegations that there is no certification of registration, no certificate number and no signature of the registrar.  In the one week given, appellant could have provided confirmation of registration from the relevant offices but did not do so. </w:t>
      </w:r>
    </w:p>
    <w:p w:rsidR="008C7907" w:rsidRDefault="008C7907" w:rsidP="004F6BBC">
      <w:pPr>
        <w:jc w:val="both"/>
      </w:pPr>
    </w:p>
    <w:p w:rsidR="008C7907" w:rsidRDefault="008C7907" w:rsidP="00C5124C">
      <w:pPr>
        <w:spacing w:line="360" w:lineRule="auto"/>
        <w:jc w:val="both"/>
      </w:pPr>
      <w:r>
        <w:tab/>
        <w:t>I therefore find that a mere date stamp is not sufficient as proof of registration of the Code in the circumstances.  Further I find that respondent was therefore unprocedurally dismissed as he was not dismissed in terms of section 12B (2) (a) of the Labour Act.  The dismissal was therefore a legal nullity.  The point in limine succeeds.</w:t>
      </w:r>
    </w:p>
    <w:p w:rsidR="004F6BBC" w:rsidRDefault="004F6BBC" w:rsidP="004F6BBC">
      <w:pPr>
        <w:jc w:val="both"/>
      </w:pPr>
    </w:p>
    <w:p w:rsidR="008C7907" w:rsidRDefault="008C7907" w:rsidP="00C5124C">
      <w:pPr>
        <w:spacing w:line="360" w:lineRule="auto"/>
        <w:jc w:val="both"/>
      </w:pPr>
      <w:r>
        <w:t>Accordingly I order as follows:</w:t>
      </w:r>
    </w:p>
    <w:p w:rsidR="008C7907" w:rsidRDefault="008C7907" w:rsidP="008C7907">
      <w:pPr>
        <w:pStyle w:val="ListParagraph"/>
        <w:numPr>
          <w:ilvl w:val="0"/>
          <w:numId w:val="1"/>
        </w:numPr>
        <w:spacing w:line="360" w:lineRule="auto"/>
        <w:jc w:val="both"/>
      </w:pPr>
      <w:r>
        <w:t>That respondent’s dismissal be and is hereby set aside.</w:t>
      </w:r>
    </w:p>
    <w:p w:rsidR="008C7907" w:rsidRDefault="008C7907" w:rsidP="008C7907">
      <w:pPr>
        <w:pStyle w:val="ListParagraph"/>
        <w:numPr>
          <w:ilvl w:val="0"/>
          <w:numId w:val="1"/>
        </w:numPr>
        <w:spacing w:line="360" w:lineRule="auto"/>
        <w:jc w:val="both"/>
      </w:pPr>
      <w:r>
        <w:t>Respondent is reinstated to his job without loss of salary or benefits.</w:t>
      </w:r>
    </w:p>
    <w:p w:rsidR="008C7907" w:rsidRDefault="008C7907" w:rsidP="008C7907">
      <w:pPr>
        <w:pStyle w:val="ListParagraph"/>
        <w:numPr>
          <w:ilvl w:val="0"/>
          <w:numId w:val="1"/>
        </w:numPr>
        <w:spacing w:line="360" w:lineRule="auto"/>
        <w:jc w:val="both"/>
      </w:pPr>
      <w:r>
        <w:t>In the event that reinstatement is no longer tenable, appellant shall pay respondent damages for loss of employment in an agreed amount, failing which, either party may apply to this court for quantification of damages.</w:t>
      </w:r>
    </w:p>
    <w:p w:rsidR="004F6BBC" w:rsidRDefault="004F6BBC" w:rsidP="004F6BBC">
      <w:pPr>
        <w:spacing w:line="360" w:lineRule="auto"/>
        <w:jc w:val="both"/>
      </w:pPr>
    </w:p>
    <w:p w:rsidR="004F6BBC" w:rsidRDefault="004F6BBC" w:rsidP="004F6BBC">
      <w:pPr>
        <w:spacing w:line="360" w:lineRule="auto"/>
        <w:jc w:val="both"/>
      </w:pPr>
    </w:p>
    <w:p w:rsidR="004F6BBC" w:rsidRDefault="004F6BBC" w:rsidP="004F6BBC">
      <w:pPr>
        <w:spacing w:line="360" w:lineRule="auto"/>
        <w:jc w:val="both"/>
      </w:pPr>
    </w:p>
    <w:p w:rsidR="004F6BBC" w:rsidRDefault="004F6BBC" w:rsidP="004F6BBC">
      <w:pPr>
        <w:spacing w:line="360" w:lineRule="auto"/>
        <w:jc w:val="both"/>
      </w:pPr>
    </w:p>
    <w:p w:rsidR="004F6BBC" w:rsidRPr="004F6BBC" w:rsidRDefault="004F6BBC" w:rsidP="004F6BBC">
      <w:pPr>
        <w:spacing w:line="360" w:lineRule="auto"/>
        <w:jc w:val="both"/>
        <w:rPr>
          <w:b/>
        </w:rPr>
      </w:pPr>
      <w:r w:rsidRPr="004F6BBC">
        <w:rPr>
          <w:b/>
          <w:i/>
        </w:rPr>
        <w:t>Bere Brothers</w:t>
      </w:r>
      <w:r w:rsidRPr="004F6BBC">
        <w:rPr>
          <w:b/>
        </w:rPr>
        <w:t>, Appellant’s legal practitioners</w:t>
      </w:r>
    </w:p>
    <w:p w:rsidR="004F6BBC" w:rsidRDefault="004F6BBC" w:rsidP="004F6BBC">
      <w:pPr>
        <w:spacing w:line="360" w:lineRule="auto"/>
        <w:jc w:val="both"/>
      </w:pPr>
    </w:p>
    <w:sectPr w:rsidR="004F6BBC" w:rsidSect="00F95D6C">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7C5" w:rsidRDefault="00E147C5" w:rsidP="00702FBA">
      <w:r>
        <w:separator/>
      </w:r>
    </w:p>
  </w:endnote>
  <w:endnote w:type="continuationSeparator" w:id="1">
    <w:p w:rsidR="00E147C5" w:rsidRDefault="00E147C5" w:rsidP="00702F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79439"/>
      <w:docPartObj>
        <w:docPartGallery w:val="Page Numbers (Bottom of Page)"/>
        <w:docPartUnique/>
      </w:docPartObj>
    </w:sdtPr>
    <w:sdtContent>
      <w:p w:rsidR="008C7907" w:rsidRDefault="001675B6">
        <w:pPr>
          <w:pStyle w:val="Footer"/>
          <w:jc w:val="center"/>
        </w:pPr>
        <w:fldSimple w:instr=" PAGE   \* MERGEFORMAT ">
          <w:r w:rsidR="003278FA">
            <w:rPr>
              <w:noProof/>
            </w:rPr>
            <w:t>3</w:t>
          </w:r>
        </w:fldSimple>
      </w:p>
    </w:sdtContent>
  </w:sdt>
  <w:p w:rsidR="008C7907" w:rsidRDefault="008C79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7C5" w:rsidRDefault="00E147C5" w:rsidP="00702FBA">
      <w:r>
        <w:separator/>
      </w:r>
    </w:p>
  </w:footnote>
  <w:footnote w:type="continuationSeparator" w:id="1">
    <w:p w:rsidR="00E147C5" w:rsidRDefault="00E147C5" w:rsidP="00702F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907" w:rsidRPr="00702FBA" w:rsidRDefault="008C7907">
    <w:pPr>
      <w:pStyle w:val="Header"/>
      <w:rPr>
        <w:lang w:val="en-ZW"/>
      </w:rPr>
    </w:pPr>
    <w:r>
      <w:rPr>
        <w:lang w:val="en-ZW"/>
      </w:rPr>
      <w:tab/>
    </w:r>
    <w:r>
      <w:rPr>
        <w:lang w:val="en-ZW"/>
      </w:rPr>
      <w:tab/>
      <w:t>JUDGMENT NO. LC/MC/</w:t>
    </w:r>
    <w:r w:rsidR="00E61B33">
      <w:rPr>
        <w:lang w:val="en-ZW"/>
      </w:rPr>
      <w:t>15</w:t>
    </w:r>
    <w:r>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20173"/>
    <w:multiLevelType w:val="hybridMultilevel"/>
    <w:tmpl w:val="E43C51FC"/>
    <w:lvl w:ilvl="0" w:tplc="30090001">
      <w:numFmt w:val="bullet"/>
      <w:lvlText w:val=""/>
      <w:lvlJc w:val="left"/>
      <w:pPr>
        <w:ind w:left="720" w:hanging="360"/>
      </w:pPr>
      <w:rPr>
        <w:rFonts w:ascii="Symbol" w:eastAsia="Times New Roman" w:hAnsi="Symbol"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50D95006"/>
    <w:multiLevelType w:val="hybridMultilevel"/>
    <w:tmpl w:val="C838838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5124C"/>
    <w:rsid w:val="001675B6"/>
    <w:rsid w:val="001D046C"/>
    <w:rsid w:val="0023306C"/>
    <w:rsid w:val="003278FA"/>
    <w:rsid w:val="003B7B2F"/>
    <w:rsid w:val="004F6BBC"/>
    <w:rsid w:val="00547A65"/>
    <w:rsid w:val="00586C07"/>
    <w:rsid w:val="006453A0"/>
    <w:rsid w:val="006D0E7D"/>
    <w:rsid w:val="006D6A21"/>
    <w:rsid w:val="00702FBA"/>
    <w:rsid w:val="00854BC7"/>
    <w:rsid w:val="008C7907"/>
    <w:rsid w:val="008E5635"/>
    <w:rsid w:val="0097247F"/>
    <w:rsid w:val="00B316EC"/>
    <w:rsid w:val="00BA7ECE"/>
    <w:rsid w:val="00C5124C"/>
    <w:rsid w:val="00C7004F"/>
    <w:rsid w:val="00DA11DF"/>
    <w:rsid w:val="00E147C5"/>
    <w:rsid w:val="00E61B33"/>
    <w:rsid w:val="00E667B6"/>
    <w:rsid w:val="00F95D6C"/>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24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2FBA"/>
    <w:pPr>
      <w:tabs>
        <w:tab w:val="center" w:pos="4513"/>
        <w:tab w:val="right" w:pos="9026"/>
      </w:tabs>
    </w:pPr>
  </w:style>
  <w:style w:type="character" w:customStyle="1" w:styleId="HeaderChar">
    <w:name w:val="Header Char"/>
    <w:basedOn w:val="DefaultParagraphFont"/>
    <w:link w:val="Header"/>
    <w:uiPriority w:val="99"/>
    <w:semiHidden/>
    <w:rsid w:val="00702FBA"/>
    <w:rPr>
      <w:rFonts w:ascii="Tahoma" w:eastAsia="Times New Roman" w:hAnsi="Tahoma" w:cs="Times New Roman"/>
      <w:sz w:val="24"/>
      <w:szCs w:val="24"/>
      <w:lang w:val="en-US"/>
    </w:rPr>
  </w:style>
  <w:style w:type="paragraph" w:styleId="Footer">
    <w:name w:val="footer"/>
    <w:basedOn w:val="Normal"/>
    <w:link w:val="FooterChar"/>
    <w:uiPriority w:val="99"/>
    <w:unhideWhenUsed/>
    <w:rsid w:val="00702FBA"/>
    <w:pPr>
      <w:tabs>
        <w:tab w:val="center" w:pos="4513"/>
        <w:tab w:val="right" w:pos="9026"/>
      </w:tabs>
    </w:pPr>
  </w:style>
  <w:style w:type="character" w:customStyle="1" w:styleId="FooterChar">
    <w:name w:val="Footer Char"/>
    <w:basedOn w:val="DefaultParagraphFont"/>
    <w:link w:val="Footer"/>
    <w:uiPriority w:val="99"/>
    <w:rsid w:val="00702FBA"/>
    <w:rPr>
      <w:rFonts w:ascii="Tahoma" w:eastAsia="Times New Roman" w:hAnsi="Tahoma" w:cs="Times New Roman"/>
      <w:sz w:val="24"/>
      <w:szCs w:val="24"/>
      <w:lang w:val="en-US"/>
    </w:rPr>
  </w:style>
  <w:style w:type="paragraph" w:styleId="ListParagraph">
    <w:name w:val="List Paragraph"/>
    <w:basedOn w:val="Normal"/>
    <w:uiPriority w:val="34"/>
    <w:qFormat/>
    <w:rsid w:val="008C790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2014-03-14T14:22:00Z</cp:lastPrinted>
  <dcterms:created xsi:type="dcterms:W3CDTF">2014-05-06T13:39:00Z</dcterms:created>
  <dcterms:modified xsi:type="dcterms:W3CDTF">2014-05-06T13:39:00Z</dcterms:modified>
</cp:coreProperties>
</file>