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F91A96" w:rsidP="008B668E">
      <w:pPr>
        <w:spacing w:after="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PROSECUTOR-</w:t>
      </w:r>
      <w:r w:rsidR="00907C8C">
        <w:rPr>
          <w:rFonts w:ascii="Times New Roman" w:hAnsi="Times New Roman" w:cs="Times New Roman"/>
          <w:sz w:val="24"/>
          <w:szCs w:val="24"/>
          <w:lang w:val="en-GB"/>
        </w:rPr>
        <w:t xml:space="preserve">GENERAL </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907C8C"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FRANK CHITUKUTUKU</w:t>
      </w:r>
    </w:p>
    <w:p w:rsidR="00907C8C" w:rsidRDefault="00907C8C"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8B668E" w:rsidRDefault="00907C8C"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NYASHA CHITUKUTUKU </w:t>
      </w:r>
    </w:p>
    <w:p w:rsidR="008B668E" w:rsidRDefault="00907C8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907C8C" w:rsidRDefault="00907C8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HOTSPIKES (PVT) LTD</w:t>
      </w:r>
    </w:p>
    <w:p w:rsidR="00907C8C" w:rsidRDefault="00907C8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907C8C" w:rsidRDefault="00907C8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REGISTRAR OF DEEDS </w:t>
      </w:r>
    </w:p>
    <w:p w:rsidR="00907C8C" w:rsidRDefault="00907C8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907C8C" w:rsidRDefault="00907C8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REGISTRAR OF MOTOR VEHICLES </w:t>
      </w:r>
    </w:p>
    <w:p w:rsidR="00907C8C" w:rsidRDefault="00907C8C" w:rsidP="00EA5C4B">
      <w:pPr>
        <w:spacing w:after="0"/>
        <w:jc w:val="both"/>
        <w:rPr>
          <w:rFonts w:ascii="Times New Roman" w:hAnsi="Times New Roman" w:cs="Times New Roman"/>
          <w:sz w:val="24"/>
          <w:szCs w:val="24"/>
          <w:lang w:val="en-GB"/>
        </w:rPr>
      </w:pPr>
    </w:p>
    <w:p w:rsidR="00907C8C" w:rsidRDefault="00907C8C"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6F205F"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CHIKOWERO</w:t>
      </w:r>
      <w:r w:rsidR="00C0329C">
        <w:rPr>
          <w:rFonts w:ascii="Times New Roman" w:hAnsi="Times New Roman" w:cs="Times New Roman"/>
          <w:sz w:val="24"/>
          <w:szCs w:val="24"/>
          <w:lang w:val="en-GB"/>
        </w:rPr>
        <w:t xml:space="preserve"> J</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907C8C">
        <w:rPr>
          <w:rFonts w:ascii="Times New Roman" w:hAnsi="Times New Roman" w:cs="Times New Roman"/>
          <w:sz w:val="24"/>
          <w:szCs w:val="24"/>
          <w:lang w:val="en-GB"/>
        </w:rPr>
        <w:t>23</w:t>
      </w:r>
      <w:r w:rsidR="006F205F">
        <w:rPr>
          <w:rFonts w:ascii="Times New Roman" w:hAnsi="Times New Roman" w:cs="Times New Roman"/>
          <w:sz w:val="24"/>
          <w:szCs w:val="24"/>
          <w:lang w:val="en-GB"/>
        </w:rPr>
        <w:t xml:space="preserve"> March </w:t>
      </w:r>
      <w:r w:rsidR="0054307D">
        <w:rPr>
          <w:rFonts w:ascii="Times New Roman" w:hAnsi="Times New Roman" w:cs="Times New Roman"/>
          <w:sz w:val="24"/>
          <w:szCs w:val="24"/>
          <w:lang w:val="en-GB"/>
        </w:rPr>
        <w:t>202</w:t>
      </w:r>
      <w:r w:rsidR="00F91A96">
        <w:rPr>
          <w:rFonts w:ascii="Times New Roman" w:hAnsi="Times New Roman" w:cs="Times New Roman"/>
          <w:sz w:val="24"/>
          <w:szCs w:val="24"/>
          <w:lang w:val="en-GB"/>
        </w:rPr>
        <w:t>1</w:t>
      </w:r>
      <w:r w:rsidR="00907C8C">
        <w:rPr>
          <w:rFonts w:ascii="Times New Roman" w:hAnsi="Times New Roman" w:cs="Times New Roman"/>
          <w:sz w:val="24"/>
          <w:szCs w:val="24"/>
          <w:lang w:val="en-GB"/>
        </w:rPr>
        <w:t xml:space="preserve"> &amp;</w:t>
      </w:r>
      <w:r w:rsidR="00B62C3E">
        <w:rPr>
          <w:rFonts w:ascii="Times New Roman" w:hAnsi="Times New Roman" w:cs="Times New Roman"/>
          <w:sz w:val="24"/>
          <w:szCs w:val="24"/>
          <w:lang w:val="en-GB"/>
        </w:rPr>
        <w:t xml:space="preserve"> 21 July 2021</w:t>
      </w:r>
    </w:p>
    <w:p w:rsidR="00EA5C4B" w:rsidRDefault="00EA5C4B" w:rsidP="00C0329C">
      <w:pPr>
        <w:jc w:val="both"/>
        <w:rPr>
          <w:rFonts w:ascii="Times New Roman" w:hAnsi="Times New Roman" w:cs="Times New Roman"/>
          <w:sz w:val="24"/>
          <w:szCs w:val="24"/>
          <w:lang w:val="en-GB"/>
        </w:rPr>
      </w:pPr>
    </w:p>
    <w:p w:rsidR="008072FB" w:rsidRPr="00B21A35" w:rsidRDefault="00907C8C" w:rsidP="00C0329C">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Opposed Application </w:t>
      </w:r>
    </w:p>
    <w:p w:rsidR="008072FB" w:rsidRDefault="008C687D" w:rsidP="008C687D">
      <w:pPr>
        <w:tabs>
          <w:tab w:val="left" w:pos="5055"/>
        </w:tabs>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2E1B81" w:rsidRDefault="00907C8C" w:rsidP="008072FB">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C. Mutangadura</w:t>
      </w:r>
      <w:r w:rsidR="002E1B81">
        <w:rPr>
          <w:rFonts w:ascii="Times New Roman" w:hAnsi="Times New Roman" w:cs="Times New Roman"/>
          <w:i/>
          <w:sz w:val="24"/>
          <w:szCs w:val="24"/>
          <w:lang w:val="en-GB"/>
        </w:rPr>
        <w:t>,</w:t>
      </w:r>
      <w:r w:rsidR="004B5D87">
        <w:rPr>
          <w:rFonts w:ascii="Times New Roman" w:hAnsi="Times New Roman" w:cs="Times New Roman"/>
          <w:i/>
          <w:sz w:val="24"/>
          <w:szCs w:val="24"/>
          <w:lang w:val="en-GB"/>
        </w:rPr>
        <w:t xml:space="preserve"> </w:t>
      </w:r>
      <w:r w:rsidR="008072FB" w:rsidRPr="008072FB">
        <w:rPr>
          <w:rFonts w:ascii="Times New Roman" w:hAnsi="Times New Roman" w:cs="Times New Roman"/>
          <w:sz w:val="24"/>
          <w:szCs w:val="24"/>
          <w:lang w:val="en-GB"/>
        </w:rPr>
        <w:t xml:space="preserve">for the </w:t>
      </w:r>
      <w:r w:rsidR="004B5D87">
        <w:rPr>
          <w:rFonts w:ascii="Times New Roman" w:hAnsi="Times New Roman" w:cs="Times New Roman"/>
          <w:sz w:val="24"/>
          <w:szCs w:val="24"/>
          <w:lang w:val="en-GB"/>
        </w:rPr>
        <w:t>app</w:t>
      </w:r>
      <w:r>
        <w:rPr>
          <w:rFonts w:ascii="Times New Roman" w:hAnsi="Times New Roman" w:cs="Times New Roman"/>
          <w:sz w:val="24"/>
          <w:szCs w:val="24"/>
          <w:lang w:val="en-GB"/>
        </w:rPr>
        <w:t xml:space="preserve">licant </w:t>
      </w:r>
    </w:p>
    <w:p w:rsidR="00907C8C" w:rsidRDefault="00907C8C" w:rsidP="008072FB">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J. Dondo with E Nyakunika</w:t>
      </w:r>
      <w:r w:rsidR="002E1B81">
        <w:rPr>
          <w:rFonts w:ascii="Times New Roman" w:hAnsi="Times New Roman" w:cs="Times New Roman"/>
          <w:sz w:val="24"/>
          <w:szCs w:val="24"/>
          <w:lang w:val="en-GB"/>
        </w:rPr>
        <w:t xml:space="preserve">, for the </w:t>
      </w:r>
      <w:r>
        <w:rPr>
          <w:rFonts w:ascii="Times New Roman" w:hAnsi="Times New Roman" w:cs="Times New Roman"/>
          <w:sz w:val="24"/>
          <w:szCs w:val="24"/>
          <w:lang w:val="en-GB"/>
        </w:rPr>
        <w:t>1</w:t>
      </w:r>
      <w:r w:rsidRPr="00907C8C">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2</w:t>
      </w:r>
      <w:r w:rsidRPr="00907C8C">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and 3</w:t>
      </w:r>
      <w:r w:rsidRPr="00907C8C">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w:t>
      </w:r>
      <w:r w:rsidR="002E1B81">
        <w:rPr>
          <w:rFonts w:ascii="Times New Roman" w:hAnsi="Times New Roman" w:cs="Times New Roman"/>
          <w:sz w:val="24"/>
          <w:szCs w:val="24"/>
          <w:lang w:val="en-GB"/>
        </w:rPr>
        <w:t>respondent</w:t>
      </w:r>
      <w:r>
        <w:rPr>
          <w:rFonts w:ascii="Times New Roman" w:hAnsi="Times New Roman" w:cs="Times New Roman"/>
          <w:sz w:val="24"/>
          <w:szCs w:val="24"/>
          <w:lang w:val="en-GB"/>
        </w:rPr>
        <w:t>s</w:t>
      </w:r>
    </w:p>
    <w:p w:rsidR="00907C8C" w:rsidRDefault="00907C8C" w:rsidP="008072F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appearance for the 4</w:t>
      </w:r>
      <w:r w:rsidRPr="00907C8C">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and 5</w:t>
      </w:r>
      <w:r w:rsidRPr="00907C8C">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respondents</w:t>
      </w:r>
    </w:p>
    <w:p w:rsidR="00C0329C" w:rsidRDefault="002E1B81" w:rsidP="008072F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072FB" w:rsidRPr="008072FB">
        <w:rPr>
          <w:rFonts w:ascii="Times New Roman" w:hAnsi="Times New Roman" w:cs="Times New Roman"/>
          <w:sz w:val="24"/>
          <w:szCs w:val="24"/>
          <w:lang w:val="en-GB"/>
        </w:rPr>
        <w:t xml:space="preserve"> </w:t>
      </w:r>
    </w:p>
    <w:p w:rsidR="00EA6814" w:rsidRPr="008072FB" w:rsidRDefault="00EA6814" w:rsidP="008072FB">
      <w:pPr>
        <w:spacing w:after="0" w:line="240" w:lineRule="auto"/>
        <w:jc w:val="both"/>
        <w:rPr>
          <w:rFonts w:ascii="Times New Roman" w:hAnsi="Times New Roman" w:cs="Times New Roman"/>
          <w:sz w:val="24"/>
          <w:szCs w:val="24"/>
          <w:lang w:val="en-GB"/>
        </w:rPr>
      </w:pPr>
    </w:p>
    <w:p w:rsidR="00EA5C4B" w:rsidRDefault="00EA5C4B" w:rsidP="00C0329C">
      <w:pPr>
        <w:spacing w:after="0" w:line="240" w:lineRule="auto"/>
        <w:jc w:val="both"/>
        <w:rPr>
          <w:rFonts w:ascii="Times New Roman" w:hAnsi="Times New Roman" w:cs="Times New Roman"/>
          <w:sz w:val="24"/>
          <w:szCs w:val="24"/>
          <w:lang w:val="en-GB"/>
        </w:rPr>
      </w:pPr>
    </w:p>
    <w:p w:rsidR="00195E1C" w:rsidRDefault="00EA5C4B" w:rsidP="00907C8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F205F">
        <w:rPr>
          <w:rFonts w:ascii="Times New Roman" w:hAnsi="Times New Roman" w:cs="Times New Roman"/>
          <w:sz w:val="24"/>
          <w:szCs w:val="24"/>
          <w:lang w:val="en-GB"/>
        </w:rPr>
        <w:t>CHIKOWERO</w:t>
      </w:r>
      <w:r>
        <w:rPr>
          <w:rFonts w:ascii="Times New Roman" w:hAnsi="Times New Roman" w:cs="Times New Roman"/>
          <w:sz w:val="24"/>
          <w:szCs w:val="24"/>
          <w:lang w:val="en-GB"/>
        </w:rPr>
        <w:t xml:space="preserve"> J: </w:t>
      </w:r>
      <w:r w:rsidR="006F205F">
        <w:rPr>
          <w:rFonts w:ascii="Times New Roman" w:hAnsi="Times New Roman" w:cs="Times New Roman"/>
          <w:sz w:val="24"/>
          <w:szCs w:val="24"/>
          <w:lang w:val="en-GB"/>
        </w:rPr>
        <w:t xml:space="preserve">This is an </w:t>
      </w:r>
      <w:r w:rsidR="00907C8C">
        <w:rPr>
          <w:rFonts w:ascii="Times New Roman" w:hAnsi="Times New Roman" w:cs="Times New Roman"/>
          <w:sz w:val="24"/>
          <w:szCs w:val="24"/>
          <w:lang w:val="en-GB"/>
        </w:rPr>
        <w:t xml:space="preserve">application for an order for </w:t>
      </w:r>
      <w:r w:rsidR="00DD17A6">
        <w:rPr>
          <w:rFonts w:ascii="Times New Roman" w:hAnsi="Times New Roman" w:cs="Times New Roman"/>
          <w:sz w:val="24"/>
          <w:szCs w:val="24"/>
          <w:lang w:val="en-GB"/>
        </w:rPr>
        <w:t>c</w:t>
      </w:r>
      <w:r w:rsidR="00907C8C">
        <w:rPr>
          <w:rFonts w:ascii="Times New Roman" w:hAnsi="Times New Roman" w:cs="Times New Roman"/>
          <w:sz w:val="24"/>
          <w:szCs w:val="24"/>
          <w:lang w:val="en-GB"/>
        </w:rPr>
        <w:t>ivil forfeiture of property brought in terms of s 79 as read with s 80 of the Money Laundering and Proceeds of Crime Act [</w:t>
      </w:r>
      <w:r w:rsidR="00907C8C" w:rsidRPr="00907C8C">
        <w:rPr>
          <w:rFonts w:ascii="Times New Roman" w:hAnsi="Times New Roman" w:cs="Times New Roman"/>
          <w:i/>
          <w:sz w:val="24"/>
          <w:szCs w:val="24"/>
          <w:lang w:val="en-GB"/>
        </w:rPr>
        <w:t>Chapter 9:24</w:t>
      </w:r>
      <w:r w:rsidR="00907C8C">
        <w:rPr>
          <w:rFonts w:ascii="Times New Roman" w:hAnsi="Times New Roman" w:cs="Times New Roman"/>
          <w:sz w:val="24"/>
          <w:szCs w:val="24"/>
          <w:lang w:val="en-GB"/>
        </w:rPr>
        <w:t>]  (“the MLPCA”).</w:t>
      </w:r>
    </w:p>
    <w:p w:rsidR="00907C8C" w:rsidRDefault="00907C8C" w:rsidP="00907C8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property in question includes </w:t>
      </w:r>
      <w:r w:rsidR="00DD17A6">
        <w:rPr>
          <w:rFonts w:ascii="Times New Roman" w:hAnsi="Times New Roman" w:cs="Times New Roman"/>
          <w:sz w:val="24"/>
          <w:szCs w:val="24"/>
          <w:lang w:val="en-GB"/>
        </w:rPr>
        <w:t>ten</w:t>
      </w:r>
      <w:r>
        <w:rPr>
          <w:rFonts w:ascii="Times New Roman" w:hAnsi="Times New Roman" w:cs="Times New Roman"/>
          <w:sz w:val="24"/>
          <w:szCs w:val="24"/>
          <w:lang w:val="en-GB"/>
        </w:rPr>
        <w:t xml:space="preserve"> motor vehicles, </w:t>
      </w:r>
      <w:r w:rsidR="00DD17A6">
        <w:rPr>
          <w:rFonts w:ascii="Times New Roman" w:hAnsi="Times New Roman" w:cs="Times New Roman"/>
          <w:sz w:val="24"/>
          <w:szCs w:val="24"/>
          <w:lang w:val="en-GB"/>
        </w:rPr>
        <w:t>four</w:t>
      </w:r>
      <w:r>
        <w:rPr>
          <w:rFonts w:ascii="Times New Roman" w:hAnsi="Times New Roman" w:cs="Times New Roman"/>
          <w:sz w:val="24"/>
          <w:szCs w:val="24"/>
          <w:lang w:val="en-GB"/>
        </w:rPr>
        <w:t xml:space="preserve"> immovable properties and shareholding in </w:t>
      </w:r>
      <w:r w:rsidR="00DD17A6">
        <w:rPr>
          <w:rFonts w:ascii="Times New Roman" w:hAnsi="Times New Roman" w:cs="Times New Roman"/>
          <w:sz w:val="24"/>
          <w:szCs w:val="24"/>
          <w:lang w:val="en-GB"/>
        </w:rPr>
        <w:t>two</w:t>
      </w:r>
      <w:r>
        <w:rPr>
          <w:rFonts w:ascii="Times New Roman" w:hAnsi="Times New Roman" w:cs="Times New Roman"/>
          <w:sz w:val="24"/>
          <w:szCs w:val="24"/>
          <w:lang w:val="en-GB"/>
        </w:rPr>
        <w:t xml:space="preserve"> companies</w:t>
      </w:r>
      <w:r w:rsidR="00F91A96">
        <w:rPr>
          <w:rFonts w:ascii="Times New Roman" w:hAnsi="Times New Roman" w:cs="Times New Roman"/>
          <w:sz w:val="24"/>
          <w:szCs w:val="24"/>
          <w:lang w:val="en-GB"/>
        </w:rPr>
        <w:t>. The property allegedly belongs to the first, second and third respondents.</w:t>
      </w:r>
    </w:p>
    <w:p w:rsidR="00907C8C" w:rsidRDefault="0048507D" w:rsidP="00907C8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(“the Prosecutor-</w:t>
      </w:r>
      <w:r w:rsidR="00907C8C">
        <w:rPr>
          <w:rFonts w:ascii="Times New Roman" w:hAnsi="Times New Roman" w:cs="Times New Roman"/>
          <w:sz w:val="24"/>
          <w:szCs w:val="24"/>
          <w:lang w:val="en-GB"/>
        </w:rPr>
        <w:t xml:space="preserve">General”) alleges that </w:t>
      </w:r>
      <w:r w:rsidR="00DD17A6">
        <w:rPr>
          <w:rFonts w:ascii="Times New Roman" w:hAnsi="Times New Roman" w:cs="Times New Roman"/>
          <w:sz w:val="24"/>
          <w:szCs w:val="24"/>
          <w:lang w:val="en-GB"/>
        </w:rPr>
        <w:t xml:space="preserve">the </w:t>
      </w:r>
      <w:r w:rsidR="00DD223B">
        <w:rPr>
          <w:rFonts w:ascii="Times New Roman" w:hAnsi="Times New Roman" w:cs="Times New Roman"/>
          <w:sz w:val="24"/>
          <w:szCs w:val="24"/>
          <w:lang w:val="en-GB"/>
        </w:rPr>
        <w:t>first</w:t>
      </w:r>
      <w:r w:rsidR="00907C8C">
        <w:rPr>
          <w:rFonts w:ascii="Times New Roman" w:hAnsi="Times New Roman" w:cs="Times New Roman"/>
          <w:sz w:val="24"/>
          <w:szCs w:val="24"/>
          <w:lang w:val="en-GB"/>
        </w:rPr>
        <w:t xml:space="preserve"> respondent was involved in the </w:t>
      </w:r>
      <w:r w:rsidR="007C6FA6">
        <w:rPr>
          <w:rFonts w:ascii="Times New Roman" w:hAnsi="Times New Roman" w:cs="Times New Roman"/>
          <w:sz w:val="24"/>
          <w:szCs w:val="24"/>
          <w:lang w:val="en-GB"/>
        </w:rPr>
        <w:t>c</w:t>
      </w:r>
      <w:r w:rsidR="0070063A">
        <w:rPr>
          <w:rFonts w:ascii="Times New Roman" w:hAnsi="Times New Roman" w:cs="Times New Roman"/>
          <w:sz w:val="24"/>
          <w:szCs w:val="24"/>
          <w:lang w:val="en-GB"/>
        </w:rPr>
        <w:t xml:space="preserve">ommission of serious offences namely </w:t>
      </w:r>
      <w:r w:rsidR="00DD17A6">
        <w:rPr>
          <w:rFonts w:ascii="Times New Roman" w:hAnsi="Times New Roman" w:cs="Times New Roman"/>
          <w:sz w:val="24"/>
          <w:szCs w:val="24"/>
          <w:lang w:val="en-GB"/>
        </w:rPr>
        <w:t>c</w:t>
      </w:r>
      <w:r w:rsidR="0070063A">
        <w:rPr>
          <w:rFonts w:ascii="Times New Roman" w:hAnsi="Times New Roman" w:cs="Times New Roman"/>
          <w:sz w:val="24"/>
          <w:szCs w:val="24"/>
          <w:lang w:val="en-GB"/>
        </w:rPr>
        <w:t xml:space="preserve">riminal abuse of duty as a public officer, fraud, bribery and money laundering at a time when the latter was employed as the Chief Executive Officer of the Zimbabwe National Road Administration (“ZINARA”). </w:t>
      </w:r>
      <w:r w:rsidR="00DD223B">
        <w:rPr>
          <w:rFonts w:ascii="Times New Roman" w:hAnsi="Times New Roman" w:cs="Times New Roman"/>
          <w:sz w:val="24"/>
          <w:szCs w:val="24"/>
          <w:lang w:val="en-GB"/>
        </w:rPr>
        <w:t>The first</w:t>
      </w:r>
      <w:r w:rsidR="0070063A">
        <w:rPr>
          <w:rFonts w:ascii="Times New Roman" w:hAnsi="Times New Roman" w:cs="Times New Roman"/>
          <w:sz w:val="24"/>
          <w:szCs w:val="24"/>
          <w:lang w:val="en-GB"/>
        </w:rPr>
        <w:t xml:space="preserve"> respondent is said to have taken </w:t>
      </w:r>
      <w:r>
        <w:rPr>
          <w:rFonts w:ascii="Times New Roman" w:hAnsi="Times New Roman" w:cs="Times New Roman"/>
          <w:sz w:val="24"/>
          <w:szCs w:val="24"/>
          <w:lang w:val="en-GB"/>
        </w:rPr>
        <w:t>advantage of his office to hand-</w:t>
      </w:r>
      <w:r w:rsidR="0070063A">
        <w:rPr>
          <w:rFonts w:ascii="Times New Roman" w:hAnsi="Times New Roman" w:cs="Times New Roman"/>
          <w:sz w:val="24"/>
          <w:szCs w:val="24"/>
          <w:lang w:val="en-GB"/>
        </w:rPr>
        <w:t>pick two companies to undertake civil cons</w:t>
      </w:r>
      <w:r w:rsidR="00DD17A6">
        <w:rPr>
          <w:rFonts w:ascii="Times New Roman" w:hAnsi="Times New Roman" w:cs="Times New Roman"/>
          <w:sz w:val="24"/>
          <w:szCs w:val="24"/>
          <w:lang w:val="en-GB"/>
        </w:rPr>
        <w:t>truction works in Gutu, Zaka, B</w:t>
      </w:r>
      <w:r w:rsidR="0070063A">
        <w:rPr>
          <w:rFonts w:ascii="Times New Roman" w:hAnsi="Times New Roman" w:cs="Times New Roman"/>
          <w:sz w:val="24"/>
          <w:szCs w:val="24"/>
          <w:lang w:val="en-GB"/>
        </w:rPr>
        <w:t>uhera, Mhondoro-Ngezi and Goromonzi. The two companies</w:t>
      </w:r>
      <w:r w:rsidR="00DD17A6">
        <w:rPr>
          <w:rFonts w:ascii="Times New Roman" w:hAnsi="Times New Roman" w:cs="Times New Roman"/>
          <w:sz w:val="24"/>
          <w:szCs w:val="24"/>
          <w:lang w:val="en-GB"/>
        </w:rPr>
        <w:t>,</w:t>
      </w:r>
      <w:r w:rsidR="0070063A">
        <w:rPr>
          <w:rFonts w:ascii="Times New Roman" w:hAnsi="Times New Roman" w:cs="Times New Roman"/>
          <w:sz w:val="24"/>
          <w:szCs w:val="24"/>
          <w:lang w:val="en-GB"/>
        </w:rPr>
        <w:t xml:space="preserve"> namely Fremus (Pvt) Ltd (“Fremus”) </w:t>
      </w:r>
      <w:r w:rsidR="00DD17A6">
        <w:rPr>
          <w:rFonts w:ascii="Times New Roman" w:hAnsi="Times New Roman" w:cs="Times New Roman"/>
          <w:sz w:val="24"/>
          <w:szCs w:val="24"/>
          <w:lang w:val="en-GB"/>
        </w:rPr>
        <w:t xml:space="preserve">and </w:t>
      </w:r>
      <w:r w:rsidR="0070063A">
        <w:rPr>
          <w:rFonts w:ascii="Times New Roman" w:hAnsi="Times New Roman" w:cs="Times New Roman"/>
          <w:sz w:val="24"/>
          <w:szCs w:val="24"/>
          <w:lang w:val="en-GB"/>
        </w:rPr>
        <w:t xml:space="preserve">Twalumba Civils (Pvt) Ltd </w:t>
      </w:r>
      <w:r w:rsidR="0070063A">
        <w:rPr>
          <w:rFonts w:ascii="Times New Roman" w:hAnsi="Times New Roman" w:cs="Times New Roman"/>
          <w:sz w:val="24"/>
          <w:szCs w:val="24"/>
          <w:lang w:val="en-GB"/>
        </w:rPr>
        <w:lastRenderedPageBreak/>
        <w:t>(“Twalumba”) obtained contracts to undertake the road maintenance work without having gone through tender procedures</w:t>
      </w:r>
      <w:r w:rsidR="00DD223B">
        <w:rPr>
          <w:rFonts w:ascii="Times New Roman" w:hAnsi="Times New Roman" w:cs="Times New Roman"/>
          <w:sz w:val="24"/>
          <w:szCs w:val="24"/>
          <w:lang w:val="en-GB"/>
        </w:rPr>
        <w:t>.</w:t>
      </w:r>
      <w:r w:rsidR="00F91A96">
        <w:rPr>
          <w:rFonts w:ascii="Times New Roman" w:hAnsi="Times New Roman" w:cs="Times New Roman"/>
          <w:sz w:val="24"/>
          <w:szCs w:val="24"/>
          <w:lang w:val="en-GB"/>
        </w:rPr>
        <w:t xml:space="preserve"> </w:t>
      </w:r>
      <w:r w:rsidR="00DD223B">
        <w:rPr>
          <w:rFonts w:ascii="Times New Roman" w:hAnsi="Times New Roman" w:cs="Times New Roman"/>
          <w:sz w:val="24"/>
          <w:szCs w:val="24"/>
          <w:lang w:val="en-GB"/>
        </w:rPr>
        <w:t>T</w:t>
      </w:r>
      <w:r w:rsidR="00F91A96">
        <w:rPr>
          <w:rFonts w:ascii="Times New Roman" w:hAnsi="Times New Roman" w:cs="Times New Roman"/>
          <w:sz w:val="24"/>
          <w:szCs w:val="24"/>
          <w:lang w:val="en-GB"/>
        </w:rPr>
        <w:t>he first</w:t>
      </w:r>
      <w:r w:rsidR="0070063A">
        <w:rPr>
          <w:rFonts w:ascii="Times New Roman" w:hAnsi="Times New Roman" w:cs="Times New Roman"/>
          <w:sz w:val="24"/>
          <w:szCs w:val="24"/>
          <w:lang w:val="en-GB"/>
        </w:rPr>
        <w:t xml:space="preserve"> respondent </w:t>
      </w:r>
      <w:r w:rsidR="00F91A96">
        <w:rPr>
          <w:rFonts w:ascii="Times New Roman" w:hAnsi="Times New Roman" w:cs="Times New Roman"/>
          <w:sz w:val="24"/>
          <w:szCs w:val="24"/>
          <w:lang w:val="en-GB"/>
        </w:rPr>
        <w:t>was allegedly</w:t>
      </w:r>
      <w:r w:rsidR="0070063A">
        <w:rPr>
          <w:rFonts w:ascii="Times New Roman" w:hAnsi="Times New Roman" w:cs="Times New Roman"/>
          <w:sz w:val="24"/>
          <w:szCs w:val="24"/>
          <w:lang w:val="en-GB"/>
        </w:rPr>
        <w:t xml:space="preserve"> pivotal in the corrupt awarding of </w:t>
      </w:r>
      <w:r w:rsidR="00DD223B">
        <w:rPr>
          <w:rFonts w:ascii="Times New Roman" w:hAnsi="Times New Roman" w:cs="Times New Roman"/>
          <w:sz w:val="24"/>
          <w:szCs w:val="24"/>
          <w:lang w:val="en-GB"/>
        </w:rPr>
        <w:t xml:space="preserve">the </w:t>
      </w:r>
      <w:r w:rsidR="0070063A">
        <w:rPr>
          <w:rFonts w:ascii="Times New Roman" w:hAnsi="Times New Roman" w:cs="Times New Roman"/>
          <w:sz w:val="24"/>
          <w:szCs w:val="24"/>
          <w:lang w:val="en-GB"/>
        </w:rPr>
        <w:t xml:space="preserve">contracts </w:t>
      </w:r>
      <w:r w:rsidR="00DD223B">
        <w:rPr>
          <w:rFonts w:ascii="Times New Roman" w:hAnsi="Times New Roman" w:cs="Times New Roman"/>
          <w:sz w:val="24"/>
          <w:szCs w:val="24"/>
          <w:lang w:val="en-GB"/>
        </w:rPr>
        <w:t xml:space="preserve">to </w:t>
      </w:r>
      <w:r w:rsidR="00F91A96">
        <w:rPr>
          <w:rFonts w:ascii="Times New Roman" w:hAnsi="Times New Roman" w:cs="Times New Roman"/>
          <w:sz w:val="24"/>
          <w:szCs w:val="24"/>
          <w:lang w:val="en-GB"/>
        </w:rPr>
        <w:t>the</w:t>
      </w:r>
      <w:r>
        <w:rPr>
          <w:rFonts w:ascii="Times New Roman" w:hAnsi="Times New Roman" w:cs="Times New Roman"/>
          <w:sz w:val="24"/>
          <w:szCs w:val="24"/>
          <w:lang w:val="en-GB"/>
        </w:rPr>
        <w:t>se</w:t>
      </w:r>
      <w:r w:rsidR="00F91A96">
        <w:rPr>
          <w:rFonts w:ascii="Times New Roman" w:hAnsi="Times New Roman" w:cs="Times New Roman"/>
          <w:sz w:val="24"/>
          <w:szCs w:val="24"/>
          <w:lang w:val="en-GB"/>
        </w:rPr>
        <w:t xml:space="preserve"> companies.</w:t>
      </w:r>
      <w:r w:rsidR="0070063A">
        <w:rPr>
          <w:rFonts w:ascii="Times New Roman" w:hAnsi="Times New Roman" w:cs="Times New Roman"/>
          <w:sz w:val="24"/>
          <w:szCs w:val="24"/>
          <w:lang w:val="en-GB"/>
        </w:rPr>
        <w:t xml:space="preserve"> The Prosecutor General alleges that </w:t>
      </w:r>
      <w:r w:rsidR="00F91A96">
        <w:rPr>
          <w:rFonts w:ascii="Times New Roman" w:hAnsi="Times New Roman" w:cs="Times New Roman"/>
          <w:sz w:val="24"/>
          <w:szCs w:val="24"/>
          <w:lang w:val="en-GB"/>
        </w:rPr>
        <w:t xml:space="preserve">first </w:t>
      </w:r>
      <w:r w:rsidR="00DD17A6">
        <w:rPr>
          <w:rFonts w:ascii="Times New Roman" w:hAnsi="Times New Roman" w:cs="Times New Roman"/>
          <w:sz w:val="24"/>
          <w:szCs w:val="24"/>
          <w:lang w:val="en-GB"/>
        </w:rPr>
        <w:t>respondent</w:t>
      </w:r>
      <w:r w:rsidR="0070063A">
        <w:rPr>
          <w:rFonts w:ascii="Times New Roman" w:hAnsi="Times New Roman" w:cs="Times New Roman"/>
          <w:sz w:val="24"/>
          <w:szCs w:val="24"/>
          <w:lang w:val="en-GB"/>
        </w:rPr>
        <w:t xml:space="preserve"> unlawfully benefitted from the huge payments remitted by ZINARA to the </w:t>
      </w:r>
      <w:r w:rsidR="00F91A96">
        <w:rPr>
          <w:rFonts w:ascii="Times New Roman" w:hAnsi="Times New Roman" w:cs="Times New Roman"/>
          <w:sz w:val="24"/>
          <w:szCs w:val="24"/>
          <w:lang w:val="en-GB"/>
        </w:rPr>
        <w:t>two</w:t>
      </w:r>
      <w:r w:rsidR="0070063A">
        <w:rPr>
          <w:rFonts w:ascii="Times New Roman" w:hAnsi="Times New Roman" w:cs="Times New Roman"/>
          <w:sz w:val="24"/>
          <w:szCs w:val="24"/>
          <w:lang w:val="en-GB"/>
        </w:rPr>
        <w:t xml:space="preserve"> companies in that they then paid bribes</w:t>
      </w:r>
      <w:r w:rsidR="008D3187">
        <w:rPr>
          <w:rFonts w:ascii="Times New Roman" w:hAnsi="Times New Roman" w:cs="Times New Roman"/>
          <w:sz w:val="24"/>
          <w:szCs w:val="24"/>
          <w:lang w:val="en-GB"/>
        </w:rPr>
        <w:t xml:space="preserve"> to</w:t>
      </w:r>
      <w:r w:rsidR="00DD223B">
        <w:rPr>
          <w:rFonts w:ascii="Times New Roman" w:hAnsi="Times New Roman" w:cs="Times New Roman"/>
          <w:sz w:val="24"/>
          <w:szCs w:val="24"/>
          <w:lang w:val="en-GB"/>
        </w:rPr>
        <w:t xml:space="preserve"> him</w:t>
      </w:r>
      <w:r w:rsidR="0070063A">
        <w:rPr>
          <w:rFonts w:ascii="Times New Roman" w:hAnsi="Times New Roman" w:cs="Times New Roman"/>
          <w:sz w:val="24"/>
          <w:szCs w:val="24"/>
          <w:lang w:val="en-GB"/>
        </w:rPr>
        <w:t>. Using the proceeds of those crimes</w:t>
      </w:r>
      <w:r w:rsidR="00DD17A6">
        <w:rPr>
          <w:rFonts w:ascii="Times New Roman" w:hAnsi="Times New Roman" w:cs="Times New Roman"/>
          <w:sz w:val="24"/>
          <w:szCs w:val="24"/>
          <w:lang w:val="en-GB"/>
        </w:rPr>
        <w:t>,</w:t>
      </w:r>
      <w:r w:rsidR="0070063A">
        <w:rPr>
          <w:rFonts w:ascii="Times New Roman" w:hAnsi="Times New Roman" w:cs="Times New Roman"/>
          <w:sz w:val="24"/>
          <w:szCs w:val="24"/>
          <w:lang w:val="en-GB"/>
        </w:rPr>
        <w:t xml:space="preserve"> </w:t>
      </w:r>
      <w:r w:rsidR="00DD17A6">
        <w:rPr>
          <w:rFonts w:ascii="Times New Roman" w:hAnsi="Times New Roman" w:cs="Times New Roman"/>
          <w:sz w:val="24"/>
          <w:szCs w:val="24"/>
          <w:lang w:val="en-GB"/>
        </w:rPr>
        <w:t>t</w:t>
      </w:r>
      <w:r w:rsidR="0070063A">
        <w:rPr>
          <w:rFonts w:ascii="Times New Roman" w:hAnsi="Times New Roman" w:cs="Times New Roman"/>
          <w:sz w:val="24"/>
          <w:szCs w:val="24"/>
          <w:lang w:val="en-GB"/>
        </w:rPr>
        <w:t xml:space="preserve">he </w:t>
      </w:r>
      <w:r w:rsidR="00F91A96">
        <w:rPr>
          <w:rFonts w:ascii="Times New Roman" w:hAnsi="Times New Roman" w:cs="Times New Roman"/>
          <w:sz w:val="24"/>
          <w:szCs w:val="24"/>
          <w:lang w:val="en-GB"/>
        </w:rPr>
        <w:t xml:space="preserve">first </w:t>
      </w:r>
      <w:r w:rsidR="0070063A">
        <w:rPr>
          <w:rFonts w:ascii="Times New Roman" w:hAnsi="Times New Roman" w:cs="Times New Roman"/>
          <w:sz w:val="24"/>
          <w:szCs w:val="24"/>
          <w:lang w:val="en-GB"/>
        </w:rPr>
        <w:t xml:space="preserve">respondent, working with the </w:t>
      </w:r>
      <w:r w:rsidR="00F91A96">
        <w:rPr>
          <w:rFonts w:ascii="Times New Roman" w:hAnsi="Times New Roman" w:cs="Times New Roman"/>
          <w:sz w:val="24"/>
          <w:szCs w:val="24"/>
          <w:lang w:val="en-GB"/>
        </w:rPr>
        <w:t xml:space="preserve">second </w:t>
      </w:r>
      <w:r w:rsidR="0070063A">
        <w:rPr>
          <w:rFonts w:ascii="Times New Roman" w:hAnsi="Times New Roman" w:cs="Times New Roman"/>
          <w:sz w:val="24"/>
          <w:szCs w:val="24"/>
          <w:lang w:val="en-GB"/>
        </w:rPr>
        <w:t>respondent (who is his spouse) acquired the propert</w:t>
      </w:r>
      <w:r w:rsidR="00DD17A6">
        <w:rPr>
          <w:rFonts w:ascii="Times New Roman" w:hAnsi="Times New Roman" w:cs="Times New Roman"/>
          <w:sz w:val="24"/>
          <w:szCs w:val="24"/>
          <w:lang w:val="en-GB"/>
        </w:rPr>
        <w:t>y</w:t>
      </w:r>
      <w:r w:rsidR="0070063A">
        <w:rPr>
          <w:rFonts w:ascii="Times New Roman" w:hAnsi="Times New Roman" w:cs="Times New Roman"/>
          <w:sz w:val="24"/>
          <w:szCs w:val="24"/>
          <w:lang w:val="en-GB"/>
        </w:rPr>
        <w:t xml:space="preserve"> which </w:t>
      </w:r>
      <w:r w:rsidR="00DD17A6">
        <w:rPr>
          <w:rFonts w:ascii="Times New Roman" w:hAnsi="Times New Roman" w:cs="Times New Roman"/>
          <w:sz w:val="24"/>
          <w:szCs w:val="24"/>
          <w:lang w:val="en-GB"/>
        </w:rPr>
        <w:t>is</w:t>
      </w:r>
      <w:r w:rsidR="0070063A">
        <w:rPr>
          <w:rFonts w:ascii="Times New Roman" w:hAnsi="Times New Roman" w:cs="Times New Roman"/>
          <w:sz w:val="24"/>
          <w:szCs w:val="24"/>
          <w:lang w:val="en-GB"/>
        </w:rPr>
        <w:t xml:space="preserve"> the subject matter</w:t>
      </w:r>
      <w:r w:rsidR="00DD17A6">
        <w:rPr>
          <w:rFonts w:ascii="Times New Roman" w:hAnsi="Times New Roman" w:cs="Times New Roman"/>
          <w:sz w:val="24"/>
          <w:szCs w:val="24"/>
          <w:lang w:val="en-GB"/>
        </w:rPr>
        <w:t xml:space="preserve"> </w:t>
      </w:r>
      <w:r w:rsidR="0070063A">
        <w:rPr>
          <w:rFonts w:ascii="Times New Roman" w:hAnsi="Times New Roman" w:cs="Times New Roman"/>
          <w:sz w:val="24"/>
          <w:szCs w:val="24"/>
          <w:lang w:val="en-GB"/>
        </w:rPr>
        <w:t xml:space="preserve">of this application. </w:t>
      </w:r>
    </w:p>
    <w:p w:rsidR="00492EF1" w:rsidRDefault="0070063A" w:rsidP="00907C8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Without going through tender procedures</w:t>
      </w:r>
      <w:r w:rsidR="00DD17A6">
        <w:rPr>
          <w:rFonts w:ascii="Times New Roman" w:hAnsi="Times New Roman" w:cs="Times New Roman"/>
          <w:sz w:val="24"/>
          <w:szCs w:val="24"/>
          <w:lang w:val="en-GB"/>
        </w:rPr>
        <w:t>,</w:t>
      </w:r>
      <w:r>
        <w:rPr>
          <w:rFonts w:ascii="Times New Roman" w:hAnsi="Times New Roman" w:cs="Times New Roman"/>
          <w:sz w:val="24"/>
          <w:szCs w:val="24"/>
          <w:lang w:val="en-GB"/>
        </w:rPr>
        <w:t xml:space="preserve"> the </w:t>
      </w:r>
      <w:r w:rsidR="00F91A96">
        <w:rPr>
          <w:rFonts w:ascii="Times New Roman" w:hAnsi="Times New Roman" w:cs="Times New Roman"/>
          <w:sz w:val="24"/>
          <w:szCs w:val="24"/>
          <w:lang w:val="en-GB"/>
        </w:rPr>
        <w:t xml:space="preserve">first </w:t>
      </w:r>
      <w:r>
        <w:rPr>
          <w:rFonts w:ascii="Times New Roman" w:hAnsi="Times New Roman" w:cs="Times New Roman"/>
          <w:sz w:val="24"/>
          <w:szCs w:val="24"/>
          <w:lang w:val="en-GB"/>
        </w:rPr>
        <w:t xml:space="preserve">respondent is also </w:t>
      </w:r>
      <w:r w:rsidR="00F91A96">
        <w:rPr>
          <w:rFonts w:ascii="Times New Roman" w:hAnsi="Times New Roman" w:cs="Times New Roman"/>
          <w:sz w:val="24"/>
          <w:szCs w:val="24"/>
          <w:lang w:val="en-GB"/>
        </w:rPr>
        <w:t xml:space="preserve">alleged </w:t>
      </w:r>
      <w:r>
        <w:rPr>
          <w:rFonts w:ascii="Times New Roman" w:hAnsi="Times New Roman" w:cs="Times New Roman"/>
          <w:sz w:val="24"/>
          <w:szCs w:val="24"/>
          <w:lang w:val="en-GB"/>
        </w:rPr>
        <w:t>to have</w:t>
      </w:r>
      <w:r w:rsidR="00DD17A6">
        <w:rPr>
          <w:rFonts w:ascii="Times New Roman" w:hAnsi="Times New Roman" w:cs="Times New Roman"/>
          <w:sz w:val="24"/>
          <w:szCs w:val="24"/>
          <w:lang w:val="en-GB"/>
        </w:rPr>
        <w:t xml:space="preserve"> abused his office to</w:t>
      </w:r>
      <w:r>
        <w:rPr>
          <w:rFonts w:ascii="Times New Roman" w:hAnsi="Times New Roman" w:cs="Times New Roman"/>
          <w:sz w:val="24"/>
          <w:szCs w:val="24"/>
          <w:lang w:val="en-GB"/>
        </w:rPr>
        <w:t xml:space="preserve"> award road maintenance and bridge construction contracts to Notify Enterprises (Pvt) Ltd (“Notify”) to undertake fictitious work in </w:t>
      </w:r>
      <w:r w:rsidR="00DD17A6">
        <w:rPr>
          <w:rFonts w:ascii="Times New Roman" w:hAnsi="Times New Roman" w:cs="Times New Roman"/>
          <w:sz w:val="24"/>
          <w:szCs w:val="24"/>
          <w:lang w:val="en-GB"/>
        </w:rPr>
        <w:t xml:space="preserve">the </w:t>
      </w:r>
      <w:r>
        <w:rPr>
          <w:rFonts w:ascii="Times New Roman" w:hAnsi="Times New Roman" w:cs="Times New Roman"/>
          <w:sz w:val="24"/>
          <w:szCs w:val="24"/>
          <w:lang w:val="en-GB"/>
        </w:rPr>
        <w:t>Bubi and Umguza districts in Matabeleland North</w:t>
      </w:r>
      <w:r w:rsidR="00DD17A6">
        <w:rPr>
          <w:rFonts w:ascii="Times New Roman" w:hAnsi="Times New Roman" w:cs="Times New Roman"/>
          <w:sz w:val="24"/>
          <w:szCs w:val="24"/>
          <w:lang w:val="en-GB"/>
        </w:rPr>
        <w:t xml:space="preserve"> Province</w:t>
      </w:r>
      <w:r>
        <w:rPr>
          <w:rFonts w:ascii="Times New Roman" w:hAnsi="Times New Roman" w:cs="Times New Roman"/>
          <w:sz w:val="24"/>
          <w:szCs w:val="24"/>
          <w:lang w:val="en-GB"/>
        </w:rPr>
        <w:t>. To conceal the crimes, the respective rural district councils’</w:t>
      </w:r>
      <w:r w:rsidR="00474763">
        <w:rPr>
          <w:rFonts w:ascii="Times New Roman" w:hAnsi="Times New Roman" w:cs="Times New Roman"/>
          <w:sz w:val="24"/>
          <w:szCs w:val="24"/>
          <w:lang w:val="en-GB"/>
        </w:rPr>
        <w:t xml:space="preserve"> Chief Executive Officers connived with the </w:t>
      </w:r>
      <w:r w:rsidR="00F91A96">
        <w:rPr>
          <w:rFonts w:ascii="Times New Roman" w:hAnsi="Times New Roman" w:cs="Times New Roman"/>
          <w:sz w:val="24"/>
          <w:szCs w:val="24"/>
          <w:lang w:val="en-GB"/>
        </w:rPr>
        <w:t>first</w:t>
      </w:r>
      <w:r w:rsidR="00474763">
        <w:rPr>
          <w:rFonts w:ascii="Times New Roman" w:hAnsi="Times New Roman" w:cs="Times New Roman"/>
          <w:sz w:val="24"/>
          <w:szCs w:val="24"/>
          <w:lang w:val="en-GB"/>
        </w:rPr>
        <w:t xml:space="preserve"> respondent to flight notices in some n</w:t>
      </w:r>
      <w:r w:rsidR="00DD17A6">
        <w:rPr>
          <w:rFonts w:ascii="Times New Roman" w:hAnsi="Times New Roman" w:cs="Times New Roman"/>
          <w:sz w:val="24"/>
          <w:szCs w:val="24"/>
          <w:lang w:val="en-GB"/>
        </w:rPr>
        <w:t>a</w:t>
      </w:r>
      <w:r w:rsidR="00474763">
        <w:rPr>
          <w:rFonts w:ascii="Times New Roman" w:hAnsi="Times New Roman" w:cs="Times New Roman"/>
          <w:sz w:val="24"/>
          <w:szCs w:val="24"/>
          <w:lang w:val="en-GB"/>
        </w:rPr>
        <w:t xml:space="preserve">tional newspapers inviting tenders at a time when </w:t>
      </w:r>
      <w:r w:rsidR="00F91A96">
        <w:rPr>
          <w:rFonts w:ascii="Times New Roman" w:hAnsi="Times New Roman" w:cs="Times New Roman"/>
          <w:sz w:val="24"/>
          <w:szCs w:val="24"/>
          <w:lang w:val="en-GB"/>
        </w:rPr>
        <w:t xml:space="preserve">the </w:t>
      </w:r>
      <w:r w:rsidR="00474763">
        <w:rPr>
          <w:rFonts w:ascii="Times New Roman" w:hAnsi="Times New Roman" w:cs="Times New Roman"/>
          <w:sz w:val="24"/>
          <w:szCs w:val="24"/>
          <w:lang w:val="en-GB"/>
        </w:rPr>
        <w:t>contract</w:t>
      </w:r>
      <w:r w:rsidR="00DD17A6">
        <w:rPr>
          <w:rFonts w:ascii="Times New Roman" w:hAnsi="Times New Roman" w:cs="Times New Roman"/>
          <w:sz w:val="24"/>
          <w:szCs w:val="24"/>
          <w:lang w:val="en-GB"/>
        </w:rPr>
        <w:t>s</w:t>
      </w:r>
      <w:r w:rsidR="00474763">
        <w:rPr>
          <w:rFonts w:ascii="Times New Roman" w:hAnsi="Times New Roman" w:cs="Times New Roman"/>
          <w:sz w:val="24"/>
          <w:szCs w:val="24"/>
          <w:lang w:val="en-GB"/>
        </w:rPr>
        <w:t xml:space="preserve"> had already been awarded to Notify. The </w:t>
      </w:r>
      <w:r w:rsidR="007C6FA6">
        <w:rPr>
          <w:rFonts w:ascii="Times New Roman" w:hAnsi="Times New Roman" w:cs="Times New Roman"/>
          <w:sz w:val="24"/>
          <w:szCs w:val="24"/>
          <w:lang w:val="en-GB"/>
        </w:rPr>
        <w:t>P</w:t>
      </w:r>
      <w:r w:rsidR="00C123E3">
        <w:rPr>
          <w:rFonts w:ascii="Times New Roman" w:hAnsi="Times New Roman" w:cs="Times New Roman"/>
          <w:sz w:val="24"/>
          <w:szCs w:val="24"/>
          <w:lang w:val="en-GB"/>
        </w:rPr>
        <w:t>rosecutor-</w:t>
      </w:r>
      <w:r w:rsidR="00474763">
        <w:rPr>
          <w:rFonts w:ascii="Times New Roman" w:hAnsi="Times New Roman" w:cs="Times New Roman"/>
          <w:sz w:val="24"/>
          <w:szCs w:val="24"/>
          <w:lang w:val="en-GB"/>
        </w:rPr>
        <w:t xml:space="preserve">General contends that Notify employed part of the money received from ZINARA for the fictitious </w:t>
      </w:r>
      <w:r w:rsidR="00492EF1">
        <w:rPr>
          <w:rFonts w:ascii="Times New Roman" w:hAnsi="Times New Roman" w:cs="Times New Roman"/>
          <w:sz w:val="24"/>
          <w:szCs w:val="24"/>
          <w:lang w:val="en-GB"/>
        </w:rPr>
        <w:t>civil</w:t>
      </w:r>
      <w:r w:rsidR="00474763">
        <w:rPr>
          <w:rFonts w:ascii="Times New Roman" w:hAnsi="Times New Roman" w:cs="Times New Roman"/>
          <w:sz w:val="24"/>
          <w:szCs w:val="24"/>
          <w:lang w:val="en-GB"/>
        </w:rPr>
        <w:t xml:space="preserve"> works to pay off the </w:t>
      </w:r>
      <w:r w:rsidR="00F91A96">
        <w:rPr>
          <w:rFonts w:ascii="Times New Roman" w:hAnsi="Times New Roman" w:cs="Times New Roman"/>
          <w:sz w:val="24"/>
          <w:szCs w:val="24"/>
          <w:lang w:val="en-GB"/>
        </w:rPr>
        <w:t xml:space="preserve">first </w:t>
      </w:r>
      <w:r w:rsidR="00474763">
        <w:rPr>
          <w:rFonts w:ascii="Times New Roman" w:hAnsi="Times New Roman" w:cs="Times New Roman"/>
          <w:sz w:val="24"/>
          <w:szCs w:val="24"/>
          <w:lang w:val="en-GB"/>
        </w:rPr>
        <w:t>respondent.</w:t>
      </w:r>
    </w:p>
    <w:p w:rsidR="00492EF1" w:rsidRDefault="00492EF1" w:rsidP="00907C8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D17A6">
        <w:rPr>
          <w:rFonts w:ascii="Times New Roman" w:hAnsi="Times New Roman" w:cs="Times New Roman"/>
          <w:sz w:val="24"/>
          <w:szCs w:val="24"/>
          <w:lang w:val="en-GB"/>
        </w:rPr>
        <w:t>To t</w:t>
      </w:r>
      <w:r>
        <w:rPr>
          <w:rFonts w:ascii="Times New Roman" w:hAnsi="Times New Roman" w:cs="Times New Roman"/>
          <w:sz w:val="24"/>
          <w:szCs w:val="24"/>
          <w:lang w:val="en-GB"/>
        </w:rPr>
        <w:t>he founding affidavit is attached certain documentation inclusive of the following: copies of the contracts between ZINARA and the respective rural district councils, the ZINARA bank statements, minutes of meetings of some of the rural district councils and title deeds of the immovable propert</w:t>
      </w:r>
      <w:r w:rsidR="00DD17A6">
        <w:rPr>
          <w:rFonts w:ascii="Times New Roman" w:hAnsi="Times New Roman" w:cs="Times New Roman"/>
          <w:sz w:val="24"/>
          <w:szCs w:val="24"/>
          <w:lang w:val="en-GB"/>
        </w:rPr>
        <w:t>y</w:t>
      </w:r>
      <w:r>
        <w:rPr>
          <w:rFonts w:ascii="Times New Roman" w:hAnsi="Times New Roman" w:cs="Times New Roman"/>
          <w:sz w:val="24"/>
          <w:szCs w:val="24"/>
          <w:lang w:val="en-GB"/>
        </w:rPr>
        <w:t xml:space="preserve"> sought to be forfeited.</w:t>
      </w:r>
    </w:p>
    <w:p w:rsidR="005E7CF0" w:rsidRDefault="00492EF1" w:rsidP="005E7CF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On 22 May 2019 this court granted an unexplained wealth and asset freezing order pursuant to an </w:t>
      </w:r>
      <w:r w:rsidRPr="00492EF1">
        <w:rPr>
          <w:rFonts w:ascii="Times New Roman" w:hAnsi="Times New Roman" w:cs="Times New Roman"/>
          <w:i/>
          <w:sz w:val="24"/>
          <w:szCs w:val="24"/>
          <w:lang w:val="en-GB"/>
        </w:rPr>
        <w:t>ex parte</w:t>
      </w:r>
      <w:r w:rsidR="005E7CF0">
        <w:rPr>
          <w:rFonts w:ascii="Times New Roman" w:hAnsi="Times New Roman" w:cs="Times New Roman"/>
          <w:sz w:val="24"/>
          <w:szCs w:val="24"/>
          <w:lang w:val="en-GB"/>
        </w:rPr>
        <w:t xml:space="preserve"> application brought by </w:t>
      </w:r>
      <w:r w:rsidR="005E7CF0">
        <w:rPr>
          <w:rFonts w:ascii="Times New Roman" w:hAnsi="Times New Roman" w:cs="Times New Roman"/>
          <w:sz w:val="24"/>
          <w:szCs w:val="24"/>
        </w:rPr>
        <w:t xml:space="preserve">the National Prosecuting Authority against the </w:t>
      </w:r>
      <w:r w:rsidR="00F91A96">
        <w:rPr>
          <w:rFonts w:ascii="Times New Roman" w:hAnsi="Times New Roman" w:cs="Times New Roman"/>
          <w:sz w:val="24"/>
          <w:szCs w:val="24"/>
        </w:rPr>
        <w:t xml:space="preserve">first </w:t>
      </w:r>
      <w:r w:rsidR="005E7CF0">
        <w:rPr>
          <w:rFonts w:ascii="Times New Roman" w:hAnsi="Times New Roman" w:cs="Times New Roman"/>
          <w:sz w:val="24"/>
          <w:szCs w:val="24"/>
        </w:rPr>
        <w:t xml:space="preserve">respondent. That order, under case number HC 3820/19, required the </w:t>
      </w:r>
      <w:r w:rsidR="00F91A96">
        <w:rPr>
          <w:rFonts w:ascii="Times New Roman" w:hAnsi="Times New Roman" w:cs="Times New Roman"/>
          <w:sz w:val="24"/>
          <w:szCs w:val="24"/>
        </w:rPr>
        <w:t xml:space="preserve">first </w:t>
      </w:r>
      <w:r w:rsidR="005E7CF0">
        <w:rPr>
          <w:rFonts w:ascii="Times New Roman" w:hAnsi="Times New Roman" w:cs="Times New Roman"/>
          <w:sz w:val="24"/>
          <w:szCs w:val="24"/>
        </w:rPr>
        <w:t>respondent to give a statement to the Head of the Cri</w:t>
      </w:r>
      <w:r w:rsidR="00DD17A6">
        <w:rPr>
          <w:rFonts w:ascii="Times New Roman" w:hAnsi="Times New Roman" w:cs="Times New Roman"/>
          <w:sz w:val="24"/>
          <w:szCs w:val="24"/>
        </w:rPr>
        <w:t>minal Investigations Department</w:t>
      </w:r>
      <w:r w:rsidR="005E7CF0">
        <w:rPr>
          <w:rFonts w:ascii="Times New Roman" w:hAnsi="Times New Roman" w:cs="Times New Roman"/>
          <w:sz w:val="24"/>
          <w:szCs w:val="24"/>
        </w:rPr>
        <w:t>, Commercial Crimes Division’s Asset Forfeiture Unit at Morris Depot in Harare within 30 days explaining</w:t>
      </w:r>
      <w:r w:rsidR="00F91A96">
        <w:rPr>
          <w:rFonts w:ascii="Times New Roman" w:hAnsi="Times New Roman" w:cs="Times New Roman"/>
          <w:sz w:val="24"/>
          <w:szCs w:val="24"/>
        </w:rPr>
        <w:t>,</w:t>
      </w:r>
      <w:r w:rsidR="005E7CF0">
        <w:rPr>
          <w:rFonts w:ascii="Times New Roman" w:hAnsi="Times New Roman" w:cs="Times New Roman"/>
          <w:sz w:val="24"/>
          <w:szCs w:val="24"/>
        </w:rPr>
        <w:t xml:space="preserve"> among other things, the nature and extent of his interest in the same property whose forfeiture is now sought and how he had obtained or purchased the same. The court order, the </w:t>
      </w:r>
      <w:r w:rsidR="00F91A96">
        <w:rPr>
          <w:rFonts w:ascii="Times New Roman" w:hAnsi="Times New Roman" w:cs="Times New Roman"/>
          <w:sz w:val="24"/>
          <w:szCs w:val="24"/>
        </w:rPr>
        <w:t xml:space="preserve">first </w:t>
      </w:r>
      <w:r w:rsidR="005E7CF0">
        <w:rPr>
          <w:rFonts w:ascii="Times New Roman" w:hAnsi="Times New Roman" w:cs="Times New Roman"/>
          <w:sz w:val="24"/>
          <w:szCs w:val="24"/>
        </w:rPr>
        <w:t xml:space="preserve">respondent’s statement and the addendum thereto are annexures to the </w:t>
      </w:r>
      <w:r w:rsidR="002046E9">
        <w:rPr>
          <w:rFonts w:ascii="Times New Roman" w:hAnsi="Times New Roman" w:cs="Times New Roman"/>
          <w:sz w:val="24"/>
          <w:szCs w:val="24"/>
        </w:rPr>
        <w:t xml:space="preserve">founding </w:t>
      </w:r>
      <w:r w:rsidR="005E7CF0">
        <w:rPr>
          <w:rFonts w:ascii="Times New Roman" w:hAnsi="Times New Roman" w:cs="Times New Roman"/>
          <w:sz w:val="24"/>
          <w:szCs w:val="24"/>
        </w:rPr>
        <w:t>affidavit.</w:t>
      </w:r>
    </w:p>
    <w:p w:rsidR="005E7CF0" w:rsidRDefault="005E7CF0" w:rsidP="005E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unexplained wealth and asset freezing application was made in terms of s 37H of the then Presidential Powers (Temporary Measures)</w:t>
      </w:r>
      <w:r w:rsidR="00F91A96">
        <w:rPr>
          <w:rFonts w:ascii="Times New Roman" w:hAnsi="Times New Roman" w:cs="Times New Roman"/>
          <w:sz w:val="24"/>
          <w:szCs w:val="24"/>
        </w:rPr>
        <w:t xml:space="preserve"> </w:t>
      </w:r>
      <w:r>
        <w:rPr>
          <w:rFonts w:ascii="Times New Roman" w:hAnsi="Times New Roman" w:cs="Times New Roman"/>
          <w:sz w:val="24"/>
          <w:szCs w:val="24"/>
        </w:rPr>
        <w:t>(Amendment of the Money Laundering and Proceeds of Crime Act and Exchange Control Act) Regulations, 2018 Statutory Instrument 246 of 2018.</w:t>
      </w:r>
    </w:p>
    <w:p w:rsidR="00BF3330" w:rsidRDefault="005E7CF0" w:rsidP="005E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F91A96">
        <w:rPr>
          <w:rFonts w:ascii="Times New Roman" w:hAnsi="Times New Roman" w:cs="Times New Roman"/>
          <w:sz w:val="24"/>
          <w:szCs w:val="24"/>
        </w:rPr>
        <w:t>first, second and third</w:t>
      </w:r>
      <w:r>
        <w:rPr>
          <w:rFonts w:ascii="Times New Roman" w:hAnsi="Times New Roman" w:cs="Times New Roman"/>
          <w:sz w:val="24"/>
          <w:szCs w:val="24"/>
        </w:rPr>
        <w:t xml:space="preserve"> respondents opposed the </w:t>
      </w:r>
      <w:r w:rsidR="007C6FA6">
        <w:rPr>
          <w:rFonts w:ascii="Times New Roman" w:hAnsi="Times New Roman" w:cs="Times New Roman"/>
          <w:sz w:val="24"/>
          <w:szCs w:val="24"/>
        </w:rPr>
        <w:t xml:space="preserve">instant </w:t>
      </w:r>
      <w:r>
        <w:rPr>
          <w:rFonts w:ascii="Times New Roman" w:hAnsi="Times New Roman" w:cs="Times New Roman"/>
          <w:sz w:val="24"/>
          <w:szCs w:val="24"/>
        </w:rPr>
        <w:t xml:space="preserve">application on the merits. They also raised two points </w:t>
      </w:r>
      <w:r w:rsidRPr="00F91A96">
        <w:rPr>
          <w:rFonts w:ascii="Times New Roman" w:hAnsi="Times New Roman" w:cs="Times New Roman"/>
          <w:i/>
          <w:sz w:val="24"/>
          <w:szCs w:val="24"/>
        </w:rPr>
        <w:t xml:space="preserve">in </w:t>
      </w:r>
      <w:r>
        <w:rPr>
          <w:rFonts w:ascii="Times New Roman" w:hAnsi="Times New Roman" w:cs="Times New Roman"/>
          <w:i/>
          <w:sz w:val="24"/>
          <w:szCs w:val="24"/>
        </w:rPr>
        <w:t>limine.</w:t>
      </w:r>
      <w:r>
        <w:rPr>
          <w:rFonts w:ascii="Times New Roman" w:hAnsi="Times New Roman" w:cs="Times New Roman"/>
          <w:sz w:val="24"/>
          <w:szCs w:val="24"/>
        </w:rPr>
        <w:t xml:space="preserve"> </w:t>
      </w:r>
    </w:p>
    <w:p w:rsidR="005E7CF0" w:rsidRDefault="00BF3330" w:rsidP="005E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PRELIMINARY POINT.</w:t>
      </w:r>
    </w:p>
    <w:p w:rsidR="005E7CF0" w:rsidRDefault="005E7CF0" w:rsidP="005E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argue that the application is fatally defective for want of a valid founding affidavit. Consequently, I am urged to find that there is no proper application before me. Respondents therefore submit that I should strike off the application </w:t>
      </w:r>
      <w:r w:rsidR="007C6FA6">
        <w:rPr>
          <w:rFonts w:ascii="Times New Roman" w:hAnsi="Times New Roman" w:cs="Times New Roman"/>
          <w:sz w:val="24"/>
          <w:szCs w:val="24"/>
        </w:rPr>
        <w:t xml:space="preserve">from the roll </w:t>
      </w:r>
      <w:r>
        <w:rPr>
          <w:rFonts w:ascii="Times New Roman" w:hAnsi="Times New Roman" w:cs="Times New Roman"/>
          <w:sz w:val="24"/>
          <w:szCs w:val="24"/>
        </w:rPr>
        <w:t>with costs on the punitive scale.</w:t>
      </w:r>
    </w:p>
    <w:p w:rsidR="005E7CF0" w:rsidRDefault="005E7CF0" w:rsidP="005E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founding affidavit was deposed </w:t>
      </w:r>
      <w:r w:rsidR="002046E9">
        <w:rPr>
          <w:rFonts w:ascii="Times New Roman" w:hAnsi="Times New Roman" w:cs="Times New Roman"/>
          <w:sz w:val="24"/>
          <w:szCs w:val="24"/>
        </w:rPr>
        <w:t xml:space="preserve">to </w:t>
      </w:r>
      <w:r>
        <w:rPr>
          <w:rFonts w:ascii="Times New Roman" w:hAnsi="Times New Roman" w:cs="Times New Roman"/>
          <w:sz w:val="24"/>
          <w:szCs w:val="24"/>
        </w:rPr>
        <w:t xml:space="preserve">by </w:t>
      </w:r>
      <w:r w:rsidRPr="002046E9">
        <w:rPr>
          <w:rFonts w:ascii="Times New Roman" w:hAnsi="Times New Roman" w:cs="Times New Roman"/>
          <w:i/>
          <w:sz w:val="24"/>
          <w:szCs w:val="24"/>
        </w:rPr>
        <w:t>Justin Uladi</w:t>
      </w:r>
      <w:r w:rsidR="002046E9">
        <w:rPr>
          <w:rFonts w:ascii="Times New Roman" w:hAnsi="Times New Roman" w:cs="Times New Roman"/>
          <w:sz w:val="24"/>
          <w:szCs w:val="24"/>
        </w:rPr>
        <w:t>,</w:t>
      </w:r>
      <w:r>
        <w:rPr>
          <w:rFonts w:ascii="Times New Roman" w:hAnsi="Times New Roman" w:cs="Times New Roman"/>
          <w:sz w:val="24"/>
          <w:szCs w:val="24"/>
        </w:rPr>
        <w:t xml:space="preserve"> the Acting National Director of Public Prosecutions in the National Prosecuting Authority, duly authorized by the Prosecutor</w:t>
      </w:r>
      <w:r w:rsidR="00F91A96">
        <w:rPr>
          <w:rFonts w:ascii="Times New Roman" w:hAnsi="Times New Roman" w:cs="Times New Roman"/>
          <w:sz w:val="24"/>
          <w:szCs w:val="24"/>
        </w:rPr>
        <w:t>-</w:t>
      </w:r>
      <w:r>
        <w:rPr>
          <w:rFonts w:ascii="Times New Roman" w:hAnsi="Times New Roman" w:cs="Times New Roman"/>
          <w:sz w:val="24"/>
          <w:szCs w:val="24"/>
        </w:rPr>
        <w:t xml:space="preserve"> General</w:t>
      </w:r>
      <w:r w:rsidR="00C123E3">
        <w:rPr>
          <w:rFonts w:ascii="Times New Roman" w:hAnsi="Times New Roman" w:cs="Times New Roman"/>
          <w:sz w:val="24"/>
          <w:szCs w:val="24"/>
        </w:rPr>
        <w:t xml:space="preserve">. The respondents do not </w:t>
      </w:r>
      <w:r w:rsidR="00BF3330">
        <w:rPr>
          <w:rFonts w:ascii="Times New Roman" w:hAnsi="Times New Roman" w:cs="Times New Roman"/>
          <w:sz w:val="24"/>
          <w:szCs w:val="24"/>
        </w:rPr>
        <w:t>dispute that Uladi was authorised by the Prosecutor-General to depose to the affidavit</w:t>
      </w:r>
      <w:r>
        <w:rPr>
          <w:rFonts w:ascii="Times New Roman" w:hAnsi="Times New Roman" w:cs="Times New Roman"/>
          <w:sz w:val="24"/>
          <w:szCs w:val="24"/>
        </w:rPr>
        <w:t xml:space="preserve">. </w:t>
      </w:r>
    </w:p>
    <w:p w:rsidR="005E7CF0" w:rsidRDefault="005E7CF0" w:rsidP="005E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Paragraph 2 of the founding affidavit reads as follows:</w:t>
      </w:r>
    </w:p>
    <w:p w:rsidR="005E7CF0" w:rsidRDefault="005E7CF0" w:rsidP="005E7CF0">
      <w:pPr>
        <w:spacing w:after="0"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facts in this affidavit come from my personal observation, my training experience and information obtained from case file that relate to the first and second respondents’ criminal activities during the material time. This information is contained in a case file investigated by the Zimbabwe Anti-</w:t>
      </w:r>
      <w:r w:rsidR="002046E9">
        <w:rPr>
          <w:rFonts w:ascii="Times New Roman" w:hAnsi="Times New Roman" w:cs="Times New Roman"/>
        </w:rPr>
        <w:t>C</w:t>
      </w:r>
      <w:r>
        <w:rPr>
          <w:rFonts w:ascii="Times New Roman" w:hAnsi="Times New Roman" w:cs="Times New Roman"/>
        </w:rPr>
        <w:t>orruption Commission (hereinafter called ZACC)”</w:t>
      </w:r>
    </w:p>
    <w:p w:rsidR="005E7CF0" w:rsidRDefault="005E7CF0" w:rsidP="005E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Dondo</w:t>
      </w:r>
      <w:r>
        <w:rPr>
          <w:rFonts w:ascii="Times New Roman" w:hAnsi="Times New Roman" w:cs="Times New Roman"/>
          <w:sz w:val="24"/>
          <w:szCs w:val="24"/>
        </w:rPr>
        <w:t xml:space="preserve"> argued that the founding affidavit does not comply with the</w:t>
      </w:r>
      <w:r w:rsidR="00F91A96">
        <w:rPr>
          <w:rFonts w:ascii="Times New Roman" w:hAnsi="Times New Roman" w:cs="Times New Roman"/>
          <w:sz w:val="24"/>
          <w:szCs w:val="24"/>
        </w:rPr>
        <w:t xml:space="preserve"> peremptory provisions of r 227</w:t>
      </w:r>
      <w:r>
        <w:rPr>
          <w:rFonts w:ascii="Times New Roman" w:hAnsi="Times New Roman" w:cs="Times New Roman"/>
          <w:sz w:val="24"/>
          <w:szCs w:val="24"/>
        </w:rPr>
        <w:t xml:space="preserve">(4)(a) of the High Court Rules, 1971. </w:t>
      </w:r>
      <w:r w:rsidR="007C6FA6">
        <w:rPr>
          <w:rFonts w:ascii="Times New Roman" w:hAnsi="Times New Roman" w:cs="Times New Roman"/>
          <w:sz w:val="24"/>
          <w:szCs w:val="24"/>
        </w:rPr>
        <w:t>The rule</w:t>
      </w:r>
      <w:r>
        <w:rPr>
          <w:rFonts w:ascii="Times New Roman" w:hAnsi="Times New Roman" w:cs="Times New Roman"/>
          <w:sz w:val="24"/>
          <w:szCs w:val="24"/>
        </w:rPr>
        <w:t xml:space="preserve"> reads:</w:t>
      </w:r>
    </w:p>
    <w:p w:rsidR="005E7CF0" w:rsidRDefault="005E7CF0" w:rsidP="005E7CF0">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“227 (1)</w:t>
      </w:r>
      <w:r>
        <w:rPr>
          <w:rFonts w:ascii="Times New Roman" w:hAnsi="Times New Roman" w:cs="Times New Roman"/>
        </w:rPr>
        <w:tab/>
        <w:t>………………</w:t>
      </w:r>
    </w:p>
    <w:p w:rsidR="005E7CF0" w:rsidRDefault="005E7CF0" w:rsidP="005E7CF0">
      <w:pPr>
        <w:spacing w:after="0" w:line="240" w:lineRule="auto"/>
        <w:jc w:val="both"/>
        <w:rPr>
          <w:rFonts w:ascii="Times New Roman" w:hAnsi="Times New Roman" w:cs="Times New Roman"/>
        </w:rPr>
      </w:pPr>
      <w:r>
        <w:rPr>
          <w:rFonts w:ascii="Times New Roman" w:hAnsi="Times New Roman" w:cs="Times New Roman"/>
        </w:rPr>
        <w:tab/>
        <w:t xml:space="preserve">          (2)</w:t>
      </w:r>
      <w:r>
        <w:rPr>
          <w:rFonts w:ascii="Times New Roman" w:hAnsi="Times New Roman" w:cs="Times New Roman"/>
        </w:rPr>
        <w:tab/>
        <w:t>……………….</w:t>
      </w:r>
    </w:p>
    <w:p w:rsidR="005E7CF0" w:rsidRDefault="005E7CF0" w:rsidP="005E7CF0">
      <w:pPr>
        <w:spacing w:after="0" w:line="240" w:lineRule="auto"/>
        <w:jc w:val="both"/>
        <w:rPr>
          <w:rFonts w:ascii="Times New Roman" w:hAnsi="Times New Roman" w:cs="Times New Roman"/>
        </w:rPr>
      </w:pPr>
      <w:r>
        <w:rPr>
          <w:rFonts w:ascii="Times New Roman" w:hAnsi="Times New Roman" w:cs="Times New Roman"/>
        </w:rPr>
        <w:tab/>
        <w:t xml:space="preserve">          (3)  </w:t>
      </w:r>
      <w:r>
        <w:rPr>
          <w:rFonts w:ascii="Times New Roman" w:hAnsi="Times New Roman" w:cs="Times New Roman"/>
        </w:rPr>
        <w:tab/>
        <w:t>………………..</w:t>
      </w:r>
    </w:p>
    <w:p w:rsidR="005E7CF0" w:rsidRDefault="005E7CF0" w:rsidP="005E7CF0">
      <w:pPr>
        <w:spacing w:after="0" w:line="240" w:lineRule="auto"/>
        <w:jc w:val="both"/>
        <w:rPr>
          <w:rFonts w:ascii="Times New Roman" w:hAnsi="Times New Roman" w:cs="Times New Roman"/>
        </w:rPr>
      </w:pPr>
      <w:r>
        <w:rPr>
          <w:rFonts w:ascii="Times New Roman" w:hAnsi="Times New Roman" w:cs="Times New Roman"/>
        </w:rPr>
        <w:tab/>
        <w:t xml:space="preserve">          (4)</w:t>
      </w:r>
      <w:r>
        <w:rPr>
          <w:rFonts w:ascii="Times New Roman" w:hAnsi="Times New Roman" w:cs="Times New Roman"/>
        </w:rPr>
        <w:tab/>
        <w:t>An affidavit filed with a written application-</w:t>
      </w:r>
    </w:p>
    <w:p w:rsidR="005E7CF0" w:rsidRDefault="005E7CF0" w:rsidP="005E7CF0">
      <w:pPr>
        <w:spacing w:after="0" w:line="240" w:lineRule="auto"/>
        <w:jc w:val="both"/>
        <w:rPr>
          <w:rFonts w:ascii="Times New Roman" w:hAnsi="Times New Roman" w:cs="Times New Roman"/>
        </w:rPr>
      </w:pPr>
      <w:r>
        <w:rPr>
          <w:rFonts w:ascii="Times New Roman" w:hAnsi="Times New Roman" w:cs="Times New Roman"/>
          <w:sz w:val="24"/>
          <w:szCs w:val="24"/>
        </w:rPr>
        <w:tab/>
        <w:t xml:space="preserve">         (</w:t>
      </w:r>
      <w:r>
        <w:rPr>
          <w:rFonts w:ascii="Times New Roman" w:hAnsi="Times New Roman" w:cs="Times New Roman"/>
        </w:rPr>
        <w:t>a)</w:t>
      </w:r>
      <w:r>
        <w:rPr>
          <w:rFonts w:ascii="Times New Roman" w:hAnsi="Times New Roman" w:cs="Times New Roman"/>
        </w:rPr>
        <w:tab/>
      </w:r>
      <w:r w:rsidRPr="00BF3330">
        <w:rPr>
          <w:rFonts w:ascii="Times New Roman" w:hAnsi="Times New Roman" w:cs="Times New Roman"/>
          <w:u w:val="single"/>
        </w:rPr>
        <w:t>shall be made by the applicant</w:t>
      </w:r>
      <w:r>
        <w:rPr>
          <w:rFonts w:ascii="Times New Roman" w:hAnsi="Times New Roman" w:cs="Times New Roman"/>
        </w:rPr>
        <w:t xml:space="preserve"> or respondent, as the case may be, </w:t>
      </w:r>
      <w:r w:rsidRPr="00BF3330">
        <w:rPr>
          <w:rFonts w:ascii="Times New Roman" w:hAnsi="Times New Roman" w:cs="Times New Roman"/>
          <w:u w:val="single"/>
        </w:rPr>
        <w:t xml:space="preserve">or by a person </w:t>
      </w:r>
      <w:r w:rsidRPr="00BF3330">
        <w:rPr>
          <w:rFonts w:ascii="Times New Roman" w:hAnsi="Times New Roman" w:cs="Times New Roman"/>
        </w:rPr>
        <w:tab/>
      </w:r>
      <w:r w:rsidRPr="00BF3330">
        <w:rPr>
          <w:rFonts w:ascii="Times New Roman" w:hAnsi="Times New Roman" w:cs="Times New Roman"/>
        </w:rPr>
        <w:tab/>
      </w:r>
      <w:r w:rsidRPr="00BF3330">
        <w:rPr>
          <w:rFonts w:ascii="Times New Roman" w:hAnsi="Times New Roman" w:cs="Times New Roman"/>
        </w:rPr>
        <w:tab/>
      </w:r>
      <w:r w:rsidRPr="00BF3330">
        <w:rPr>
          <w:rFonts w:ascii="Times New Roman" w:hAnsi="Times New Roman" w:cs="Times New Roman"/>
        </w:rPr>
        <w:tab/>
      </w:r>
      <w:r w:rsidRPr="00BF3330">
        <w:rPr>
          <w:rFonts w:ascii="Times New Roman" w:hAnsi="Times New Roman" w:cs="Times New Roman"/>
          <w:u w:val="single"/>
        </w:rPr>
        <w:t>who can swear to the facts or averments set out therein…</w:t>
      </w:r>
      <w:r>
        <w:rPr>
          <w:rFonts w:ascii="Times New Roman" w:hAnsi="Times New Roman" w:cs="Times New Roman"/>
        </w:rPr>
        <w:t>”</w:t>
      </w:r>
    </w:p>
    <w:p w:rsidR="00F91A96" w:rsidRDefault="00F91A96" w:rsidP="005E7CF0">
      <w:pPr>
        <w:spacing w:after="0" w:line="240" w:lineRule="auto"/>
        <w:jc w:val="both"/>
        <w:rPr>
          <w:rFonts w:ascii="Times New Roman" w:hAnsi="Times New Roman" w:cs="Times New Roman"/>
        </w:rPr>
      </w:pPr>
    </w:p>
    <w:p w:rsidR="005E7CF0" w:rsidRDefault="005E7CF0" w:rsidP="005E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1A96">
        <w:rPr>
          <w:rFonts w:ascii="Times New Roman" w:hAnsi="Times New Roman" w:cs="Times New Roman"/>
          <w:sz w:val="24"/>
          <w:szCs w:val="24"/>
        </w:rPr>
        <w:t>He submitted that it</w:t>
      </w:r>
      <w:r>
        <w:rPr>
          <w:rFonts w:ascii="Times New Roman" w:hAnsi="Times New Roman" w:cs="Times New Roman"/>
          <w:sz w:val="24"/>
          <w:szCs w:val="24"/>
        </w:rPr>
        <w:t xml:space="preserve"> is common cause that </w:t>
      </w:r>
      <w:r w:rsidRPr="005E7CF0">
        <w:rPr>
          <w:rFonts w:ascii="Times New Roman" w:hAnsi="Times New Roman" w:cs="Times New Roman"/>
          <w:i/>
          <w:sz w:val="24"/>
          <w:szCs w:val="24"/>
        </w:rPr>
        <w:t>Uladi</w:t>
      </w:r>
      <w:r>
        <w:rPr>
          <w:rFonts w:ascii="Times New Roman" w:hAnsi="Times New Roman" w:cs="Times New Roman"/>
          <w:sz w:val="24"/>
          <w:szCs w:val="24"/>
        </w:rPr>
        <w:t xml:space="preserve"> received a file of papers f</w:t>
      </w:r>
      <w:r w:rsidR="002046E9">
        <w:rPr>
          <w:rFonts w:ascii="Times New Roman" w:hAnsi="Times New Roman" w:cs="Times New Roman"/>
          <w:sz w:val="24"/>
          <w:szCs w:val="24"/>
        </w:rPr>
        <w:t>r</w:t>
      </w:r>
      <w:r>
        <w:rPr>
          <w:rFonts w:ascii="Times New Roman" w:hAnsi="Times New Roman" w:cs="Times New Roman"/>
          <w:sz w:val="24"/>
          <w:szCs w:val="24"/>
        </w:rPr>
        <w:t xml:space="preserve">om ZACC pursuant to the latter’s investigations into the </w:t>
      </w:r>
      <w:r w:rsidR="00F91A96">
        <w:rPr>
          <w:rFonts w:ascii="Times New Roman" w:hAnsi="Times New Roman" w:cs="Times New Roman"/>
          <w:sz w:val="24"/>
          <w:szCs w:val="24"/>
        </w:rPr>
        <w:t>first</w:t>
      </w:r>
      <w:r>
        <w:rPr>
          <w:rFonts w:ascii="Times New Roman" w:hAnsi="Times New Roman" w:cs="Times New Roman"/>
          <w:sz w:val="24"/>
          <w:szCs w:val="24"/>
        </w:rPr>
        <w:t xml:space="preserve"> respondent’s alleged involvement in the commission of the serious offences of </w:t>
      </w:r>
      <w:r w:rsidR="002046E9">
        <w:rPr>
          <w:rFonts w:ascii="Times New Roman" w:hAnsi="Times New Roman" w:cs="Times New Roman"/>
          <w:sz w:val="24"/>
          <w:szCs w:val="24"/>
        </w:rPr>
        <w:t>c</w:t>
      </w:r>
      <w:r>
        <w:rPr>
          <w:rFonts w:ascii="Times New Roman" w:hAnsi="Times New Roman" w:cs="Times New Roman"/>
          <w:sz w:val="24"/>
          <w:szCs w:val="24"/>
        </w:rPr>
        <w:t xml:space="preserve">riminal abuse of duty as a public officer, fraud, bribery and money laundering during the currency of </w:t>
      </w:r>
      <w:r w:rsidR="00F91A96">
        <w:rPr>
          <w:rFonts w:ascii="Times New Roman" w:hAnsi="Times New Roman" w:cs="Times New Roman"/>
          <w:sz w:val="24"/>
          <w:szCs w:val="24"/>
        </w:rPr>
        <w:t>first</w:t>
      </w:r>
      <w:r w:rsidR="002046E9">
        <w:rPr>
          <w:rFonts w:ascii="Times New Roman" w:hAnsi="Times New Roman" w:cs="Times New Roman"/>
          <w:sz w:val="24"/>
          <w:szCs w:val="24"/>
        </w:rPr>
        <w:t xml:space="preserve"> respondent’s</w:t>
      </w:r>
      <w:r>
        <w:rPr>
          <w:rFonts w:ascii="Times New Roman" w:hAnsi="Times New Roman" w:cs="Times New Roman"/>
          <w:sz w:val="24"/>
          <w:szCs w:val="24"/>
        </w:rPr>
        <w:t xml:space="preserve"> employment with ZINARA. That being the case, Mr </w:t>
      </w:r>
      <w:r>
        <w:rPr>
          <w:rFonts w:ascii="Times New Roman" w:hAnsi="Times New Roman" w:cs="Times New Roman"/>
          <w:i/>
          <w:sz w:val="24"/>
          <w:szCs w:val="24"/>
        </w:rPr>
        <w:t>Dondo</w:t>
      </w:r>
      <w:r>
        <w:rPr>
          <w:rFonts w:ascii="Times New Roman" w:hAnsi="Times New Roman" w:cs="Times New Roman"/>
          <w:sz w:val="24"/>
          <w:szCs w:val="24"/>
        </w:rPr>
        <w:t xml:space="preserve"> submitted, it follow</w:t>
      </w:r>
      <w:r w:rsidR="002046E9">
        <w:rPr>
          <w:rFonts w:ascii="Times New Roman" w:hAnsi="Times New Roman" w:cs="Times New Roman"/>
          <w:sz w:val="24"/>
          <w:szCs w:val="24"/>
        </w:rPr>
        <w:t>s</w:t>
      </w:r>
      <w:r>
        <w:rPr>
          <w:rFonts w:ascii="Times New Roman" w:hAnsi="Times New Roman" w:cs="Times New Roman"/>
          <w:sz w:val="24"/>
          <w:szCs w:val="24"/>
        </w:rPr>
        <w:t xml:space="preserve"> that </w:t>
      </w:r>
      <w:r w:rsidRPr="005E7CF0">
        <w:rPr>
          <w:rFonts w:ascii="Times New Roman" w:hAnsi="Times New Roman" w:cs="Times New Roman"/>
          <w:i/>
          <w:sz w:val="24"/>
          <w:szCs w:val="24"/>
        </w:rPr>
        <w:t>Uladi</w:t>
      </w:r>
      <w:r>
        <w:rPr>
          <w:rFonts w:ascii="Times New Roman" w:hAnsi="Times New Roman" w:cs="Times New Roman"/>
          <w:sz w:val="24"/>
          <w:szCs w:val="24"/>
        </w:rPr>
        <w:t xml:space="preserve"> did not observe, or see, the unfolding of the events which he deposes to. Not being an eye witness, </w:t>
      </w:r>
      <w:r w:rsidRPr="005E7CF0">
        <w:rPr>
          <w:rFonts w:ascii="Times New Roman" w:hAnsi="Times New Roman" w:cs="Times New Roman"/>
          <w:i/>
          <w:sz w:val="24"/>
          <w:szCs w:val="24"/>
        </w:rPr>
        <w:t xml:space="preserve">Uladi </w:t>
      </w:r>
      <w:r>
        <w:rPr>
          <w:rFonts w:ascii="Times New Roman" w:hAnsi="Times New Roman" w:cs="Times New Roman"/>
          <w:sz w:val="24"/>
          <w:szCs w:val="24"/>
        </w:rPr>
        <w:t>ha</w:t>
      </w:r>
      <w:r w:rsidR="002046E9">
        <w:rPr>
          <w:rFonts w:ascii="Times New Roman" w:hAnsi="Times New Roman" w:cs="Times New Roman"/>
          <w:sz w:val="24"/>
          <w:szCs w:val="24"/>
        </w:rPr>
        <w:t>s</w:t>
      </w:r>
      <w:r>
        <w:rPr>
          <w:rFonts w:ascii="Times New Roman" w:hAnsi="Times New Roman" w:cs="Times New Roman"/>
          <w:sz w:val="24"/>
          <w:szCs w:val="24"/>
        </w:rPr>
        <w:t xml:space="preserve"> no personal knowledge of the facts of the matter. It is therefore incorrect for the deponent to swear that:</w:t>
      </w:r>
    </w:p>
    <w:p w:rsidR="005E7CF0" w:rsidRDefault="005E7CF0" w:rsidP="005E7CF0">
      <w:pPr>
        <w:spacing w:after="0" w:line="36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facts in this affidavit come </w:t>
      </w:r>
      <w:r w:rsidR="00F91A96">
        <w:rPr>
          <w:rFonts w:ascii="Times New Roman" w:hAnsi="Times New Roman" w:cs="Times New Roman"/>
        </w:rPr>
        <w:t>from my personal observation…....</w:t>
      </w:r>
      <w:r>
        <w:rPr>
          <w:rFonts w:ascii="Times New Roman" w:hAnsi="Times New Roman" w:cs="Times New Roman"/>
        </w:rPr>
        <w:t>”</w:t>
      </w:r>
    </w:p>
    <w:p w:rsidR="005E7CF0" w:rsidRDefault="005E7CF0" w:rsidP="005E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46E9" w:rsidRPr="002046E9">
        <w:rPr>
          <w:rFonts w:ascii="Times New Roman" w:hAnsi="Times New Roman" w:cs="Times New Roman"/>
          <w:i/>
          <w:sz w:val="24"/>
          <w:szCs w:val="24"/>
        </w:rPr>
        <w:t>Uladi</w:t>
      </w:r>
      <w:r>
        <w:rPr>
          <w:rFonts w:ascii="Times New Roman" w:hAnsi="Times New Roman" w:cs="Times New Roman"/>
          <w:sz w:val="24"/>
          <w:szCs w:val="24"/>
        </w:rPr>
        <w:t xml:space="preserve"> was not on the ground at the material time and, being restricted to ZACC’s case file, would not be a competent </w:t>
      </w:r>
      <w:r>
        <w:rPr>
          <w:rFonts w:ascii="Times New Roman" w:hAnsi="Times New Roman" w:cs="Times New Roman"/>
          <w:i/>
          <w:sz w:val="24"/>
          <w:szCs w:val="24"/>
        </w:rPr>
        <w:t>viva voce</w:t>
      </w:r>
      <w:r>
        <w:rPr>
          <w:rFonts w:ascii="Times New Roman" w:hAnsi="Times New Roman" w:cs="Times New Roman"/>
          <w:sz w:val="24"/>
          <w:szCs w:val="24"/>
        </w:rPr>
        <w:t xml:space="preserve"> witness to the facts were he to be called. See </w:t>
      </w:r>
      <w:r>
        <w:rPr>
          <w:rFonts w:ascii="Times New Roman" w:hAnsi="Times New Roman" w:cs="Times New Roman"/>
          <w:i/>
          <w:sz w:val="24"/>
          <w:szCs w:val="24"/>
        </w:rPr>
        <w:t>Chiadzwa</w:t>
      </w:r>
      <w:r>
        <w:rPr>
          <w:rFonts w:ascii="Times New Roman" w:hAnsi="Times New Roman" w:cs="Times New Roman"/>
          <w:sz w:val="24"/>
          <w:szCs w:val="24"/>
        </w:rPr>
        <w:t xml:space="preserve"> v </w:t>
      </w:r>
      <w:r>
        <w:rPr>
          <w:rFonts w:ascii="Times New Roman" w:hAnsi="Times New Roman" w:cs="Times New Roman"/>
          <w:i/>
          <w:sz w:val="24"/>
          <w:szCs w:val="24"/>
        </w:rPr>
        <w:t>Paulkner</w:t>
      </w:r>
      <w:r>
        <w:rPr>
          <w:rFonts w:ascii="Times New Roman" w:hAnsi="Times New Roman" w:cs="Times New Roman"/>
          <w:sz w:val="24"/>
          <w:szCs w:val="24"/>
        </w:rPr>
        <w:t xml:space="preserve"> 1991 (2) ZLR 33 (SC)</w:t>
      </w:r>
    </w:p>
    <w:p w:rsidR="00DD223B" w:rsidRDefault="005E7CF0" w:rsidP="005E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resisting the preliminary point Mr </w:t>
      </w:r>
      <w:r>
        <w:rPr>
          <w:rFonts w:ascii="Times New Roman" w:hAnsi="Times New Roman" w:cs="Times New Roman"/>
          <w:i/>
          <w:sz w:val="24"/>
          <w:szCs w:val="24"/>
        </w:rPr>
        <w:t>Mutangadura</w:t>
      </w:r>
      <w:r>
        <w:rPr>
          <w:rFonts w:ascii="Times New Roman" w:hAnsi="Times New Roman" w:cs="Times New Roman"/>
          <w:sz w:val="24"/>
          <w:szCs w:val="24"/>
        </w:rPr>
        <w:t xml:space="preserve"> referred me to </w:t>
      </w:r>
      <w:r w:rsidR="00DD223B">
        <w:rPr>
          <w:rFonts w:ascii="Times New Roman" w:hAnsi="Times New Roman" w:cs="Times New Roman"/>
          <w:sz w:val="24"/>
          <w:szCs w:val="24"/>
        </w:rPr>
        <w:t xml:space="preserve">the case of </w:t>
      </w:r>
      <w:r>
        <w:rPr>
          <w:rFonts w:ascii="Times New Roman" w:hAnsi="Times New Roman" w:cs="Times New Roman"/>
          <w:i/>
          <w:sz w:val="24"/>
          <w:szCs w:val="24"/>
        </w:rPr>
        <w:t xml:space="preserve">Minister of </w:t>
      </w:r>
      <w:r w:rsidR="002046E9">
        <w:rPr>
          <w:rFonts w:ascii="Times New Roman" w:hAnsi="Times New Roman" w:cs="Times New Roman"/>
          <w:i/>
          <w:sz w:val="24"/>
          <w:szCs w:val="24"/>
        </w:rPr>
        <w:t>F</w:t>
      </w:r>
      <w:r>
        <w:rPr>
          <w:rFonts w:ascii="Times New Roman" w:hAnsi="Times New Roman" w:cs="Times New Roman"/>
          <w:i/>
          <w:sz w:val="24"/>
          <w:szCs w:val="24"/>
        </w:rPr>
        <w:t>oreign Affairs</w:t>
      </w:r>
      <w:r>
        <w:rPr>
          <w:rFonts w:ascii="Times New Roman" w:hAnsi="Times New Roman" w:cs="Times New Roman"/>
          <w:sz w:val="24"/>
          <w:szCs w:val="24"/>
        </w:rPr>
        <w:t xml:space="preserve"> v </w:t>
      </w:r>
      <w:r>
        <w:rPr>
          <w:rFonts w:ascii="Times New Roman" w:hAnsi="Times New Roman" w:cs="Times New Roman"/>
          <w:i/>
          <w:sz w:val="24"/>
          <w:szCs w:val="24"/>
        </w:rPr>
        <w:t>Michael Henrich</w:t>
      </w:r>
      <w:r>
        <w:rPr>
          <w:rFonts w:ascii="Times New Roman" w:hAnsi="Times New Roman" w:cs="Times New Roman"/>
          <w:sz w:val="24"/>
          <w:szCs w:val="24"/>
        </w:rPr>
        <w:t xml:space="preserve">, </w:t>
      </w:r>
      <w:r w:rsidR="008D3187" w:rsidRPr="008D3187">
        <w:rPr>
          <w:rFonts w:ascii="Times New Roman" w:hAnsi="Times New Roman" w:cs="Times New Roman"/>
          <w:i/>
          <w:sz w:val="24"/>
          <w:szCs w:val="24"/>
        </w:rPr>
        <w:t>&amp;</w:t>
      </w:r>
      <w:r>
        <w:rPr>
          <w:rFonts w:ascii="Times New Roman" w:hAnsi="Times New Roman" w:cs="Times New Roman"/>
          <w:sz w:val="24"/>
          <w:szCs w:val="24"/>
        </w:rPr>
        <w:t xml:space="preserve"> </w:t>
      </w:r>
      <w:r w:rsidR="008D3187" w:rsidRPr="008D3187">
        <w:rPr>
          <w:rFonts w:ascii="Times New Roman" w:hAnsi="Times New Roman" w:cs="Times New Roman"/>
          <w:i/>
          <w:sz w:val="24"/>
          <w:szCs w:val="24"/>
        </w:rPr>
        <w:t>Ors</w:t>
      </w:r>
      <w:r w:rsidR="00BF3330">
        <w:rPr>
          <w:rFonts w:ascii="Times New Roman" w:hAnsi="Times New Roman" w:cs="Times New Roman"/>
          <w:sz w:val="24"/>
          <w:szCs w:val="24"/>
        </w:rPr>
        <w:t xml:space="preserve"> </w:t>
      </w:r>
      <w:r w:rsidR="00C123E3">
        <w:rPr>
          <w:rFonts w:ascii="Times New Roman" w:hAnsi="Times New Roman" w:cs="Times New Roman"/>
          <w:sz w:val="24"/>
          <w:szCs w:val="24"/>
        </w:rPr>
        <w:t>2015(1) ZLR 428(H)</w:t>
      </w:r>
      <w:r w:rsidR="00BF3330">
        <w:rPr>
          <w:rFonts w:ascii="Times New Roman" w:hAnsi="Times New Roman" w:cs="Times New Roman"/>
          <w:sz w:val="24"/>
          <w:szCs w:val="24"/>
        </w:rPr>
        <w:t xml:space="preserve">. In that matter </w:t>
      </w:r>
      <w:r w:rsidR="00DD223B">
        <w:rPr>
          <w:rFonts w:ascii="Times New Roman" w:hAnsi="Times New Roman" w:cs="Times New Roman"/>
          <w:sz w:val="24"/>
          <w:szCs w:val="24"/>
        </w:rPr>
        <w:t>a Chief Law Officer in the Civil Division of the Attorney-General’s office had deposed to the founding affidavit. Th</w:t>
      </w:r>
      <w:r w:rsidR="00BF3330">
        <w:rPr>
          <w:rFonts w:ascii="Times New Roman" w:hAnsi="Times New Roman" w:cs="Times New Roman"/>
          <w:sz w:val="24"/>
          <w:szCs w:val="24"/>
        </w:rPr>
        <w:t xml:space="preserve">e </w:t>
      </w:r>
      <w:r w:rsidR="00DD223B">
        <w:rPr>
          <w:rFonts w:ascii="Times New Roman" w:hAnsi="Times New Roman" w:cs="Times New Roman"/>
          <w:sz w:val="24"/>
          <w:szCs w:val="24"/>
        </w:rPr>
        <w:t xml:space="preserve">court held that the </w:t>
      </w:r>
      <w:r w:rsidR="00BF3330">
        <w:rPr>
          <w:rFonts w:ascii="Times New Roman" w:hAnsi="Times New Roman" w:cs="Times New Roman"/>
          <w:sz w:val="24"/>
          <w:szCs w:val="24"/>
        </w:rPr>
        <w:t xml:space="preserve">case </w:t>
      </w:r>
      <w:r w:rsidR="00C123E3">
        <w:rPr>
          <w:rFonts w:ascii="Times New Roman" w:hAnsi="Times New Roman" w:cs="Times New Roman"/>
          <w:sz w:val="24"/>
          <w:szCs w:val="24"/>
        </w:rPr>
        <w:t xml:space="preserve">largely </w:t>
      </w:r>
      <w:r w:rsidR="00BF3330">
        <w:rPr>
          <w:rFonts w:ascii="Times New Roman" w:hAnsi="Times New Roman" w:cs="Times New Roman"/>
          <w:sz w:val="24"/>
          <w:szCs w:val="24"/>
        </w:rPr>
        <w:t xml:space="preserve">turned on its litigation history and the </w:t>
      </w:r>
      <w:r w:rsidR="00C123E3">
        <w:rPr>
          <w:rFonts w:ascii="Times New Roman" w:hAnsi="Times New Roman" w:cs="Times New Roman"/>
          <w:sz w:val="24"/>
          <w:szCs w:val="24"/>
        </w:rPr>
        <w:t>law</w:t>
      </w:r>
      <w:r w:rsidR="00BF3330">
        <w:rPr>
          <w:rFonts w:ascii="Times New Roman" w:hAnsi="Times New Roman" w:cs="Times New Roman"/>
          <w:sz w:val="24"/>
          <w:szCs w:val="24"/>
        </w:rPr>
        <w:t xml:space="preserve">, which was a matter within the personal knowledge of the deponent, a lawyer. </w:t>
      </w:r>
      <w:r w:rsidR="00174FBB">
        <w:rPr>
          <w:rFonts w:ascii="Times New Roman" w:hAnsi="Times New Roman" w:cs="Times New Roman"/>
          <w:sz w:val="24"/>
          <w:szCs w:val="24"/>
        </w:rPr>
        <w:t>The deponent’s personal knowledge was derived from her perusal of the files kept at the Civil Division. Those files reflected the litigation history of the matter</w:t>
      </w:r>
      <w:r w:rsidR="00C123E3">
        <w:rPr>
          <w:rFonts w:ascii="Times New Roman" w:hAnsi="Times New Roman" w:cs="Times New Roman"/>
          <w:sz w:val="24"/>
          <w:szCs w:val="24"/>
        </w:rPr>
        <w:t>.</w:t>
      </w:r>
      <w:r w:rsidR="00174FBB">
        <w:rPr>
          <w:rFonts w:ascii="Times New Roman" w:hAnsi="Times New Roman" w:cs="Times New Roman"/>
          <w:sz w:val="24"/>
          <w:szCs w:val="24"/>
        </w:rPr>
        <w:t xml:space="preserve"> </w:t>
      </w:r>
      <w:r w:rsidR="00C123E3">
        <w:rPr>
          <w:rFonts w:ascii="Times New Roman" w:hAnsi="Times New Roman" w:cs="Times New Roman"/>
          <w:sz w:val="24"/>
          <w:szCs w:val="24"/>
        </w:rPr>
        <w:t>H</w:t>
      </w:r>
      <w:r w:rsidR="00174FBB">
        <w:rPr>
          <w:rFonts w:ascii="Times New Roman" w:hAnsi="Times New Roman" w:cs="Times New Roman"/>
          <w:sz w:val="24"/>
          <w:szCs w:val="24"/>
        </w:rPr>
        <w:t xml:space="preserve">er personal knowledge was also based on enquiries made by the deponent from her </w:t>
      </w:r>
      <w:r w:rsidR="0048507D">
        <w:rPr>
          <w:rFonts w:ascii="Times New Roman" w:hAnsi="Times New Roman" w:cs="Times New Roman"/>
          <w:sz w:val="24"/>
          <w:szCs w:val="24"/>
        </w:rPr>
        <w:t>colleagues</w:t>
      </w:r>
      <w:r w:rsidR="00174FBB">
        <w:rPr>
          <w:rFonts w:ascii="Times New Roman" w:hAnsi="Times New Roman" w:cs="Times New Roman"/>
          <w:sz w:val="24"/>
          <w:szCs w:val="24"/>
        </w:rPr>
        <w:t xml:space="preserve"> and, as I have already indicated, her knowledge of the law. Accordingly, the court concluded that the founding </w:t>
      </w:r>
      <w:r w:rsidR="00DD223B">
        <w:rPr>
          <w:rFonts w:ascii="Times New Roman" w:hAnsi="Times New Roman" w:cs="Times New Roman"/>
          <w:sz w:val="24"/>
          <w:szCs w:val="24"/>
        </w:rPr>
        <w:t xml:space="preserve">affidavit was not fatally defective. </w:t>
      </w:r>
    </w:p>
    <w:p w:rsidR="00586579" w:rsidRDefault="00DD223B" w:rsidP="004C5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86579">
        <w:rPr>
          <w:rFonts w:ascii="Times New Roman" w:hAnsi="Times New Roman" w:cs="Times New Roman"/>
          <w:i/>
          <w:sz w:val="24"/>
          <w:szCs w:val="24"/>
        </w:rPr>
        <w:t>Dondo</w:t>
      </w:r>
      <w:r>
        <w:rPr>
          <w:rFonts w:ascii="Times New Roman" w:hAnsi="Times New Roman" w:cs="Times New Roman"/>
          <w:sz w:val="24"/>
          <w:szCs w:val="24"/>
        </w:rPr>
        <w:t xml:space="preserve"> </w:t>
      </w:r>
      <w:r w:rsidR="00C123E3">
        <w:rPr>
          <w:rFonts w:ascii="Times New Roman" w:hAnsi="Times New Roman" w:cs="Times New Roman"/>
          <w:sz w:val="24"/>
          <w:szCs w:val="24"/>
        </w:rPr>
        <w:t>urged</w:t>
      </w:r>
      <w:r>
        <w:rPr>
          <w:rFonts w:ascii="Times New Roman" w:hAnsi="Times New Roman" w:cs="Times New Roman"/>
          <w:sz w:val="24"/>
          <w:szCs w:val="24"/>
        </w:rPr>
        <w:t xml:space="preserve"> </w:t>
      </w:r>
      <w:r w:rsidR="00174FBB">
        <w:rPr>
          <w:rFonts w:ascii="Times New Roman" w:hAnsi="Times New Roman" w:cs="Times New Roman"/>
          <w:sz w:val="24"/>
          <w:szCs w:val="24"/>
        </w:rPr>
        <w:t>me to find that the case of</w:t>
      </w:r>
      <w:r w:rsidR="00174FBB" w:rsidRPr="00174FBB">
        <w:rPr>
          <w:rFonts w:ascii="Times New Roman" w:hAnsi="Times New Roman" w:cs="Times New Roman"/>
          <w:i/>
          <w:sz w:val="24"/>
          <w:szCs w:val="24"/>
        </w:rPr>
        <w:t xml:space="preserve"> </w:t>
      </w:r>
      <w:r w:rsidR="00174FBB">
        <w:rPr>
          <w:rFonts w:ascii="Times New Roman" w:hAnsi="Times New Roman" w:cs="Times New Roman"/>
          <w:i/>
          <w:sz w:val="24"/>
          <w:szCs w:val="24"/>
        </w:rPr>
        <w:t xml:space="preserve">Minister of Foreign Affairs (supra) </w:t>
      </w:r>
      <w:r>
        <w:rPr>
          <w:rFonts w:ascii="Times New Roman" w:hAnsi="Times New Roman" w:cs="Times New Roman"/>
          <w:sz w:val="24"/>
          <w:szCs w:val="24"/>
        </w:rPr>
        <w:t xml:space="preserve">is </w:t>
      </w:r>
      <w:r w:rsidR="00586579">
        <w:rPr>
          <w:rFonts w:ascii="Times New Roman" w:hAnsi="Times New Roman" w:cs="Times New Roman"/>
          <w:sz w:val="24"/>
          <w:szCs w:val="24"/>
        </w:rPr>
        <w:t>distinguishable</w:t>
      </w:r>
      <w:r>
        <w:rPr>
          <w:rFonts w:ascii="Times New Roman" w:hAnsi="Times New Roman" w:cs="Times New Roman"/>
          <w:sz w:val="24"/>
          <w:szCs w:val="24"/>
        </w:rPr>
        <w:t xml:space="preserve">. </w:t>
      </w:r>
      <w:r w:rsidR="00174FBB">
        <w:rPr>
          <w:rFonts w:ascii="Times New Roman" w:hAnsi="Times New Roman" w:cs="Times New Roman"/>
          <w:sz w:val="24"/>
          <w:szCs w:val="24"/>
        </w:rPr>
        <w:t>Relying on</w:t>
      </w:r>
      <w:r>
        <w:rPr>
          <w:rFonts w:ascii="Times New Roman" w:hAnsi="Times New Roman" w:cs="Times New Roman"/>
          <w:sz w:val="24"/>
          <w:szCs w:val="24"/>
        </w:rPr>
        <w:t xml:space="preserve"> </w:t>
      </w:r>
      <w:r w:rsidRPr="00DD223B">
        <w:rPr>
          <w:rFonts w:ascii="Times New Roman" w:hAnsi="Times New Roman" w:cs="Times New Roman"/>
          <w:i/>
          <w:sz w:val="24"/>
          <w:szCs w:val="24"/>
        </w:rPr>
        <w:t xml:space="preserve">Bubye Minerals (Pvt) Ltd and Anor </w:t>
      </w:r>
      <w:r w:rsidRPr="00DD223B">
        <w:rPr>
          <w:rFonts w:ascii="Times New Roman" w:hAnsi="Times New Roman" w:cs="Times New Roman"/>
          <w:sz w:val="24"/>
          <w:szCs w:val="24"/>
        </w:rPr>
        <w:t>v</w:t>
      </w:r>
      <w:r w:rsidRPr="00DD223B">
        <w:rPr>
          <w:rFonts w:ascii="Times New Roman" w:hAnsi="Times New Roman" w:cs="Times New Roman"/>
          <w:i/>
          <w:sz w:val="24"/>
          <w:szCs w:val="24"/>
        </w:rPr>
        <w:t xml:space="preserve"> Rani International Ltd</w:t>
      </w:r>
      <w:r>
        <w:rPr>
          <w:rFonts w:ascii="Times New Roman" w:hAnsi="Times New Roman" w:cs="Times New Roman"/>
          <w:sz w:val="24"/>
          <w:szCs w:val="24"/>
        </w:rPr>
        <w:t xml:space="preserve"> 2007(1) ZLR 22(</w:t>
      </w:r>
      <w:r w:rsidR="00C123E3">
        <w:rPr>
          <w:rFonts w:ascii="Times New Roman" w:hAnsi="Times New Roman" w:cs="Times New Roman"/>
          <w:sz w:val="24"/>
          <w:szCs w:val="24"/>
        </w:rPr>
        <w:t>S</w:t>
      </w:r>
      <w:r>
        <w:rPr>
          <w:rFonts w:ascii="Times New Roman" w:hAnsi="Times New Roman" w:cs="Times New Roman"/>
          <w:sz w:val="24"/>
          <w:szCs w:val="24"/>
        </w:rPr>
        <w:t>)</w:t>
      </w:r>
      <w:r w:rsidR="00174FBB">
        <w:rPr>
          <w:rFonts w:ascii="Times New Roman" w:hAnsi="Times New Roman" w:cs="Times New Roman"/>
          <w:sz w:val="24"/>
          <w:szCs w:val="24"/>
        </w:rPr>
        <w:t xml:space="preserve">, he argued that Uladi is </w:t>
      </w:r>
      <w:r>
        <w:rPr>
          <w:rFonts w:ascii="Times New Roman" w:hAnsi="Times New Roman" w:cs="Times New Roman"/>
          <w:sz w:val="24"/>
          <w:szCs w:val="24"/>
        </w:rPr>
        <w:t xml:space="preserve">not the correct person to </w:t>
      </w:r>
      <w:r w:rsidR="00174FBB">
        <w:rPr>
          <w:rFonts w:ascii="Times New Roman" w:hAnsi="Times New Roman" w:cs="Times New Roman"/>
          <w:sz w:val="24"/>
          <w:szCs w:val="24"/>
        </w:rPr>
        <w:t>swear to</w:t>
      </w:r>
      <w:r>
        <w:rPr>
          <w:rFonts w:ascii="Times New Roman" w:hAnsi="Times New Roman" w:cs="Times New Roman"/>
          <w:sz w:val="24"/>
          <w:szCs w:val="24"/>
        </w:rPr>
        <w:t xml:space="preserve"> the</w:t>
      </w:r>
      <w:r w:rsidR="00174FBB">
        <w:rPr>
          <w:rFonts w:ascii="Times New Roman" w:hAnsi="Times New Roman" w:cs="Times New Roman"/>
          <w:sz w:val="24"/>
          <w:szCs w:val="24"/>
        </w:rPr>
        <w:t xml:space="preserve"> facts and averments set out in the</w:t>
      </w:r>
      <w:r>
        <w:rPr>
          <w:rFonts w:ascii="Times New Roman" w:hAnsi="Times New Roman" w:cs="Times New Roman"/>
          <w:sz w:val="24"/>
          <w:szCs w:val="24"/>
        </w:rPr>
        <w:t xml:space="preserve"> founding affidavit</w:t>
      </w:r>
      <w:r w:rsidR="00174FBB">
        <w:rPr>
          <w:rFonts w:ascii="Times New Roman" w:hAnsi="Times New Roman" w:cs="Times New Roman"/>
          <w:sz w:val="24"/>
          <w:szCs w:val="24"/>
        </w:rPr>
        <w:t xml:space="preserve">. Those facts and averments </w:t>
      </w:r>
      <w:r w:rsidR="004C5519">
        <w:rPr>
          <w:rFonts w:ascii="Times New Roman" w:hAnsi="Times New Roman" w:cs="Times New Roman"/>
          <w:sz w:val="24"/>
          <w:szCs w:val="24"/>
        </w:rPr>
        <w:t xml:space="preserve">are the merits of the matter. They are disputed by the respondents. Uladi has no personal knowledge of the facts. </w:t>
      </w:r>
      <w:r>
        <w:rPr>
          <w:rFonts w:ascii="Times New Roman" w:hAnsi="Times New Roman" w:cs="Times New Roman"/>
          <w:sz w:val="24"/>
          <w:szCs w:val="24"/>
        </w:rPr>
        <w:t xml:space="preserve"> </w:t>
      </w:r>
    </w:p>
    <w:p w:rsidR="005E7CF0" w:rsidRDefault="005E7CF0" w:rsidP="00327A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Mutangadura</w:t>
      </w:r>
      <w:r>
        <w:rPr>
          <w:rFonts w:ascii="Times New Roman" w:hAnsi="Times New Roman" w:cs="Times New Roman"/>
          <w:sz w:val="24"/>
          <w:szCs w:val="24"/>
        </w:rPr>
        <w:t xml:space="preserve"> </w:t>
      </w:r>
      <w:r w:rsidR="00B62C3E">
        <w:rPr>
          <w:rFonts w:ascii="Times New Roman" w:hAnsi="Times New Roman" w:cs="Times New Roman"/>
          <w:sz w:val="24"/>
          <w:szCs w:val="24"/>
        </w:rPr>
        <w:t>argued</w:t>
      </w:r>
      <w:r w:rsidR="004C5519">
        <w:rPr>
          <w:rFonts w:ascii="Times New Roman" w:hAnsi="Times New Roman" w:cs="Times New Roman"/>
          <w:sz w:val="24"/>
          <w:szCs w:val="24"/>
        </w:rPr>
        <w:t xml:space="preserve"> that</w:t>
      </w:r>
      <w:r>
        <w:rPr>
          <w:rFonts w:ascii="Times New Roman" w:hAnsi="Times New Roman" w:cs="Times New Roman"/>
          <w:sz w:val="24"/>
          <w:szCs w:val="24"/>
        </w:rPr>
        <w:t xml:space="preserve"> s 27 (1) of the Civil Evidence Act [</w:t>
      </w:r>
      <w:r>
        <w:rPr>
          <w:rFonts w:ascii="Times New Roman" w:hAnsi="Times New Roman" w:cs="Times New Roman"/>
          <w:i/>
          <w:sz w:val="24"/>
          <w:szCs w:val="24"/>
        </w:rPr>
        <w:t>Chapter 8:01</w:t>
      </w:r>
      <w:r>
        <w:rPr>
          <w:rFonts w:ascii="Times New Roman" w:hAnsi="Times New Roman" w:cs="Times New Roman"/>
          <w:sz w:val="24"/>
          <w:szCs w:val="24"/>
        </w:rPr>
        <w:t xml:space="preserve">] </w:t>
      </w:r>
      <w:r w:rsidR="004C5519">
        <w:rPr>
          <w:rFonts w:ascii="Times New Roman" w:hAnsi="Times New Roman" w:cs="Times New Roman"/>
          <w:sz w:val="24"/>
          <w:szCs w:val="24"/>
        </w:rPr>
        <w:t>render</w:t>
      </w:r>
      <w:r w:rsidR="00B62C3E">
        <w:rPr>
          <w:rFonts w:ascii="Times New Roman" w:hAnsi="Times New Roman" w:cs="Times New Roman"/>
          <w:sz w:val="24"/>
          <w:szCs w:val="24"/>
        </w:rPr>
        <w:t>s</w:t>
      </w:r>
      <w:r w:rsidR="004C5519">
        <w:rPr>
          <w:rFonts w:ascii="Times New Roman" w:hAnsi="Times New Roman" w:cs="Times New Roman"/>
          <w:sz w:val="24"/>
          <w:szCs w:val="24"/>
        </w:rPr>
        <w:t xml:space="preserve"> the contents of Uladi’s affidavit admissible</w:t>
      </w:r>
      <w:r>
        <w:rPr>
          <w:rFonts w:ascii="Times New Roman" w:hAnsi="Times New Roman" w:cs="Times New Roman"/>
          <w:sz w:val="24"/>
          <w:szCs w:val="24"/>
        </w:rPr>
        <w:t>. Th</w:t>
      </w:r>
      <w:r w:rsidR="007C6FA6">
        <w:rPr>
          <w:rFonts w:ascii="Times New Roman" w:hAnsi="Times New Roman" w:cs="Times New Roman"/>
          <w:sz w:val="24"/>
          <w:szCs w:val="24"/>
        </w:rPr>
        <w:t>e</w:t>
      </w:r>
      <w:r>
        <w:rPr>
          <w:rFonts w:ascii="Times New Roman" w:hAnsi="Times New Roman" w:cs="Times New Roman"/>
          <w:sz w:val="24"/>
          <w:szCs w:val="24"/>
        </w:rPr>
        <w:t xml:space="preserve"> section reads:</w:t>
      </w:r>
    </w:p>
    <w:p w:rsidR="005E7CF0" w:rsidRDefault="005E7CF0" w:rsidP="005E7CF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“27 First-hand hearsay evidence</w:t>
      </w:r>
    </w:p>
    <w:p w:rsidR="005E7CF0" w:rsidRPr="005E7CF0" w:rsidRDefault="005E7CF0" w:rsidP="005E7CF0">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Subject to this section evidence of a statement made by any person, whether orally or in writing or otherwise, shall be admissible in civil proceedings as evidence of any fact mentioned or disclosed in the statement, </w:t>
      </w:r>
      <w:r>
        <w:rPr>
          <w:rFonts w:ascii="Times New Roman" w:hAnsi="Times New Roman" w:cs="Times New Roman"/>
          <w:sz w:val="24"/>
          <w:szCs w:val="24"/>
          <w:u w:val="single"/>
        </w:rPr>
        <w:t>if direct oral evidence by that person</w:t>
      </w:r>
      <w:r>
        <w:rPr>
          <w:rFonts w:ascii="Times New Roman" w:hAnsi="Times New Roman" w:cs="Times New Roman"/>
          <w:sz w:val="24"/>
          <w:szCs w:val="24"/>
        </w:rPr>
        <w:t xml:space="preserve"> of that fact would be admissible in those proceedings.” (underlining for emphasis).</w:t>
      </w:r>
    </w:p>
    <w:p w:rsidR="005E7CF0" w:rsidRDefault="004C5519" w:rsidP="005E7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conditions for the admissibility of first hand hearsay evidence. </w:t>
      </w:r>
      <w:r w:rsidR="005E7CF0">
        <w:rPr>
          <w:rFonts w:ascii="Times New Roman" w:hAnsi="Times New Roman" w:cs="Times New Roman"/>
          <w:sz w:val="24"/>
          <w:szCs w:val="24"/>
        </w:rPr>
        <w:t>See</w:t>
      </w:r>
      <w:r w:rsidR="005E7CF0">
        <w:rPr>
          <w:rFonts w:ascii="Times New Roman" w:hAnsi="Times New Roman" w:cs="Times New Roman"/>
          <w:i/>
          <w:sz w:val="24"/>
          <w:szCs w:val="24"/>
        </w:rPr>
        <w:t xml:space="preserve"> Mutimwinyi</w:t>
      </w:r>
      <w:r w:rsidR="005E7CF0">
        <w:rPr>
          <w:rFonts w:ascii="Times New Roman" w:hAnsi="Times New Roman" w:cs="Times New Roman"/>
          <w:sz w:val="24"/>
          <w:szCs w:val="24"/>
        </w:rPr>
        <w:t xml:space="preserve"> v </w:t>
      </w:r>
      <w:r w:rsidR="005E7CF0">
        <w:rPr>
          <w:rFonts w:ascii="Times New Roman" w:hAnsi="Times New Roman" w:cs="Times New Roman"/>
          <w:i/>
          <w:sz w:val="24"/>
          <w:szCs w:val="24"/>
        </w:rPr>
        <w:t>Mutimwinyi and Registrar of Deeds</w:t>
      </w:r>
      <w:r w:rsidR="005E7CF0">
        <w:rPr>
          <w:rFonts w:ascii="Times New Roman" w:hAnsi="Times New Roman" w:cs="Times New Roman"/>
          <w:sz w:val="24"/>
          <w:szCs w:val="24"/>
        </w:rPr>
        <w:t xml:space="preserve"> SC 192/95; </w:t>
      </w:r>
      <w:r w:rsidR="005E7CF0">
        <w:rPr>
          <w:rFonts w:ascii="Times New Roman" w:hAnsi="Times New Roman" w:cs="Times New Roman"/>
          <w:i/>
          <w:sz w:val="24"/>
          <w:szCs w:val="24"/>
        </w:rPr>
        <w:t>Pocock</w:t>
      </w:r>
      <w:r w:rsidR="005E7CF0">
        <w:rPr>
          <w:rFonts w:ascii="Times New Roman" w:hAnsi="Times New Roman" w:cs="Times New Roman"/>
          <w:sz w:val="24"/>
          <w:szCs w:val="24"/>
        </w:rPr>
        <w:t xml:space="preserve"> v </w:t>
      </w:r>
      <w:r w:rsidR="005E7CF0">
        <w:rPr>
          <w:rFonts w:ascii="Times New Roman" w:hAnsi="Times New Roman" w:cs="Times New Roman"/>
          <w:i/>
          <w:sz w:val="24"/>
          <w:szCs w:val="24"/>
        </w:rPr>
        <w:t>AFC</w:t>
      </w:r>
      <w:r w:rsidR="005E7CF0">
        <w:rPr>
          <w:rFonts w:ascii="Times New Roman" w:hAnsi="Times New Roman" w:cs="Times New Roman"/>
          <w:sz w:val="24"/>
          <w:szCs w:val="24"/>
        </w:rPr>
        <w:t xml:space="preserve"> 1995 (2) ZLR 365 (S); </w:t>
      </w:r>
      <w:r w:rsidR="005E7CF0">
        <w:rPr>
          <w:rFonts w:ascii="Times New Roman" w:hAnsi="Times New Roman" w:cs="Times New Roman"/>
          <w:i/>
          <w:sz w:val="24"/>
          <w:szCs w:val="24"/>
        </w:rPr>
        <w:t>Church of the Province of Central Africa</w:t>
      </w:r>
      <w:r w:rsidR="005E7CF0">
        <w:rPr>
          <w:rFonts w:ascii="Times New Roman" w:hAnsi="Times New Roman" w:cs="Times New Roman"/>
          <w:sz w:val="24"/>
          <w:szCs w:val="24"/>
        </w:rPr>
        <w:t xml:space="preserve"> v </w:t>
      </w:r>
      <w:r w:rsidR="005E7CF0">
        <w:rPr>
          <w:rFonts w:ascii="Times New Roman" w:hAnsi="Times New Roman" w:cs="Times New Roman"/>
          <w:i/>
          <w:sz w:val="24"/>
          <w:szCs w:val="24"/>
        </w:rPr>
        <w:t>Jakazi and Ors</w:t>
      </w:r>
      <w:r w:rsidR="005E7CF0">
        <w:rPr>
          <w:rFonts w:ascii="Times New Roman" w:hAnsi="Times New Roman" w:cs="Times New Roman"/>
          <w:sz w:val="24"/>
          <w:szCs w:val="24"/>
        </w:rPr>
        <w:t xml:space="preserve"> (1) 2010 (1) ZLR 246 (H) at 249F; </w:t>
      </w:r>
      <w:r w:rsidR="005E7CF0">
        <w:rPr>
          <w:rFonts w:ascii="Times New Roman" w:hAnsi="Times New Roman" w:cs="Times New Roman"/>
          <w:i/>
          <w:sz w:val="24"/>
          <w:szCs w:val="24"/>
        </w:rPr>
        <w:t>Glenwood Heavy Equipment (Pvt) Ltd</w:t>
      </w:r>
      <w:r w:rsidR="005E7CF0">
        <w:rPr>
          <w:rFonts w:ascii="Times New Roman" w:hAnsi="Times New Roman" w:cs="Times New Roman"/>
          <w:sz w:val="24"/>
          <w:szCs w:val="24"/>
        </w:rPr>
        <w:t xml:space="preserve"> v </w:t>
      </w:r>
      <w:r w:rsidR="005E7CF0">
        <w:rPr>
          <w:rFonts w:ascii="Times New Roman" w:hAnsi="Times New Roman" w:cs="Times New Roman"/>
          <w:i/>
          <w:sz w:val="24"/>
          <w:szCs w:val="24"/>
        </w:rPr>
        <w:t xml:space="preserve">Hwange Colliery Company Ltd and Others </w:t>
      </w:r>
      <w:r w:rsidR="005E7CF0">
        <w:rPr>
          <w:rFonts w:ascii="Times New Roman" w:hAnsi="Times New Roman" w:cs="Times New Roman"/>
          <w:sz w:val="24"/>
          <w:szCs w:val="24"/>
        </w:rPr>
        <w:t xml:space="preserve">HH 664/16. In </w:t>
      </w:r>
      <w:r w:rsidR="005E7CF0">
        <w:rPr>
          <w:rFonts w:ascii="Times New Roman" w:hAnsi="Times New Roman" w:cs="Times New Roman"/>
          <w:i/>
          <w:sz w:val="24"/>
          <w:szCs w:val="24"/>
        </w:rPr>
        <w:t xml:space="preserve">Hiltunen </w:t>
      </w:r>
      <w:r w:rsidR="005E7CF0">
        <w:rPr>
          <w:rFonts w:ascii="Times New Roman" w:hAnsi="Times New Roman" w:cs="Times New Roman"/>
          <w:sz w:val="24"/>
          <w:szCs w:val="24"/>
        </w:rPr>
        <w:t xml:space="preserve">v </w:t>
      </w:r>
      <w:r w:rsidR="005E7CF0">
        <w:rPr>
          <w:rFonts w:ascii="Times New Roman" w:hAnsi="Times New Roman" w:cs="Times New Roman"/>
          <w:i/>
          <w:sz w:val="24"/>
          <w:szCs w:val="24"/>
        </w:rPr>
        <w:t xml:space="preserve">Hiltunen </w:t>
      </w:r>
      <w:r w:rsidR="005E7CF0">
        <w:rPr>
          <w:rFonts w:ascii="Times New Roman" w:hAnsi="Times New Roman" w:cs="Times New Roman"/>
          <w:sz w:val="24"/>
          <w:szCs w:val="24"/>
        </w:rPr>
        <w:t xml:space="preserve">2008 (2) ZLR 296(H), cited by both counsel, </w:t>
      </w:r>
      <w:r w:rsidR="005E7CF0">
        <w:rPr>
          <w:rFonts w:ascii="Times New Roman" w:hAnsi="Times New Roman" w:cs="Times New Roman"/>
          <w:smallCaps/>
          <w:sz w:val="24"/>
          <w:szCs w:val="24"/>
        </w:rPr>
        <w:t xml:space="preserve">Makarau </w:t>
      </w:r>
      <w:r w:rsidR="005E7CF0">
        <w:rPr>
          <w:rFonts w:ascii="Times New Roman" w:hAnsi="Times New Roman" w:cs="Times New Roman"/>
          <w:sz w:val="24"/>
          <w:szCs w:val="24"/>
        </w:rPr>
        <w:t>JP (as she then was) said at 302 F-303B:</w:t>
      </w:r>
    </w:p>
    <w:p w:rsidR="005E7CF0" w:rsidRDefault="005E7CF0" w:rsidP="005E7CF0">
      <w:pPr>
        <w:spacing w:after="0" w:line="240" w:lineRule="auto"/>
        <w:ind w:left="720"/>
        <w:jc w:val="both"/>
        <w:rPr>
          <w:rFonts w:ascii="Times New Roman" w:hAnsi="Times New Roman" w:cs="Times New Roman"/>
        </w:rPr>
      </w:pPr>
      <w:r>
        <w:rPr>
          <w:rFonts w:ascii="Times New Roman" w:hAnsi="Times New Roman" w:cs="Times New Roman"/>
        </w:rPr>
        <w:t>“The provisions of section 27 (1) of the Act merely provide for the admissibility of statements made by other persons where such statements would have been admissible had they been adduced as direct evidence by the makers of the statements as detailed above. It does not provide for the wholesale admissibility of hearsay evidence</w:t>
      </w:r>
      <w:r w:rsidR="00003769">
        <w:rPr>
          <w:rFonts w:ascii="Times New Roman" w:hAnsi="Times New Roman" w:cs="Times New Roman"/>
        </w:rPr>
        <w:t>…..</w:t>
      </w:r>
    </w:p>
    <w:p w:rsidR="00003769" w:rsidRDefault="00003769" w:rsidP="005E7CF0">
      <w:pPr>
        <w:spacing w:after="0" w:line="240" w:lineRule="auto"/>
        <w:ind w:left="720"/>
        <w:jc w:val="both"/>
        <w:rPr>
          <w:rFonts w:ascii="Times New Roman" w:hAnsi="Times New Roman" w:cs="Times New Roman"/>
        </w:rPr>
      </w:pPr>
    </w:p>
    <w:p w:rsidR="00CF0294" w:rsidRDefault="005E7CF0" w:rsidP="005E7CF0">
      <w:pPr>
        <w:spacing w:after="0" w:line="240" w:lineRule="auto"/>
        <w:ind w:left="720"/>
        <w:jc w:val="both"/>
        <w:rPr>
          <w:rFonts w:ascii="Times New Roman" w:hAnsi="Times New Roman" w:cs="Times New Roman"/>
          <w:u w:val="single"/>
        </w:rPr>
      </w:pPr>
      <w:r>
        <w:rPr>
          <w:rFonts w:ascii="Times New Roman" w:hAnsi="Times New Roman" w:cs="Times New Roman"/>
        </w:rPr>
        <w:t xml:space="preserve">I have had recourse to the provisions of s 27 (1) of the Act to determine whether the contents of the affidavit can be admitted thereunder. I am unable to find in favour of the deponent in this regard in that </w:t>
      </w:r>
      <w:r w:rsidR="00CF0294">
        <w:rPr>
          <w:rFonts w:ascii="Times New Roman" w:hAnsi="Times New Roman" w:cs="Times New Roman"/>
        </w:rPr>
        <w:t xml:space="preserve">the source of information and basis of belief by the deponent is not disclosed. </w:t>
      </w:r>
      <w:r w:rsidR="00CF0294">
        <w:rPr>
          <w:rFonts w:ascii="Times New Roman" w:hAnsi="Times New Roman" w:cs="Times New Roman"/>
          <w:u w:val="single"/>
        </w:rPr>
        <w:t xml:space="preserve">I </w:t>
      </w:r>
      <w:r w:rsidR="00CF0294">
        <w:rPr>
          <w:rFonts w:ascii="Times New Roman" w:hAnsi="Times New Roman" w:cs="Times New Roman"/>
          <w:u w:val="single"/>
        </w:rPr>
        <w:lastRenderedPageBreak/>
        <w:t>am therefore unable to determine whether if the source of the information were present and testifying, such information as was supplied to the deponent would have been admissible from the mouth of the source”.</w:t>
      </w:r>
    </w:p>
    <w:p w:rsidR="00F91A96" w:rsidRPr="005E7CF0" w:rsidRDefault="00F91A96" w:rsidP="005E7CF0">
      <w:pPr>
        <w:spacing w:after="0" w:line="240" w:lineRule="auto"/>
        <w:ind w:left="720"/>
        <w:jc w:val="both"/>
        <w:rPr>
          <w:rFonts w:ascii="Times New Roman" w:hAnsi="Times New Roman" w:cs="Times New Roman"/>
        </w:rPr>
      </w:pPr>
    </w:p>
    <w:p w:rsidR="00CF0294" w:rsidRDefault="00CF0294" w:rsidP="00CF02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w:t>
      </w:r>
      <w:r>
        <w:rPr>
          <w:rFonts w:ascii="Times New Roman" w:hAnsi="Times New Roman" w:cs="Times New Roman"/>
          <w:i/>
          <w:sz w:val="24"/>
          <w:szCs w:val="24"/>
        </w:rPr>
        <w:t>Uladi</w:t>
      </w:r>
      <w:r>
        <w:rPr>
          <w:rFonts w:ascii="Times New Roman" w:hAnsi="Times New Roman" w:cs="Times New Roman"/>
          <w:sz w:val="24"/>
          <w:szCs w:val="24"/>
        </w:rPr>
        <w:t xml:space="preserve"> deposes to is premised on the file of papers that he received from ZACC. He used some of those papers as annexures to his founding affidavit. His source is that file. I think that is where the problem is. The person or persons who received statements, written or oral, or both, appear to me to be the ZACC investigator(s). </w:t>
      </w:r>
      <w:r w:rsidR="008D3187">
        <w:rPr>
          <w:rFonts w:ascii="Times New Roman" w:hAnsi="Times New Roman" w:cs="Times New Roman"/>
          <w:sz w:val="24"/>
          <w:szCs w:val="24"/>
        </w:rPr>
        <w:t>They have not placed any affidavits before me. Accordingly,</w:t>
      </w:r>
      <w:r>
        <w:rPr>
          <w:rFonts w:ascii="Times New Roman" w:hAnsi="Times New Roman" w:cs="Times New Roman"/>
          <w:sz w:val="24"/>
          <w:szCs w:val="24"/>
        </w:rPr>
        <w:t xml:space="preserve"> I do not think what is before me is first hand hearsay evidence. My view is that the Prosecutor General, on the papers as presented before me, cannot </w:t>
      </w:r>
      <w:r w:rsidR="007C6FA6">
        <w:rPr>
          <w:rFonts w:ascii="Times New Roman" w:hAnsi="Times New Roman" w:cs="Times New Roman"/>
          <w:sz w:val="24"/>
          <w:szCs w:val="24"/>
        </w:rPr>
        <w:t xml:space="preserve">therefore </w:t>
      </w:r>
      <w:r>
        <w:rPr>
          <w:rFonts w:ascii="Times New Roman" w:hAnsi="Times New Roman" w:cs="Times New Roman"/>
          <w:sz w:val="24"/>
          <w:szCs w:val="24"/>
        </w:rPr>
        <w:t>rely on s 27(1) of the Act.</w:t>
      </w:r>
    </w:p>
    <w:p w:rsidR="00CF0294" w:rsidRDefault="00CF0294" w:rsidP="00CF02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Pr>
          <w:rFonts w:ascii="Times New Roman" w:hAnsi="Times New Roman" w:cs="Times New Roman"/>
          <w:i/>
          <w:sz w:val="24"/>
          <w:szCs w:val="24"/>
        </w:rPr>
        <w:t xml:space="preserve"> Mutangadura</w:t>
      </w:r>
      <w:r>
        <w:rPr>
          <w:rFonts w:ascii="Times New Roman" w:hAnsi="Times New Roman" w:cs="Times New Roman"/>
          <w:sz w:val="24"/>
          <w:szCs w:val="24"/>
        </w:rPr>
        <w:t xml:space="preserve"> also </w:t>
      </w:r>
      <w:r w:rsidR="004C5519">
        <w:rPr>
          <w:rFonts w:ascii="Times New Roman" w:hAnsi="Times New Roman" w:cs="Times New Roman"/>
          <w:sz w:val="24"/>
          <w:szCs w:val="24"/>
        </w:rPr>
        <w:t>effectively contradict</w:t>
      </w:r>
      <w:r w:rsidR="00C123E3">
        <w:rPr>
          <w:rFonts w:ascii="Times New Roman" w:hAnsi="Times New Roman" w:cs="Times New Roman"/>
          <w:sz w:val="24"/>
          <w:szCs w:val="24"/>
        </w:rPr>
        <w:t>ed</w:t>
      </w:r>
      <w:r w:rsidR="004C5519">
        <w:rPr>
          <w:rFonts w:ascii="Times New Roman" w:hAnsi="Times New Roman" w:cs="Times New Roman"/>
          <w:sz w:val="24"/>
          <w:szCs w:val="24"/>
        </w:rPr>
        <w:t xml:space="preserve"> </w:t>
      </w:r>
      <w:r w:rsidR="00C123E3">
        <w:rPr>
          <w:rFonts w:ascii="Times New Roman" w:hAnsi="Times New Roman" w:cs="Times New Roman"/>
          <w:sz w:val="24"/>
          <w:szCs w:val="24"/>
        </w:rPr>
        <w:t>him</w:t>
      </w:r>
      <w:r w:rsidR="004C5519">
        <w:rPr>
          <w:rFonts w:ascii="Times New Roman" w:hAnsi="Times New Roman" w:cs="Times New Roman"/>
          <w:sz w:val="24"/>
          <w:szCs w:val="24"/>
        </w:rPr>
        <w:t xml:space="preserve">self. </w:t>
      </w:r>
      <w:r>
        <w:rPr>
          <w:rFonts w:ascii="Times New Roman" w:hAnsi="Times New Roman" w:cs="Times New Roman"/>
          <w:sz w:val="24"/>
          <w:szCs w:val="24"/>
        </w:rPr>
        <w:t xml:space="preserve"> He argued </w:t>
      </w:r>
      <w:r w:rsidR="00003769">
        <w:rPr>
          <w:rFonts w:ascii="Times New Roman" w:hAnsi="Times New Roman" w:cs="Times New Roman"/>
          <w:sz w:val="24"/>
          <w:szCs w:val="24"/>
        </w:rPr>
        <w:t xml:space="preserve">that </w:t>
      </w:r>
      <w:r>
        <w:rPr>
          <w:rFonts w:ascii="Times New Roman" w:hAnsi="Times New Roman" w:cs="Times New Roman"/>
          <w:sz w:val="24"/>
          <w:szCs w:val="24"/>
        </w:rPr>
        <w:t xml:space="preserve">since most of the annexures are public documents it means that even if the </w:t>
      </w:r>
      <w:r w:rsidR="00003769">
        <w:rPr>
          <w:rFonts w:ascii="Times New Roman" w:hAnsi="Times New Roman" w:cs="Times New Roman"/>
          <w:sz w:val="24"/>
          <w:szCs w:val="24"/>
        </w:rPr>
        <w:t xml:space="preserve">founding </w:t>
      </w:r>
      <w:r>
        <w:rPr>
          <w:rFonts w:ascii="Times New Roman" w:hAnsi="Times New Roman" w:cs="Times New Roman"/>
          <w:sz w:val="24"/>
          <w:szCs w:val="24"/>
        </w:rPr>
        <w:t>affidav</w:t>
      </w:r>
      <w:r w:rsidR="00003769">
        <w:rPr>
          <w:rFonts w:ascii="Times New Roman" w:hAnsi="Times New Roman" w:cs="Times New Roman"/>
          <w:sz w:val="24"/>
          <w:szCs w:val="24"/>
        </w:rPr>
        <w:t>it itself contains otherwise in</w:t>
      </w:r>
      <w:r>
        <w:rPr>
          <w:rFonts w:ascii="Times New Roman" w:hAnsi="Times New Roman" w:cs="Times New Roman"/>
          <w:sz w:val="24"/>
          <w:szCs w:val="24"/>
        </w:rPr>
        <w:t xml:space="preserve">admissible hearsay evidence the validity of the affidavit </w:t>
      </w:r>
      <w:r w:rsidR="008D3187">
        <w:rPr>
          <w:rFonts w:ascii="Times New Roman" w:hAnsi="Times New Roman" w:cs="Times New Roman"/>
          <w:sz w:val="24"/>
          <w:szCs w:val="24"/>
        </w:rPr>
        <w:t xml:space="preserve">is </w:t>
      </w:r>
      <w:r>
        <w:rPr>
          <w:rFonts w:ascii="Times New Roman" w:hAnsi="Times New Roman" w:cs="Times New Roman"/>
          <w:sz w:val="24"/>
          <w:szCs w:val="24"/>
        </w:rPr>
        <w:t xml:space="preserve">saved by the annexures </w:t>
      </w:r>
      <w:r w:rsidR="004C5519">
        <w:rPr>
          <w:rFonts w:ascii="Times New Roman" w:hAnsi="Times New Roman" w:cs="Times New Roman"/>
          <w:sz w:val="24"/>
          <w:szCs w:val="24"/>
        </w:rPr>
        <w:t>because the affidavit shows that Uladi was interpreting the contents of the annexures</w:t>
      </w:r>
      <w:r>
        <w:rPr>
          <w:rFonts w:ascii="Times New Roman" w:hAnsi="Times New Roman" w:cs="Times New Roman"/>
          <w:sz w:val="24"/>
          <w:szCs w:val="24"/>
        </w:rPr>
        <w:t>.</w:t>
      </w:r>
    </w:p>
    <w:p w:rsidR="00FB278B" w:rsidRDefault="00CF0294" w:rsidP="00FB27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unable to accept this submission. It puts the cart before the horse. The </w:t>
      </w:r>
      <w:r w:rsidR="00003769">
        <w:rPr>
          <w:rFonts w:ascii="Times New Roman" w:hAnsi="Times New Roman" w:cs="Times New Roman"/>
          <w:sz w:val="24"/>
          <w:szCs w:val="24"/>
        </w:rPr>
        <w:t>founding affidavit cannot be separated from the annexures.</w:t>
      </w:r>
      <w:r>
        <w:rPr>
          <w:rFonts w:ascii="Times New Roman" w:hAnsi="Times New Roman" w:cs="Times New Roman"/>
          <w:sz w:val="24"/>
          <w:szCs w:val="24"/>
        </w:rPr>
        <w:t xml:space="preserve"> </w:t>
      </w:r>
      <w:r w:rsidR="00FB278B">
        <w:rPr>
          <w:rFonts w:ascii="Times New Roman" w:hAnsi="Times New Roman" w:cs="Times New Roman"/>
          <w:sz w:val="24"/>
          <w:szCs w:val="24"/>
        </w:rPr>
        <w:t xml:space="preserve">In this case the affidavit itself </w:t>
      </w:r>
      <w:r w:rsidR="0048507D">
        <w:rPr>
          <w:rFonts w:ascii="Times New Roman" w:hAnsi="Times New Roman" w:cs="Times New Roman"/>
          <w:sz w:val="24"/>
          <w:szCs w:val="24"/>
        </w:rPr>
        <w:t>violates</w:t>
      </w:r>
      <w:r w:rsidR="00FB278B">
        <w:rPr>
          <w:rFonts w:ascii="Times New Roman" w:hAnsi="Times New Roman" w:cs="Times New Roman"/>
          <w:sz w:val="24"/>
          <w:szCs w:val="24"/>
        </w:rPr>
        <w:t xml:space="preserve"> the best evidence rule in that it is anchored on primary facts which ought to have been deposed to by some other person or persons. In setting out the factual conspectus, those person(s) wou</w:t>
      </w:r>
      <w:r w:rsidR="00BD2971">
        <w:rPr>
          <w:rFonts w:ascii="Times New Roman" w:hAnsi="Times New Roman" w:cs="Times New Roman"/>
          <w:sz w:val="24"/>
          <w:szCs w:val="24"/>
        </w:rPr>
        <w:t xml:space="preserve">ld then properly relate to the </w:t>
      </w:r>
      <w:r w:rsidR="00FB278B">
        <w:rPr>
          <w:rFonts w:ascii="Times New Roman" w:hAnsi="Times New Roman" w:cs="Times New Roman"/>
          <w:sz w:val="24"/>
          <w:szCs w:val="24"/>
        </w:rPr>
        <w:t xml:space="preserve">contents of the annexures. </w:t>
      </w:r>
    </w:p>
    <w:p w:rsidR="00323F21" w:rsidRDefault="00FB278B" w:rsidP="00FB27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take this view for the stronger reason that the factual issues are heavily disputed. Where the factu</w:t>
      </w:r>
      <w:r w:rsidR="00C123E3">
        <w:rPr>
          <w:rFonts w:ascii="Times New Roman" w:hAnsi="Times New Roman" w:cs="Times New Roman"/>
          <w:sz w:val="24"/>
          <w:szCs w:val="24"/>
        </w:rPr>
        <w:t>al issues are heavily contested,</w:t>
      </w:r>
      <w:r>
        <w:rPr>
          <w:rFonts w:ascii="Times New Roman" w:hAnsi="Times New Roman" w:cs="Times New Roman"/>
          <w:sz w:val="24"/>
          <w:szCs w:val="24"/>
        </w:rPr>
        <w:t xml:space="preserve"> </w:t>
      </w:r>
      <w:r w:rsidR="00C123E3">
        <w:rPr>
          <w:rFonts w:ascii="Times New Roman" w:hAnsi="Times New Roman" w:cs="Times New Roman"/>
          <w:sz w:val="24"/>
          <w:szCs w:val="24"/>
        </w:rPr>
        <w:t>t</w:t>
      </w:r>
      <w:r>
        <w:rPr>
          <w:rFonts w:ascii="Times New Roman" w:hAnsi="Times New Roman" w:cs="Times New Roman"/>
          <w:sz w:val="24"/>
          <w:szCs w:val="24"/>
        </w:rPr>
        <w:t xml:space="preserve">he duty of the court is to interrogate the facts to establish the truth. A court of law cannot interrogate facts which are not properly placed before it. In </w:t>
      </w:r>
      <w:r w:rsidRPr="00FB278B">
        <w:rPr>
          <w:rFonts w:ascii="Times New Roman" w:hAnsi="Times New Roman" w:cs="Times New Roman"/>
          <w:i/>
          <w:sz w:val="24"/>
          <w:szCs w:val="24"/>
        </w:rPr>
        <w:t xml:space="preserve">Chamisa </w:t>
      </w:r>
      <w:r w:rsidRPr="00FB278B">
        <w:rPr>
          <w:rFonts w:ascii="Times New Roman" w:hAnsi="Times New Roman" w:cs="Times New Roman"/>
          <w:sz w:val="24"/>
          <w:szCs w:val="24"/>
        </w:rPr>
        <w:t>v</w:t>
      </w:r>
      <w:r w:rsidRPr="00FB278B">
        <w:rPr>
          <w:rFonts w:ascii="Times New Roman" w:hAnsi="Times New Roman" w:cs="Times New Roman"/>
          <w:i/>
          <w:sz w:val="24"/>
          <w:szCs w:val="24"/>
        </w:rPr>
        <w:t xml:space="preserve"> Mnangagwa &amp; Ors</w:t>
      </w:r>
      <w:r>
        <w:rPr>
          <w:rFonts w:ascii="Times New Roman" w:hAnsi="Times New Roman" w:cs="Times New Roman"/>
          <w:sz w:val="24"/>
          <w:szCs w:val="24"/>
        </w:rPr>
        <w:t xml:space="preserve"> CCZ 21/19 MALABA CJ, writing for the court, in somewhat different circumstances, said at p 97:</w:t>
      </w:r>
      <w:r w:rsidR="00CF0294">
        <w:rPr>
          <w:rFonts w:ascii="Times New Roman" w:hAnsi="Times New Roman" w:cs="Times New Roman"/>
          <w:sz w:val="24"/>
          <w:szCs w:val="24"/>
        </w:rPr>
        <w:t xml:space="preserve"> </w:t>
      </w:r>
    </w:p>
    <w:p w:rsidR="00323F21" w:rsidRPr="00323F21" w:rsidRDefault="00323F21" w:rsidP="00323F21">
      <w:pPr>
        <w:spacing w:after="0" w:line="240" w:lineRule="auto"/>
        <w:ind w:left="720"/>
        <w:jc w:val="both"/>
        <w:rPr>
          <w:rFonts w:ascii="Times New Roman" w:hAnsi="Times New Roman" w:cs="Times New Roman"/>
        </w:rPr>
      </w:pPr>
      <w:r w:rsidRPr="00323F21">
        <w:rPr>
          <w:rFonts w:ascii="Times New Roman" w:hAnsi="Times New Roman" w:cs="Times New Roman"/>
        </w:rPr>
        <w:t>“….the duty of a court where factual issues are heavily disputed is to establish the truth. The court becomes a trier of fact. The dispute is, however, between the parties who have the duty to place evidence before the court in order for the truth to be established.”</w:t>
      </w:r>
    </w:p>
    <w:p w:rsidR="00323F21" w:rsidRDefault="00323F21" w:rsidP="00323F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sentiments apply to the present matter with equal force. What the Prosecutor-General has done in his affidavit is that he has sought to speak for everybody. As the applicant, the Prosecutor-General can indeed speak for himself in an application such as the present. For example, he </w:t>
      </w:r>
      <w:r w:rsidR="00C123E3">
        <w:rPr>
          <w:rFonts w:ascii="Times New Roman" w:hAnsi="Times New Roman" w:cs="Times New Roman"/>
          <w:sz w:val="24"/>
          <w:szCs w:val="24"/>
        </w:rPr>
        <w:t>can swear to the existence</w:t>
      </w:r>
      <w:r>
        <w:rPr>
          <w:rFonts w:ascii="Times New Roman" w:hAnsi="Times New Roman" w:cs="Times New Roman"/>
          <w:sz w:val="24"/>
          <w:szCs w:val="24"/>
        </w:rPr>
        <w:t xml:space="preserve"> of the unexplained wealth </w:t>
      </w:r>
      <w:r w:rsidR="0048507D">
        <w:rPr>
          <w:rFonts w:ascii="Times New Roman" w:hAnsi="Times New Roman" w:cs="Times New Roman"/>
          <w:sz w:val="24"/>
          <w:szCs w:val="24"/>
        </w:rPr>
        <w:t xml:space="preserve">and asset freezing </w:t>
      </w:r>
      <w:r w:rsidR="00C123E3">
        <w:rPr>
          <w:rFonts w:ascii="Times New Roman" w:hAnsi="Times New Roman" w:cs="Times New Roman"/>
          <w:sz w:val="24"/>
          <w:szCs w:val="24"/>
        </w:rPr>
        <w:t>order</w:t>
      </w:r>
      <w:r w:rsidR="00B62C3E">
        <w:rPr>
          <w:rFonts w:ascii="Times New Roman" w:hAnsi="Times New Roman" w:cs="Times New Roman"/>
          <w:sz w:val="24"/>
          <w:szCs w:val="24"/>
        </w:rPr>
        <w:t xml:space="preserve">. However </w:t>
      </w:r>
      <w:r>
        <w:rPr>
          <w:rFonts w:ascii="Times New Roman" w:hAnsi="Times New Roman" w:cs="Times New Roman"/>
          <w:sz w:val="24"/>
          <w:szCs w:val="24"/>
        </w:rPr>
        <w:t xml:space="preserve">the facts deposed </w:t>
      </w:r>
      <w:r w:rsidR="0048507D">
        <w:rPr>
          <w:rFonts w:ascii="Times New Roman" w:hAnsi="Times New Roman" w:cs="Times New Roman"/>
          <w:sz w:val="24"/>
          <w:szCs w:val="24"/>
        </w:rPr>
        <w:t xml:space="preserve">to </w:t>
      </w:r>
      <w:r w:rsidR="00C123E3">
        <w:rPr>
          <w:rFonts w:ascii="Times New Roman" w:hAnsi="Times New Roman" w:cs="Times New Roman"/>
          <w:sz w:val="24"/>
          <w:szCs w:val="24"/>
        </w:rPr>
        <w:t xml:space="preserve">in the founding affidavit </w:t>
      </w:r>
      <w:r>
        <w:rPr>
          <w:rFonts w:ascii="Times New Roman" w:hAnsi="Times New Roman" w:cs="Times New Roman"/>
          <w:sz w:val="24"/>
          <w:szCs w:val="24"/>
        </w:rPr>
        <w:t>go beyond th</w:t>
      </w:r>
      <w:r w:rsidR="00B62C3E">
        <w:rPr>
          <w:rFonts w:ascii="Times New Roman" w:hAnsi="Times New Roman" w:cs="Times New Roman"/>
          <w:sz w:val="24"/>
          <w:szCs w:val="24"/>
        </w:rPr>
        <w:t>at</w:t>
      </w:r>
      <w:r>
        <w:rPr>
          <w:rFonts w:ascii="Times New Roman" w:hAnsi="Times New Roman" w:cs="Times New Roman"/>
          <w:sz w:val="24"/>
          <w:szCs w:val="24"/>
        </w:rPr>
        <w:t xml:space="preserve"> order. In these circumstances the ZACC investigators, among other persons</w:t>
      </w:r>
      <w:r w:rsidR="00C123E3">
        <w:rPr>
          <w:rFonts w:ascii="Times New Roman" w:hAnsi="Times New Roman" w:cs="Times New Roman"/>
          <w:sz w:val="24"/>
          <w:szCs w:val="24"/>
        </w:rPr>
        <w:t>,</w:t>
      </w:r>
      <w:r>
        <w:rPr>
          <w:rFonts w:ascii="Times New Roman" w:hAnsi="Times New Roman" w:cs="Times New Roman"/>
          <w:sz w:val="24"/>
          <w:szCs w:val="24"/>
        </w:rPr>
        <w:t xml:space="preserve"> o</w:t>
      </w:r>
      <w:r w:rsidR="0048507D">
        <w:rPr>
          <w:rFonts w:ascii="Times New Roman" w:hAnsi="Times New Roman" w:cs="Times New Roman"/>
          <w:sz w:val="24"/>
          <w:szCs w:val="24"/>
        </w:rPr>
        <w:t>ught to have sworn to the facts</w:t>
      </w:r>
      <w:r>
        <w:rPr>
          <w:rFonts w:ascii="Times New Roman" w:hAnsi="Times New Roman" w:cs="Times New Roman"/>
          <w:sz w:val="24"/>
          <w:szCs w:val="24"/>
        </w:rPr>
        <w:t xml:space="preserve"> they uncovered during the course of their investigations.   </w:t>
      </w:r>
    </w:p>
    <w:p w:rsidR="00323F21" w:rsidRDefault="00323F21" w:rsidP="00323F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Section 80</w:t>
      </w:r>
      <w:r w:rsidR="00C123E3">
        <w:rPr>
          <w:rFonts w:ascii="Times New Roman" w:hAnsi="Times New Roman" w:cs="Times New Roman"/>
          <w:sz w:val="24"/>
          <w:szCs w:val="24"/>
        </w:rPr>
        <w:t xml:space="preserve"> of</w:t>
      </w:r>
      <w:r>
        <w:rPr>
          <w:rFonts w:ascii="Times New Roman" w:hAnsi="Times New Roman" w:cs="Times New Roman"/>
          <w:sz w:val="24"/>
          <w:szCs w:val="24"/>
        </w:rPr>
        <w:t xml:space="preserve"> the </w:t>
      </w:r>
      <w:r w:rsidR="00CF0294">
        <w:rPr>
          <w:rFonts w:ascii="Times New Roman" w:hAnsi="Times New Roman" w:cs="Times New Roman"/>
          <w:sz w:val="24"/>
          <w:szCs w:val="24"/>
        </w:rPr>
        <w:t xml:space="preserve">MLPCA </w:t>
      </w:r>
      <w:r>
        <w:rPr>
          <w:rFonts w:ascii="Times New Roman" w:hAnsi="Times New Roman" w:cs="Times New Roman"/>
          <w:sz w:val="24"/>
          <w:szCs w:val="24"/>
        </w:rPr>
        <w:t>reads, in relevant part:</w:t>
      </w:r>
    </w:p>
    <w:p w:rsidR="006D61EB" w:rsidRPr="006D61EB" w:rsidRDefault="00323F21" w:rsidP="006D61EB">
      <w:pPr>
        <w:spacing w:after="0" w:line="240" w:lineRule="auto"/>
        <w:ind w:left="720"/>
        <w:jc w:val="both"/>
        <w:rPr>
          <w:rFonts w:ascii="Times New Roman" w:hAnsi="Times New Roman" w:cs="Times New Roman"/>
        </w:rPr>
      </w:pPr>
      <w:r w:rsidRPr="006D61EB">
        <w:rPr>
          <w:rFonts w:ascii="Times New Roman" w:hAnsi="Times New Roman" w:cs="Times New Roman"/>
        </w:rPr>
        <w:t>“(2) the Court, on an application by the Prosecutor-General, shall grant a civil forfeiture order in respect of property within the jurisdiction of Zimbabwe, where the court finds, on a balance of probabilities that such property is tai</w:t>
      </w:r>
      <w:r w:rsidR="006D61EB" w:rsidRPr="006D61EB">
        <w:rPr>
          <w:rFonts w:ascii="Times New Roman" w:hAnsi="Times New Roman" w:cs="Times New Roman"/>
        </w:rPr>
        <w:t>nted property</w:t>
      </w:r>
      <w:r w:rsidR="006D61EB">
        <w:rPr>
          <w:rFonts w:ascii="Times New Roman" w:hAnsi="Times New Roman" w:cs="Times New Roman"/>
        </w:rPr>
        <w:t xml:space="preserve"> or terrorist property</w:t>
      </w:r>
      <w:r w:rsidR="006D61EB" w:rsidRPr="006D61EB">
        <w:rPr>
          <w:rFonts w:ascii="Times New Roman" w:hAnsi="Times New Roman" w:cs="Times New Roman"/>
        </w:rPr>
        <w:t>.”</w:t>
      </w:r>
    </w:p>
    <w:p w:rsidR="00124C4A" w:rsidRDefault="006D61EB" w:rsidP="006D61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this provision proceeds from the procedural assumption that the facts and evidence on which the court acts are properly before it. I am aware that s 79(1) of the MLPCA provides that a civil forfeiture order can be sought in respect of property that is suspected to be tainted property or terrorist property whenever such property is identified by or comes into the possession of, among others, the Prosecutor-General.  I am aware also that s 81 of the MLPCA details the procedure in an application for a</w:t>
      </w:r>
      <w:r w:rsidR="0048507D">
        <w:rPr>
          <w:rFonts w:ascii="Times New Roman" w:hAnsi="Times New Roman" w:cs="Times New Roman"/>
          <w:sz w:val="24"/>
          <w:szCs w:val="24"/>
        </w:rPr>
        <w:t>n unexplained wealth and</w:t>
      </w:r>
      <w:r>
        <w:rPr>
          <w:rFonts w:ascii="Times New Roman" w:hAnsi="Times New Roman" w:cs="Times New Roman"/>
          <w:sz w:val="24"/>
          <w:szCs w:val="24"/>
        </w:rPr>
        <w:t xml:space="preserve"> property freezing order. Section 81(2) and (3) provide, among other things, that the application shall be in writing, that the application may be made ex parte and that it shall be supported by an affidavit of</w:t>
      </w:r>
      <w:r w:rsidR="00C123E3">
        <w:rPr>
          <w:rFonts w:ascii="Times New Roman" w:hAnsi="Times New Roman" w:cs="Times New Roman"/>
          <w:sz w:val="24"/>
          <w:szCs w:val="24"/>
        </w:rPr>
        <w:t xml:space="preserve"> an authorised officer indicati</w:t>
      </w:r>
      <w:r>
        <w:rPr>
          <w:rFonts w:ascii="Times New Roman" w:hAnsi="Times New Roman" w:cs="Times New Roman"/>
          <w:sz w:val="24"/>
          <w:szCs w:val="24"/>
        </w:rPr>
        <w:t>n</w:t>
      </w:r>
      <w:r w:rsidR="00C123E3">
        <w:rPr>
          <w:rFonts w:ascii="Times New Roman" w:hAnsi="Times New Roman" w:cs="Times New Roman"/>
          <w:sz w:val="24"/>
          <w:szCs w:val="24"/>
        </w:rPr>
        <w:t>g</w:t>
      </w:r>
      <w:r>
        <w:rPr>
          <w:rFonts w:ascii="Times New Roman" w:hAnsi="Times New Roman" w:cs="Times New Roman"/>
          <w:sz w:val="24"/>
          <w:szCs w:val="24"/>
        </w:rPr>
        <w:t xml:space="preserve"> that the officer believes, and the grounds for his or her belief, that the property which is the subject of the application is tainted property or terrorist property. </w:t>
      </w:r>
      <w:r w:rsidR="00C123E3">
        <w:rPr>
          <w:rFonts w:ascii="Times New Roman" w:hAnsi="Times New Roman" w:cs="Times New Roman"/>
          <w:sz w:val="24"/>
          <w:szCs w:val="24"/>
        </w:rPr>
        <w:t>However, my view is that when it comes to an application for civil forfeiture, the court can only relate to the contents of affidavit</w:t>
      </w:r>
      <w:r w:rsidR="0048507D">
        <w:rPr>
          <w:rFonts w:ascii="Times New Roman" w:hAnsi="Times New Roman" w:cs="Times New Roman"/>
          <w:sz w:val="24"/>
          <w:szCs w:val="24"/>
        </w:rPr>
        <w:t>s</w:t>
      </w:r>
      <w:r w:rsidR="00C123E3">
        <w:rPr>
          <w:rFonts w:ascii="Times New Roman" w:hAnsi="Times New Roman" w:cs="Times New Roman"/>
          <w:sz w:val="24"/>
          <w:szCs w:val="24"/>
        </w:rPr>
        <w:t xml:space="preserve"> where such affidavits are not defective.  </w:t>
      </w:r>
    </w:p>
    <w:p w:rsidR="00124C4A" w:rsidRDefault="00124C4A" w:rsidP="006D61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s 84 of the MLPCA the High Court Civil Rules apply to this application. Indeed, Counsel argued the application on this basis. I have adverted to various sources of civil law and procedure currently applicable in this jurisdiction. Against this backdrop, the fact that the Prosecutor-General is the beneficiary of an unexplained wealth and asset freezing order granted by this court, in respect of the property the subject of the present application does not, in my view, mean that I must disregard the law governing how facts and evidence should be placed before this court. This Court is a court of law. </w:t>
      </w:r>
      <w:r w:rsidR="00893008">
        <w:rPr>
          <w:rFonts w:ascii="Times New Roman" w:hAnsi="Times New Roman" w:cs="Times New Roman"/>
          <w:sz w:val="24"/>
          <w:szCs w:val="24"/>
        </w:rPr>
        <w:t xml:space="preserve">It operates within the parameters defined by the law. </w:t>
      </w:r>
    </w:p>
    <w:p w:rsidR="00CF0294" w:rsidRDefault="00124C4A" w:rsidP="00124C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of this matter are such that</w:t>
      </w:r>
      <w:r w:rsidR="00893008">
        <w:rPr>
          <w:rFonts w:ascii="Times New Roman" w:hAnsi="Times New Roman" w:cs="Times New Roman"/>
          <w:sz w:val="24"/>
          <w:szCs w:val="24"/>
        </w:rPr>
        <w:t>,</w:t>
      </w:r>
      <w:r>
        <w:rPr>
          <w:rFonts w:ascii="Times New Roman" w:hAnsi="Times New Roman" w:cs="Times New Roman"/>
          <w:sz w:val="24"/>
          <w:szCs w:val="24"/>
        </w:rPr>
        <w:t xml:space="preserve"> absent the depositions of the persons I have alluded to in this judgement</w:t>
      </w:r>
      <w:r w:rsidR="0048507D">
        <w:rPr>
          <w:rFonts w:ascii="Times New Roman" w:hAnsi="Times New Roman" w:cs="Times New Roman"/>
          <w:sz w:val="24"/>
          <w:szCs w:val="24"/>
        </w:rPr>
        <w:t>,</w:t>
      </w:r>
      <w:r>
        <w:rPr>
          <w:rFonts w:ascii="Times New Roman" w:hAnsi="Times New Roman" w:cs="Times New Roman"/>
          <w:sz w:val="24"/>
          <w:szCs w:val="24"/>
        </w:rPr>
        <w:t xml:space="preserve"> the Prosecut</w:t>
      </w:r>
      <w:r w:rsidR="00893008">
        <w:rPr>
          <w:rFonts w:ascii="Times New Roman" w:hAnsi="Times New Roman" w:cs="Times New Roman"/>
          <w:sz w:val="24"/>
          <w:szCs w:val="24"/>
        </w:rPr>
        <w:t>or-General’s founding affidavit</w:t>
      </w:r>
      <w:r>
        <w:rPr>
          <w:rFonts w:ascii="Times New Roman" w:hAnsi="Times New Roman" w:cs="Times New Roman"/>
          <w:sz w:val="24"/>
          <w:szCs w:val="24"/>
        </w:rPr>
        <w:t xml:space="preserve"> is rendered fatally defective. </w:t>
      </w:r>
      <w:r w:rsidR="0048507D">
        <w:rPr>
          <w:rFonts w:ascii="Times New Roman" w:hAnsi="Times New Roman" w:cs="Times New Roman"/>
          <w:sz w:val="24"/>
          <w:szCs w:val="24"/>
        </w:rPr>
        <w:t>It</w:t>
      </w:r>
      <w:r w:rsidR="00893008">
        <w:rPr>
          <w:rFonts w:ascii="Times New Roman" w:hAnsi="Times New Roman" w:cs="Times New Roman"/>
          <w:sz w:val="24"/>
          <w:szCs w:val="24"/>
        </w:rPr>
        <w:t xml:space="preserve"> is a mixture of that which the deponent can swear to and that which he cannot swear to.</w:t>
      </w:r>
      <w:r>
        <w:rPr>
          <w:rFonts w:ascii="Times New Roman" w:hAnsi="Times New Roman" w:cs="Times New Roman"/>
          <w:sz w:val="24"/>
          <w:szCs w:val="24"/>
        </w:rPr>
        <w:t xml:space="preserve"> </w:t>
      </w:r>
      <w:r w:rsidR="00893008">
        <w:rPr>
          <w:rFonts w:ascii="Times New Roman" w:hAnsi="Times New Roman" w:cs="Times New Roman"/>
          <w:sz w:val="24"/>
          <w:szCs w:val="24"/>
        </w:rPr>
        <w:t>The affidavit cannot be severed</w:t>
      </w:r>
      <w:r w:rsidR="0048507D">
        <w:rPr>
          <w:rFonts w:ascii="Times New Roman" w:hAnsi="Times New Roman" w:cs="Times New Roman"/>
          <w:sz w:val="24"/>
          <w:szCs w:val="24"/>
        </w:rPr>
        <w:t>.</w:t>
      </w:r>
      <w:r w:rsidR="00893008">
        <w:rPr>
          <w:rFonts w:ascii="Times New Roman" w:hAnsi="Times New Roman" w:cs="Times New Roman"/>
          <w:sz w:val="24"/>
          <w:szCs w:val="24"/>
        </w:rPr>
        <w:t xml:space="preserve"> </w:t>
      </w:r>
      <w:r w:rsidR="0048507D">
        <w:rPr>
          <w:rFonts w:ascii="Times New Roman" w:hAnsi="Times New Roman" w:cs="Times New Roman"/>
          <w:sz w:val="24"/>
          <w:szCs w:val="24"/>
        </w:rPr>
        <w:t>S</w:t>
      </w:r>
      <w:r w:rsidR="00893008">
        <w:rPr>
          <w:rFonts w:ascii="Times New Roman" w:hAnsi="Times New Roman" w:cs="Times New Roman"/>
          <w:sz w:val="24"/>
          <w:szCs w:val="24"/>
        </w:rPr>
        <w:t>ince it is the only affidavit placed before me in support of the application the result is that the application, too, is fatally defective.</w:t>
      </w:r>
    </w:p>
    <w:p w:rsidR="00124C4A" w:rsidRDefault="00124C4A" w:rsidP="00124C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renders it unnecessary to deal with the second preliminary point raised by the respondents as well as the merits of the matter. </w:t>
      </w:r>
    </w:p>
    <w:p w:rsidR="008242ED" w:rsidRDefault="008242ED" w:rsidP="00CF02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have succeeded on a procedural point. I do not think that this result justifies an order of costs on a punitive scale. </w:t>
      </w:r>
    </w:p>
    <w:p w:rsidR="00CF0294" w:rsidRDefault="00CF0294" w:rsidP="00CF02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the following order shall issue:</w:t>
      </w:r>
    </w:p>
    <w:p w:rsidR="0048507D" w:rsidRDefault="0048507D" w:rsidP="00CF0294">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The preliminary point is upheld.</w:t>
      </w:r>
    </w:p>
    <w:p w:rsidR="00CF0294" w:rsidRPr="00CF0294" w:rsidRDefault="00CF0294" w:rsidP="00CF0294">
      <w:pPr>
        <w:pStyle w:val="ListParagraph"/>
        <w:numPr>
          <w:ilvl w:val="0"/>
          <w:numId w:val="19"/>
        </w:numPr>
        <w:spacing w:after="0" w:line="240" w:lineRule="auto"/>
        <w:jc w:val="both"/>
        <w:rPr>
          <w:rFonts w:ascii="Times New Roman" w:hAnsi="Times New Roman" w:cs="Times New Roman"/>
        </w:rPr>
      </w:pPr>
      <w:r w:rsidRPr="00CF0294">
        <w:rPr>
          <w:rFonts w:ascii="Times New Roman" w:hAnsi="Times New Roman" w:cs="Times New Roman"/>
        </w:rPr>
        <w:t>The application be and is struck off</w:t>
      </w:r>
      <w:r w:rsidR="007C6FA6">
        <w:rPr>
          <w:rFonts w:ascii="Times New Roman" w:hAnsi="Times New Roman" w:cs="Times New Roman"/>
        </w:rPr>
        <w:t xml:space="preserve"> the roll</w:t>
      </w:r>
      <w:r w:rsidRPr="00CF0294">
        <w:rPr>
          <w:rFonts w:ascii="Times New Roman" w:hAnsi="Times New Roman" w:cs="Times New Roman"/>
        </w:rPr>
        <w:t>.</w:t>
      </w:r>
    </w:p>
    <w:p w:rsidR="00CF0294" w:rsidRDefault="00CF0294" w:rsidP="005E7CF0">
      <w:pPr>
        <w:pStyle w:val="ListParagraph"/>
        <w:numPr>
          <w:ilvl w:val="0"/>
          <w:numId w:val="19"/>
        </w:numPr>
        <w:spacing w:after="0" w:line="240" w:lineRule="auto"/>
        <w:jc w:val="both"/>
        <w:rPr>
          <w:rFonts w:ascii="Times New Roman" w:hAnsi="Times New Roman" w:cs="Times New Roman"/>
        </w:rPr>
      </w:pPr>
      <w:r w:rsidRPr="00CF0294">
        <w:rPr>
          <w:rFonts w:ascii="Times New Roman" w:hAnsi="Times New Roman" w:cs="Times New Roman"/>
        </w:rPr>
        <w:t>The applicant shall pay the 1</w:t>
      </w:r>
      <w:r w:rsidRPr="00CF0294">
        <w:rPr>
          <w:rFonts w:ascii="Times New Roman" w:hAnsi="Times New Roman" w:cs="Times New Roman"/>
          <w:vertAlign w:val="superscript"/>
        </w:rPr>
        <w:t>st</w:t>
      </w:r>
      <w:r w:rsidRPr="00CF0294">
        <w:rPr>
          <w:rFonts w:ascii="Times New Roman" w:hAnsi="Times New Roman" w:cs="Times New Roman"/>
        </w:rPr>
        <w:t>, 2</w:t>
      </w:r>
      <w:r w:rsidRPr="00CF0294">
        <w:rPr>
          <w:rFonts w:ascii="Times New Roman" w:hAnsi="Times New Roman" w:cs="Times New Roman"/>
          <w:vertAlign w:val="superscript"/>
        </w:rPr>
        <w:t>nd</w:t>
      </w:r>
      <w:r w:rsidRPr="00CF0294">
        <w:rPr>
          <w:rFonts w:ascii="Times New Roman" w:hAnsi="Times New Roman" w:cs="Times New Roman"/>
        </w:rPr>
        <w:t xml:space="preserve"> and 3</w:t>
      </w:r>
      <w:r w:rsidRPr="00CF0294">
        <w:rPr>
          <w:rFonts w:ascii="Times New Roman" w:hAnsi="Times New Roman" w:cs="Times New Roman"/>
          <w:vertAlign w:val="superscript"/>
        </w:rPr>
        <w:t>rd</w:t>
      </w:r>
      <w:r w:rsidRPr="00CF0294">
        <w:rPr>
          <w:rFonts w:ascii="Times New Roman" w:hAnsi="Times New Roman" w:cs="Times New Roman"/>
        </w:rPr>
        <w:t xml:space="preserve"> respondents’ costs.</w:t>
      </w:r>
    </w:p>
    <w:p w:rsidR="005E7CF0" w:rsidRDefault="005E7CF0" w:rsidP="005E7CF0">
      <w:pPr>
        <w:pStyle w:val="ListParagraph"/>
        <w:spacing w:after="0" w:line="240" w:lineRule="auto"/>
        <w:ind w:left="1080"/>
        <w:jc w:val="both"/>
        <w:rPr>
          <w:rFonts w:ascii="Times New Roman" w:hAnsi="Times New Roman" w:cs="Times New Roman"/>
        </w:rPr>
      </w:pPr>
    </w:p>
    <w:p w:rsidR="005E7CF0" w:rsidRDefault="005E7CF0" w:rsidP="005E7CF0">
      <w:pPr>
        <w:pStyle w:val="ListParagraph"/>
        <w:spacing w:after="0" w:line="240" w:lineRule="auto"/>
        <w:ind w:left="1080"/>
        <w:jc w:val="both"/>
        <w:rPr>
          <w:rFonts w:ascii="Times New Roman" w:hAnsi="Times New Roman" w:cs="Times New Roman"/>
        </w:rPr>
      </w:pPr>
    </w:p>
    <w:p w:rsidR="005E7CF0" w:rsidRDefault="005E7CF0" w:rsidP="005E7CF0">
      <w:pPr>
        <w:pStyle w:val="ListParagraph"/>
        <w:spacing w:after="0" w:line="240" w:lineRule="auto"/>
        <w:ind w:left="1080"/>
        <w:jc w:val="both"/>
        <w:rPr>
          <w:rFonts w:ascii="Times New Roman" w:hAnsi="Times New Roman" w:cs="Times New Roman"/>
        </w:rPr>
      </w:pPr>
    </w:p>
    <w:p w:rsidR="005E7CF0" w:rsidRDefault="005E7CF0" w:rsidP="005E7CF0">
      <w:pPr>
        <w:pStyle w:val="ListParagraph"/>
        <w:spacing w:after="0" w:line="240" w:lineRule="auto"/>
        <w:ind w:left="1080"/>
        <w:jc w:val="both"/>
        <w:rPr>
          <w:rFonts w:ascii="Times New Roman" w:hAnsi="Times New Roman" w:cs="Times New Roman"/>
        </w:rPr>
      </w:pPr>
    </w:p>
    <w:p w:rsidR="005E7CF0" w:rsidRPr="005E7CF0" w:rsidRDefault="005E7CF0" w:rsidP="005E7CF0">
      <w:pPr>
        <w:pStyle w:val="ListParagraph"/>
        <w:spacing w:after="0" w:line="240" w:lineRule="auto"/>
        <w:ind w:left="1080"/>
        <w:jc w:val="both"/>
        <w:rPr>
          <w:rFonts w:ascii="Times New Roman" w:hAnsi="Times New Roman" w:cs="Times New Roman"/>
        </w:rPr>
      </w:pPr>
    </w:p>
    <w:p w:rsidR="00CF0294" w:rsidRDefault="00CF0294" w:rsidP="00CF02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The National Prosecuting Authority</w:t>
      </w:r>
      <w:r>
        <w:rPr>
          <w:rFonts w:ascii="Times New Roman" w:hAnsi="Times New Roman" w:cs="Times New Roman"/>
          <w:sz w:val="24"/>
          <w:szCs w:val="24"/>
        </w:rPr>
        <w:t>, applicant’s legal practitioners</w:t>
      </w:r>
    </w:p>
    <w:p w:rsidR="00CF0294" w:rsidRDefault="00CF0294" w:rsidP="00CF02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Dondo &amp; Partners</w:t>
      </w:r>
      <w:r>
        <w:rPr>
          <w:rFonts w:ascii="Times New Roman" w:hAnsi="Times New Roman" w:cs="Times New Roman"/>
          <w:sz w:val="24"/>
          <w:szCs w:val="24"/>
        </w:rPr>
        <w:t>, 1</w:t>
      </w:r>
      <w:r>
        <w:rPr>
          <w:rFonts w:ascii="Times New Roman" w:hAnsi="Times New Roman" w:cs="Times New Roman"/>
          <w:sz w:val="24"/>
          <w:szCs w:val="24"/>
          <w:vertAlign w:val="superscript"/>
        </w:rPr>
        <w:t>st</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F0294" w:rsidRDefault="00CF0294" w:rsidP="00FA38BB">
      <w:pPr>
        <w:spacing w:after="0" w:line="360" w:lineRule="auto"/>
        <w:jc w:val="both"/>
        <w:rPr>
          <w:rFonts w:ascii="Times New Roman" w:hAnsi="Times New Roman" w:cs="Times New Roman"/>
          <w:sz w:val="24"/>
          <w:szCs w:val="24"/>
        </w:rPr>
      </w:pPr>
    </w:p>
    <w:p w:rsidR="00CD5A1D" w:rsidRPr="00DE76E2" w:rsidRDefault="00CD5A1D" w:rsidP="00DE76E2">
      <w:pPr>
        <w:pStyle w:val="ListParagraph"/>
        <w:spacing w:after="0" w:line="240" w:lineRule="auto"/>
        <w:ind w:left="1080"/>
        <w:jc w:val="both"/>
        <w:rPr>
          <w:rFonts w:ascii="Times New Roman" w:hAnsi="Times New Roman" w:cs="Times New Roman"/>
          <w:lang w:val="en-GB"/>
        </w:rPr>
      </w:pPr>
    </w:p>
    <w:sectPr w:rsidR="00CD5A1D" w:rsidRPr="00DE76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596" w:rsidRDefault="00B63596" w:rsidP="00EB2C21">
      <w:pPr>
        <w:spacing w:after="0" w:line="240" w:lineRule="auto"/>
      </w:pPr>
      <w:r>
        <w:separator/>
      </w:r>
    </w:p>
  </w:endnote>
  <w:endnote w:type="continuationSeparator" w:id="0">
    <w:p w:rsidR="00B63596" w:rsidRDefault="00B63596"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596" w:rsidRDefault="00B63596" w:rsidP="00EB2C21">
      <w:pPr>
        <w:spacing w:after="0" w:line="240" w:lineRule="auto"/>
      </w:pPr>
      <w:r>
        <w:separator/>
      </w:r>
    </w:p>
  </w:footnote>
  <w:footnote w:type="continuationSeparator" w:id="0">
    <w:p w:rsidR="00B63596" w:rsidRDefault="00B63596"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093AE6">
          <w:rPr>
            <w:noProof/>
          </w:rPr>
          <w:t>1</w:t>
        </w:r>
        <w:r>
          <w:rPr>
            <w:noProof/>
          </w:rPr>
          <w:fldChar w:fldCharType="end"/>
        </w:r>
      </w:p>
      <w:p w:rsidR="008072FB" w:rsidRDefault="00A43544">
        <w:pPr>
          <w:pStyle w:val="Header"/>
          <w:jc w:val="right"/>
          <w:rPr>
            <w:noProof/>
          </w:rPr>
        </w:pPr>
        <w:r>
          <w:rPr>
            <w:noProof/>
          </w:rPr>
          <w:t xml:space="preserve">HH </w:t>
        </w:r>
        <w:r w:rsidR="00065B13">
          <w:rPr>
            <w:noProof/>
          </w:rPr>
          <w:t>377-21</w:t>
        </w:r>
      </w:p>
      <w:p w:rsidR="004B5D87" w:rsidRDefault="006F205F">
        <w:pPr>
          <w:pStyle w:val="Header"/>
          <w:jc w:val="right"/>
          <w:rPr>
            <w:noProof/>
          </w:rPr>
        </w:pPr>
        <w:r>
          <w:rPr>
            <w:noProof/>
          </w:rPr>
          <w:t xml:space="preserve">HACC </w:t>
        </w:r>
        <w:r w:rsidR="00907C8C">
          <w:rPr>
            <w:noProof/>
          </w:rPr>
          <w:t>14/20</w:t>
        </w:r>
      </w:p>
      <w:p w:rsidR="00EB2C21" w:rsidRDefault="00B63596">
        <w:pPr>
          <w:pStyle w:val="Header"/>
          <w:jc w:val="right"/>
        </w:pPr>
      </w:p>
    </w:sdtContent>
  </w:sdt>
  <w:p w:rsidR="00EB2C21" w:rsidRDefault="00EB2C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266C"/>
    <w:multiLevelType w:val="hybridMultilevel"/>
    <w:tmpl w:val="000C1060"/>
    <w:lvl w:ilvl="0" w:tplc="F62C782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CEF5F06"/>
    <w:multiLevelType w:val="hybridMultilevel"/>
    <w:tmpl w:val="EFC85C5A"/>
    <w:lvl w:ilvl="0" w:tplc="616AAA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3"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0B49D5"/>
    <w:multiLevelType w:val="hybridMultilevel"/>
    <w:tmpl w:val="4254ECCA"/>
    <w:lvl w:ilvl="0" w:tplc="30090019">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4A43397"/>
    <w:multiLevelType w:val="hybridMultilevel"/>
    <w:tmpl w:val="76725496"/>
    <w:lvl w:ilvl="0" w:tplc="915CFC9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74E45DC"/>
    <w:multiLevelType w:val="hybridMultilevel"/>
    <w:tmpl w:val="5C36EE88"/>
    <w:lvl w:ilvl="0" w:tplc="FC7A71DA">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3"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5" w15:restartNumberingAfterBreak="0">
    <w:nsid w:val="5C67287D"/>
    <w:multiLevelType w:val="hybridMultilevel"/>
    <w:tmpl w:val="01045E28"/>
    <w:lvl w:ilvl="0" w:tplc="B8DA27F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7"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8"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9" w15:restartNumberingAfterBreak="0">
    <w:nsid w:val="7022140F"/>
    <w:multiLevelType w:val="hybridMultilevel"/>
    <w:tmpl w:val="3E769192"/>
    <w:lvl w:ilvl="0" w:tplc="9F4CBF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num>
  <w:num w:numId="2">
    <w:abstractNumId w:val="13"/>
  </w:num>
  <w:num w:numId="3">
    <w:abstractNumId w:val="7"/>
  </w:num>
  <w:num w:numId="4">
    <w:abstractNumId w:val="18"/>
  </w:num>
  <w:num w:numId="5">
    <w:abstractNumId w:val="14"/>
  </w:num>
  <w:num w:numId="6">
    <w:abstractNumId w:val="17"/>
  </w:num>
  <w:num w:numId="7">
    <w:abstractNumId w:val="2"/>
  </w:num>
  <w:num w:numId="8">
    <w:abstractNumId w:val="16"/>
  </w:num>
  <w:num w:numId="9">
    <w:abstractNumId w:val="3"/>
  </w:num>
  <w:num w:numId="10">
    <w:abstractNumId w:val="10"/>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15"/>
  </w:num>
  <w:num w:numId="16">
    <w:abstractNumId w:val="1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03769"/>
    <w:rsid w:val="000504A1"/>
    <w:rsid w:val="000575F7"/>
    <w:rsid w:val="00065B13"/>
    <w:rsid w:val="00075374"/>
    <w:rsid w:val="000816CE"/>
    <w:rsid w:val="00093AE6"/>
    <w:rsid w:val="000D6310"/>
    <w:rsid w:val="000F5711"/>
    <w:rsid w:val="00105936"/>
    <w:rsid w:val="00110CD1"/>
    <w:rsid w:val="00123A81"/>
    <w:rsid w:val="00124C4A"/>
    <w:rsid w:val="00126423"/>
    <w:rsid w:val="001313BB"/>
    <w:rsid w:val="0016187B"/>
    <w:rsid w:val="00174FBB"/>
    <w:rsid w:val="00187F63"/>
    <w:rsid w:val="00195E1C"/>
    <w:rsid w:val="001C4FC0"/>
    <w:rsid w:val="001F12A6"/>
    <w:rsid w:val="002046E9"/>
    <w:rsid w:val="00252508"/>
    <w:rsid w:val="002A3834"/>
    <w:rsid w:val="002E1B81"/>
    <w:rsid w:val="00323F21"/>
    <w:rsid w:val="00325172"/>
    <w:rsid w:val="00327AA4"/>
    <w:rsid w:val="0033615F"/>
    <w:rsid w:val="003826FC"/>
    <w:rsid w:val="003839DA"/>
    <w:rsid w:val="003E62E7"/>
    <w:rsid w:val="003F7411"/>
    <w:rsid w:val="00402DC9"/>
    <w:rsid w:val="00430A24"/>
    <w:rsid w:val="00465561"/>
    <w:rsid w:val="004658E7"/>
    <w:rsid w:val="00474763"/>
    <w:rsid w:val="0048507D"/>
    <w:rsid w:val="00492EF1"/>
    <w:rsid w:val="004A3E6F"/>
    <w:rsid w:val="004B5D87"/>
    <w:rsid w:val="004B6F64"/>
    <w:rsid w:val="004C54B4"/>
    <w:rsid w:val="004C5519"/>
    <w:rsid w:val="004D298F"/>
    <w:rsid w:val="004D63BF"/>
    <w:rsid w:val="004E7675"/>
    <w:rsid w:val="0053440B"/>
    <w:rsid w:val="00540FE3"/>
    <w:rsid w:val="00542A14"/>
    <w:rsid w:val="0054307D"/>
    <w:rsid w:val="00551827"/>
    <w:rsid w:val="00564AA8"/>
    <w:rsid w:val="00586579"/>
    <w:rsid w:val="0059523A"/>
    <w:rsid w:val="005E7CF0"/>
    <w:rsid w:val="006025B6"/>
    <w:rsid w:val="0064018B"/>
    <w:rsid w:val="0067508A"/>
    <w:rsid w:val="00692CCD"/>
    <w:rsid w:val="006C571B"/>
    <w:rsid w:val="006D61EB"/>
    <w:rsid w:val="006F205F"/>
    <w:rsid w:val="0070063A"/>
    <w:rsid w:val="00700883"/>
    <w:rsid w:val="00733F92"/>
    <w:rsid w:val="00735722"/>
    <w:rsid w:val="007B51E5"/>
    <w:rsid w:val="007C6FA6"/>
    <w:rsid w:val="008072FB"/>
    <w:rsid w:val="00814AA4"/>
    <w:rsid w:val="008242ED"/>
    <w:rsid w:val="00862B0A"/>
    <w:rsid w:val="00893008"/>
    <w:rsid w:val="008974D9"/>
    <w:rsid w:val="008B668E"/>
    <w:rsid w:val="008C1905"/>
    <w:rsid w:val="008C687D"/>
    <w:rsid w:val="008D1ADA"/>
    <w:rsid w:val="008D3187"/>
    <w:rsid w:val="008F20AF"/>
    <w:rsid w:val="00907C8C"/>
    <w:rsid w:val="009316CC"/>
    <w:rsid w:val="00936341"/>
    <w:rsid w:val="009642BB"/>
    <w:rsid w:val="009D092E"/>
    <w:rsid w:val="009E3EE5"/>
    <w:rsid w:val="00A21709"/>
    <w:rsid w:val="00A43544"/>
    <w:rsid w:val="00A51B9C"/>
    <w:rsid w:val="00A70168"/>
    <w:rsid w:val="00AC6BEF"/>
    <w:rsid w:val="00AE6171"/>
    <w:rsid w:val="00B044BD"/>
    <w:rsid w:val="00B21A35"/>
    <w:rsid w:val="00B32061"/>
    <w:rsid w:val="00B44080"/>
    <w:rsid w:val="00B62C3E"/>
    <w:rsid w:val="00B63596"/>
    <w:rsid w:val="00B76135"/>
    <w:rsid w:val="00B90E75"/>
    <w:rsid w:val="00BB5F0F"/>
    <w:rsid w:val="00BD08BE"/>
    <w:rsid w:val="00BD2971"/>
    <w:rsid w:val="00BF093A"/>
    <w:rsid w:val="00BF1381"/>
    <w:rsid w:val="00BF3330"/>
    <w:rsid w:val="00C0329C"/>
    <w:rsid w:val="00C115C6"/>
    <w:rsid w:val="00C123E3"/>
    <w:rsid w:val="00C537AA"/>
    <w:rsid w:val="00C53D6D"/>
    <w:rsid w:val="00C577F0"/>
    <w:rsid w:val="00C9682C"/>
    <w:rsid w:val="00CD5A1D"/>
    <w:rsid w:val="00CF0294"/>
    <w:rsid w:val="00D32A87"/>
    <w:rsid w:val="00D615A5"/>
    <w:rsid w:val="00D67423"/>
    <w:rsid w:val="00D9381D"/>
    <w:rsid w:val="00DA73A2"/>
    <w:rsid w:val="00DD17A6"/>
    <w:rsid w:val="00DD223B"/>
    <w:rsid w:val="00DE226E"/>
    <w:rsid w:val="00DE76E2"/>
    <w:rsid w:val="00E05753"/>
    <w:rsid w:val="00E536B8"/>
    <w:rsid w:val="00E550C9"/>
    <w:rsid w:val="00E7647F"/>
    <w:rsid w:val="00EA1118"/>
    <w:rsid w:val="00EA5C4B"/>
    <w:rsid w:val="00EA6814"/>
    <w:rsid w:val="00EB2C21"/>
    <w:rsid w:val="00EC66DC"/>
    <w:rsid w:val="00ED2884"/>
    <w:rsid w:val="00ED3469"/>
    <w:rsid w:val="00EE3900"/>
    <w:rsid w:val="00F34BDF"/>
    <w:rsid w:val="00F42462"/>
    <w:rsid w:val="00F91A96"/>
    <w:rsid w:val="00FA38BB"/>
    <w:rsid w:val="00FB278B"/>
    <w:rsid w:val="00FC1205"/>
    <w:rsid w:val="00FD6237"/>
    <w:rsid w:val="00FE45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 w:type="paragraph" w:styleId="FootnoteText">
    <w:name w:val="footnote text"/>
    <w:basedOn w:val="Normal"/>
    <w:link w:val="FootnoteTextChar"/>
    <w:uiPriority w:val="99"/>
    <w:semiHidden/>
    <w:unhideWhenUsed/>
    <w:rsid w:val="00FA38B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FA38BB"/>
    <w:rPr>
      <w:sz w:val="20"/>
      <w:szCs w:val="20"/>
      <w:lang w:val="en-US"/>
    </w:rPr>
  </w:style>
  <w:style w:type="character" w:styleId="FootnoteReference">
    <w:name w:val="footnote reference"/>
    <w:basedOn w:val="DefaultParagraphFont"/>
    <w:uiPriority w:val="99"/>
    <w:semiHidden/>
    <w:unhideWhenUsed/>
    <w:rsid w:val="00FA38BB"/>
    <w:rPr>
      <w:vertAlign w:val="superscript"/>
    </w:rPr>
  </w:style>
  <w:style w:type="paragraph" w:styleId="BalloonText">
    <w:name w:val="Balloon Text"/>
    <w:basedOn w:val="Normal"/>
    <w:link w:val="BalloonTextChar"/>
    <w:uiPriority w:val="99"/>
    <w:semiHidden/>
    <w:unhideWhenUsed/>
    <w:rsid w:val="00897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551967500">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 w:id="977760071">
      <w:bodyDiv w:val="1"/>
      <w:marLeft w:val="0"/>
      <w:marRight w:val="0"/>
      <w:marTop w:val="0"/>
      <w:marBottom w:val="0"/>
      <w:divBdr>
        <w:top w:val="none" w:sz="0" w:space="0" w:color="auto"/>
        <w:left w:val="none" w:sz="0" w:space="0" w:color="auto"/>
        <w:bottom w:val="none" w:sz="0" w:space="0" w:color="auto"/>
        <w:right w:val="none" w:sz="0" w:space="0" w:color="auto"/>
      </w:divBdr>
    </w:div>
    <w:div w:id="1145897427">
      <w:bodyDiv w:val="1"/>
      <w:marLeft w:val="0"/>
      <w:marRight w:val="0"/>
      <w:marTop w:val="0"/>
      <w:marBottom w:val="0"/>
      <w:divBdr>
        <w:top w:val="none" w:sz="0" w:space="0" w:color="auto"/>
        <w:left w:val="none" w:sz="0" w:space="0" w:color="auto"/>
        <w:bottom w:val="none" w:sz="0" w:space="0" w:color="auto"/>
        <w:right w:val="none" w:sz="0" w:space="0" w:color="auto"/>
      </w:divBdr>
    </w:div>
    <w:div w:id="19225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2021-07-20T07:51:00Z</cp:lastPrinted>
  <dcterms:created xsi:type="dcterms:W3CDTF">2021-08-06T11:04:00Z</dcterms:created>
  <dcterms:modified xsi:type="dcterms:W3CDTF">2021-08-06T11:04:00Z</dcterms:modified>
</cp:coreProperties>
</file>