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976DF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PROSECUTOR GENERAL </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976DF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MAGRET MUKAHANANA SANGARWE</w:t>
      </w:r>
    </w:p>
    <w:p w:rsidR="00AB7CC6"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r w:rsidR="00AB7CC6">
        <w:rPr>
          <w:rFonts w:ascii="Times New Roman" w:hAnsi="Times New Roman" w:cs="Times New Roman"/>
          <w:sz w:val="24"/>
          <w:szCs w:val="24"/>
          <w:lang w:val="en-GB"/>
        </w:rPr>
        <w:t xml:space="preserve"> </w:t>
      </w:r>
    </w:p>
    <w:p w:rsidR="00AB7CC6" w:rsidRDefault="00976DF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SUSSANA MAKOME KUHUDZAYI</w:t>
      </w:r>
    </w:p>
    <w:p w:rsidR="00AB7CC6"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AB7CC6" w:rsidRDefault="00976DF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WALTER MUZEMBI</w:t>
      </w:r>
    </w:p>
    <w:p w:rsidR="008E783D"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(Fugitive from Justice)</w:t>
      </w:r>
    </w:p>
    <w:p w:rsidR="008A5F71"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AB7CC6"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AARON DZINGIRA MUSHORIWA</w:t>
      </w:r>
    </w:p>
    <w:p w:rsidR="008A5F71"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AB7CC6"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GREY HAMA</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AB7CC6"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MANGOTA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AB7CC6">
        <w:rPr>
          <w:rFonts w:ascii="Times New Roman" w:hAnsi="Times New Roman" w:cs="Times New Roman"/>
          <w:sz w:val="24"/>
          <w:szCs w:val="24"/>
          <w:lang w:val="en-GB"/>
        </w:rPr>
        <w:t>2</w:t>
      </w:r>
      <w:r w:rsidR="008E783D">
        <w:rPr>
          <w:rFonts w:ascii="Times New Roman" w:hAnsi="Times New Roman" w:cs="Times New Roman"/>
          <w:sz w:val="24"/>
          <w:szCs w:val="24"/>
          <w:lang w:val="en-GB"/>
        </w:rPr>
        <w:t>5</w:t>
      </w:r>
      <w:r w:rsidR="00AB7CC6">
        <w:rPr>
          <w:rFonts w:ascii="Times New Roman" w:hAnsi="Times New Roman" w:cs="Times New Roman"/>
          <w:sz w:val="24"/>
          <w:szCs w:val="24"/>
          <w:lang w:val="en-GB"/>
        </w:rPr>
        <w:t xml:space="preserve"> </w:t>
      </w:r>
      <w:r w:rsidR="008E783D">
        <w:rPr>
          <w:rFonts w:ascii="Times New Roman" w:hAnsi="Times New Roman" w:cs="Times New Roman"/>
          <w:sz w:val="24"/>
          <w:szCs w:val="24"/>
          <w:lang w:val="en-GB"/>
        </w:rPr>
        <w:t>November,</w:t>
      </w:r>
      <w:r w:rsidR="00AB7CC6">
        <w:rPr>
          <w:rFonts w:ascii="Times New Roman" w:hAnsi="Times New Roman" w:cs="Times New Roman"/>
          <w:sz w:val="24"/>
          <w:szCs w:val="24"/>
          <w:lang w:val="en-GB"/>
        </w:rPr>
        <w:t xml:space="preserve"> 2020</w:t>
      </w:r>
      <w:r w:rsidR="00563447">
        <w:rPr>
          <w:rFonts w:ascii="Times New Roman" w:hAnsi="Times New Roman" w:cs="Times New Roman"/>
          <w:sz w:val="24"/>
          <w:szCs w:val="24"/>
          <w:lang w:val="en-GB"/>
        </w:rPr>
        <w:t xml:space="preserve"> &amp; 12 March, 2021</w:t>
      </w:r>
    </w:p>
    <w:p w:rsidR="00EA5C4B" w:rsidRDefault="00EA5C4B" w:rsidP="00C0329C">
      <w:pPr>
        <w:jc w:val="both"/>
        <w:rPr>
          <w:rFonts w:ascii="Times New Roman" w:hAnsi="Times New Roman" w:cs="Times New Roman"/>
          <w:sz w:val="24"/>
          <w:szCs w:val="24"/>
          <w:lang w:val="en-GB"/>
        </w:rPr>
      </w:pPr>
    </w:p>
    <w:p w:rsidR="008072FB" w:rsidRPr="00B21A35" w:rsidRDefault="00AB7CC6" w:rsidP="00C0329C">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Opposed application </w:t>
      </w:r>
    </w:p>
    <w:p w:rsidR="00EA5C4B" w:rsidRDefault="00EA5C4B" w:rsidP="00C0329C">
      <w:pPr>
        <w:spacing w:after="0" w:line="240" w:lineRule="auto"/>
        <w:jc w:val="both"/>
        <w:rPr>
          <w:rFonts w:ascii="Times New Roman" w:hAnsi="Times New Roman" w:cs="Times New Roman"/>
          <w:sz w:val="24"/>
          <w:szCs w:val="24"/>
          <w:lang w:val="en-GB"/>
        </w:rPr>
      </w:pPr>
    </w:p>
    <w:p w:rsidR="00EE41B0" w:rsidRDefault="00EE41B0" w:rsidP="00C0329C">
      <w:pPr>
        <w:spacing w:after="0" w:line="240" w:lineRule="auto"/>
        <w:jc w:val="both"/>
        <w:rPr>
          <w:rFonts w:ascii="Times New Roman" w:hAnsi="Times New Roman" w:cs="Times New Roman"/>
          <w:sz w:val="24"/>
          <w:szCs w:val="24"/>
          <w:lang w:val="en-GB"/>
        </w:rPr>
      </w:pPr>
    </w:p>
    <w:p w:rsidR="00EE41B0" w:rsidRDefault="00EE41B0" w:rsidP="00C0329C">
      <w:pPr>
        <w:spacing w:after="0" w:line="240" w:lineRule="auto"/>
        <w:jc w:val="both"/>
        <w:rPr>
          <w:rFonts w:ascii="Times New Roman" w:hAnsi="Times New Roman" w:cs="Times New Roman"/>
          <w:sz w:val="24"/>
          <w:szCs w:val="24"/>
          <w:lang w:val="en-GB"/>
        </w:rPr>
      </w:pPr>
      <w:r w:rsidRPr="00EE41B0">
        <w:rPr>
          <w:rFonts w:ascii="Times New Roman" w:hAnsi="Times New Roman" w:cs="Times New Roman"/>
          <w:i/>
          <w:sz w:val="24"/>
          <w:szCs w:val="24"/>
          <w:lang w:val="en-GB"/>
        </w:rPr>
        <w:t>T. Kasema</w:t>
      </w:r>
      <w:r>
        <w:rPr>
          <w:rFonts w:ascii="Times New Roman" w:hAnsi="Times New Roman" w:cs="Times New Roman"/>
          <w:sz w:val="24"/>
          <w:szCs w:val="24"/>
          <w:lang w:val="en-GB"/>
        </w:rPr>
        <w:t>, for the applicant</w:t>
      </w:r>
    </w:p>
    <w:p w:rsidR="00EE41B0" w:rsidRDefault="00EE41B0" w:rsidP="00C0329C">
      <w:pPr>
        <w:spacing w:after="0" w:line="240" w:lineRule="auto"/>
        <w:jc w:val="both"/>
        <w:rPr>
          <w:rFonts w:ascii="Times New Roman" w:hAnsi="Times New Roman" w:cs="Times New Roman"/>
          <w:sz w:val="24"/>
          <w:szCs w:val="24"/>
          <w:lang w:val="en-GB"/>
        </w:rPr>
      </w:pPr>
      <w:r w:rsidRPr="00EE41B0">
        <w:rPr>
          <w:rFonts w:ascii="Times New Roman" w:hAnsi="Times New Roman" w:cs="Times New Roman"/>
          <w:i/>
          <w:sz w:val="24"/>
          <w:szCs w:val="24"/>
          <w:lang w:val="en-GB"/>
        </w:rPr>
        <w:t>W. Muchengeti</w:t>
      </w:r>
      <w:r>
        <w:rPr>
          <w:rFonts w:ascii="Times New Roman" w:hAnsi="Times New Roman" w:cs="Times New Roman"/>
          <w:sz w:val="24"/>
          <w:szCs w:val="24"/>
          <w:lang w:val="en-GB"/>
        </w:rPr>
        <w:t>, for the 1</w:t>
      </w:r>
      <w:r w:rsidRPr="00EE41B0">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w:t>
      </w:r>
    </w:p>
    <w:p w:rsidR="00EE41B0" w:rsidRDefault="00EE41B0" w:rsidP="00C0329C">
      <w:pPr>
        <w:spacing w:after="0" w:line="240" w:lineRule="auto"/>
        <w:jc w:val="both"/>
        <w:rPr>
          <w:rFonts w:ascii="Times New Roman" w:hAnsi="Times New Roman" w:cs="Times New Roman"/>
          <w:sz w:val="24"/>
          <w:szCs w:val="24"/>
          <w:lang w:val="en-GB"/>
        </w:rPr>
      </w:pPr>
      <w:r w:rsidRPr="00EE41B0">
        <w:rPr>
          <w:rFonts w:ascii="Times New Roman" w:hAnsi="Times New Roman" w:cs="Times New Roman"/>
          <w:i/>
          <w:sz w:val="24"/>
          <w:szCs w:val="24"/>
          <w:lang w:val="en-GB"/>
        </w:rPr>
        <w:t>S. Hashiti</w:t>
      </w:r>
      <w:r>
        <w:rPr>
          <w:rFonts w:ascii="Times New Roman" w:hAnsi="Times New Roman" w:cs="Times New Roman"/>
          <w:sz w:val="24"/>
          <w:szCs w:val="24"/>
          <w:lang w:val="en-GB"/>
        </w:rPr>
        <w:t>, for the 3</w:t>
      </w:r>
      <w:r w:rsidRPr="00EE41B0">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Respondent</w:t>
      </w:r>
    </w:p>
    <w:p w:rsidR="00EE41B0" w:rsidRDefault="00EE41B0" w:rsidP="00C0329C">
      <w:pPr>
        <w:spacing w:after="0" w:line="240" w:lineRule="auto"/>
        <w:jc w:val="both"/>
        <w:rPr>
          <w:rFonts w:ascii="Times New Roman" w:hAnsi="Times New Roman" w:cs="Times New Roman"/>
          <w:sz w:val="24"/>
          <w:szCs w:val="24"/>
          <w:lang w:val="en-GB"/>
        </w:rPr>
      </w:pPr>
    </w:p>
    <w:p w:rsidR="00AB7CC6" w:rsidRDefault="00EA5C4B" w:rsidP="008E783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B7CC6">
        <w:rPr>
          <w:rFonts w:ascii="Times New Roman" w:hAnsi="Times New Roman" w:cs="Times New Roman"/>
          <w:sz w:val="24"/>
          <w:szCs w:val="24"/>
          <w:lang w:val="en-GB"/>
        </w:rPr>
        <w:t>MANGOTA</w:t>
      </w:r>
      <w:r>
        <w:rPr>
          <w:rFonts w:ascii="Times New Roman" w:hAnsi="Times New Roman" w:cs="Times New Roman"/>
          <w:sz w:val="24"/>
          <w:szCs w:val="24"/>
          <w:lang w:val="en-GB"/>
        </w:rPr>
        <w:t xml:space="preserve"> J: </w:t>
      </w:r>
      <w:r w:rsidR="008E783D">
        <w:rPr>
          <w:rFonts w:ascii="Times New Roman" w:hAnsi="Times New Roman" w:cs="Times New Roman"/>
          <w:sz w:val="24"/>
          <w:szCs w:val="24"/>
          <w:lang w:val="en-GB"/>
        </w:rPr>
        <w:t>In 2013, Zimbabwe and Zambia successfully co-hosted the 20</w:t>
      </w:r>
      <w:r w:rsidR="00E32C8D" w:rsidRPr="00E32C8D">
        <w:rPr>
          <w:rFonts w:ascii="Times New Roman" w:hAnsi="Times New Roman" w:cs="Times New Roman"/>
          <w:sz w:val="24"/>
          <w:szCs w:val="24"/>
          <w:vertAlign w:val="superscript"/>
          <w:lang w:val="en-GB"/>
        </w:rPr>
        <w:t>th</w:t>
      </w:r>
      <w:r w:rsidR="008E783D">
        <w:rPr>
          <w:rFonts w:ascii="Times New Roman" w:hAnsi="Times New Roman" w:cs="Times New Roman"/>
          <w:sz w:val="24"/>
          <w:szCs w:val="24"/>
          <w:lang w:val="en-GB"/>
        </w:rPr>
        <w:t xml:space="preserve"> United Nations World </w:t>
      </w:r>
      <w:r w:rsidR="00E32C8D">
        <w:rPr>
          <w:rFonts w:ascii="Times New Roman" w:hAnsi="Times New Roman" w:cs="Times New Roman"/>
          <w:sz w:val="24"/>
          <w:szCs w:val="24"/>
          <w:lang w:val="en-GB"/>
        </w:rPr>
        <w:t>T</w:t>
      </w:r>
      <w:r w:rsidR="008E783D">
        <w:rPr>
          <w:rFonts w:ascii="Times New Roman" w:hAnsi="Times New Roman" w:cs="Times New Roman"/>
          <w:sz w:val="24"/>
          <w:szCs w:val="24"/>
          <w:lang w:val="en-GB"/>
        </w:rPr>
        <w:t>ourism Organisation (“UNWTO”) Conference. The event ran</w:t>
      </w:r>
      <w:r w:rsidR="00F46BD8">
        <w:rPr>
          <w:rFonts w:ascii="Times New Roman" w:hAnsi="Times New Roman" w:cs="Times New Roman"/>
          <w:sz w:val="24"/>
          <w:szCs w:val="24"/>
          <w:lang w:val="en-GB"/>
        </w:rPr>
        <w:t xml:space="preserve"> for the period 25</w:t>
      </w:r>
      <w:r w:rsidR="00F46BD8" w:rsidRPr="00F46BD8">
        <w:rPr>
          <w:rFonts w:ascii="Times New Roman" w:hAnsi="Times New Roman" w:cs="Times New Roman"/>
          <w:sz w:val="24"/>
          <w:szCs w:val="24"/>
          <w:vertAlign w:val="superscript"/>
          <w:lang w:val="en-GB"/>
        </w:rPr>
        <w:t>th</w:t>
      </w:r>
      <w:r w:rsidR="00F46BD8">
        <w:rPr>
          <w:rFonts w:ascii="Times New Roman" w:hAnsi="Times New Roman" w:cs="Times New Roman"/>
          <w:sz w:val="24"/>
          <w:szCs w:val="24"/>
          <w:lang w:val="en-GB"/>
        </w:rPr>
        <w:t xml:space="preserve"> </w:t>
      </w:r>
      <w:r w:rsidR="00E32C8D">
        <w:rPr>
          <w:rFonts w:ascii="Times New Roman" w:hAnsi="Times New Roman" w:cs="Times New Roman"/>
          <w:sz w:val="24"/>
          <w:szCs w:val="24"/>
          <w:lang w:val="en-GB"/>
        </w:rPr>
        <w:t>to 30</w:t>
      </w:r>
      <w:r w:rsidR="00E32C8D" w:rsidRPr="00E32C8D">
        <w:rPr>
          <w:rFonts w:ascii="Times New Roman" w:hAnsi="Times New Roman" w:cs="Times New Roman"/>
          <w:sz w:val="24"/>
          <w:szCs w:val="24"/>
          <w:vertAlign w:val="superscript"/>
          <w:lang w:val="en-GB"/>
        </w:rPr>
        <w:t>th</w:t>
      </w:r>
      <w:r w:rsidR="008E783D">
        <w:rPr>
          <w:rFonts w:ascii="Times New Roman" w:hAnsi="Times New Roman" w:cs="Times New Roman"/>
          <w:sz w:val="24"/>
          <w:szCs w:val="24"/>
          <w:lang w:val="en-GB"/>
        </w:rPr>
        <w:t xml:space="preserve"> August, 2013. </w:t>
      </w:r>
    </w:p>
    <w:p w:rsidR="008E783D" w:rsidRDefault="00AB7CC6" w:rsidP="00AB7CC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E783D">
        <w:rPr>
          <w:rFonts w:ascii="Times New Roman" w:hAnsi="Times New Roman" w:cs="Times New Roman"/>
          <w:sz w:val="24"/>
          <w:szCs w:val="24"/>
          <w:lang w:val="en-GB"/>
        </w:rPr>
        <w:t>The magnitude of the conference required a lot of planning and preparation. It is in the mentioned spirit that Government appointed the second and fourth respondents</w:t>
      </w:r>
      <w:r w:rsidR="00E32C8D">
        <w:rPr>
          <w:rFonts w:ascii="Times New Roman" w:hAnsi="Times New Roman" w:cs="Times New Roman"/>
          <w:sz w:val="24"/>
          <w:szCs w:val="24"/>
          <w:lang w:val="en-GB"/>
        </w:rPr>
        <w:t>,</w:t>
      </w:r>
      <w:r w:rsidR="008E783D">
        <w:rPr>
          <w:rFonts w:ascii="Times New Roman" w:hAnsi="Times New Roman" w:cs="Times New Roman"/>
          <w:sz w:val="24"/>
          <w:szCs w:val="24"/>
          <w:lang w:val="en-GB"/>
        </w:rPr>
        <w:t xml:space="preserve"> who are profession</w:t>
      </w:r>
      <w:r w:rsidR="00E32C8D">
        <w:rPr>
          <w:rFonts w:ascii="Times New Roman" w:hAnsi="Times New Roman" w:cs="Times New Roman"/>
          <w:sz w:val="24"/>
          <w:szCs w:val="24"/>
          <w:lang w:val="en-GB"/>
        </w:rPr>
        <w:t>al</w:t>
      </w:r>
      <w:r w:rsidR="008E783D">
        <w:rPr>
          <w:rFonts w:ascii="Times New Roman" w:hAnsi="Times New Roman" w:cs="Times New Roman"/>
          <w:sz w:val="24"/>
          <w:szCs w:val="24"/>
          <w:lang w:val="en-GB"/>
        </w:rPr>
        <w:t xml:space="preserve"> consultants, to raise funds for Zimbabwe’s hosting of the conference. Their appointment is in terms of the letter which the</w:t>
      </w:r>
      <w:r w:rsidR="0005360C">
        <w:rPr>
          <w:rFonts w:ascii="Times New Roman" w:hAnsi="Times New Roman" w:cs="Times New Roman"/>
          <w:sz w:val="24"/>
          <w:szCs w:val="24"/>
          <w:lang w:val="en-GB"/>
        </w:rPr>
        <w:t xml:space="preserve"> O</w:t>
      </w:r>
      <w:r w:rsidR="008E783D">
        <w:rPr>
          <w:rFonts w:ascii="Times New Roman" w:hAnsi="Times New Roman" w:cs="Times New Roman"/>
          <w:sz w:val="24"/>
          <w:szCs w:val="24"/>
          <w:lang w:val="en-GB"/>
        </w:rPr>
        <w:t xml:space="preserve">ffice of the President and Cabinet wrote to the Chief Executive Officer for </w:t>
      </w:r>
      <w:r w:rsidR="00953B8E">
        <w:rPr>
          <w:rFonts w:ascii="Times New Roman" w:hAnsi="Times New Roman" w:cs="Times New Roman"/>
          <w:sz w:val="24"/>
          <w:szCs w:val="24"/>
          <w:lang w:val="en-GB"/>
        </w:rPr>
        <w:t>M</w:t>
      </w:r>
      <w:r w:rsidR="008E783D">
        <w:rPr>
          <w:rFonts w:ascii="Times New Roman" w:hAnsi="Times New Roman" w:cs="Times New Roman"/>
          <w:sz w:val="24"/>
          <w:szCs w:val="24"/>
          <w:lang w:val="en-GB"/>
        </w:rPr>
        <w:t xml:space="preserve">bada Diamonds (Pvt) Ltd </w:t>
      </w:r>
      <w:r w:rsidR="0005360C">
        <w:rPr>
          <w:rFonts w:ascii="Times New Roman" w:hAnsi="Times New Roman" w:cs="Times New Roman"/>
          <w:sz w:val="24"/>
          <w:szCs w:val="24"/>
          <w:lang w:val="en-GB"/>
        </w:rPr>
        <w:t>on</w:t>
      </w:r>
      <w:r w:rsidR="008E783D">
        <w:rPr>
          <w:rFonts w:ascii="Times New Roman" w:hAnsi="Times New Roman" w:cs="Times New Roman"/>
          <w:sz w:val="24"/>
          <w:szCs w:val="24"/>
          <w:lang w:val="en-GB"/>
        </w:rPr>
        <w:t xml:space="preserve"> 22 March, 2013</w:t>
      </w:r>
      <w:r w:rsidR="0005360C">
        <w:rPr>
          <w:rFonts w:ascii="Times New Roman" w:hAnsi="Times New Roman" w:cs="Times New Roman"/>
          <w:sz w:val="24"/>
          <w:szCs w:val="24"/>
          <w:lang w:val="en-GB"/>
        </w:rPr>
        <w:t xml:space="preserve">. The </w:t>
      </w:r>
      <w:r w:rsidR="008E783D">
        <w:rPr>
          <w:rFonts w:ascii="Times New Roman" w:hAnsi="Times New Roman" w:cs="Times New Roman"/>
          <w:sz w:val="24"/>
          <w:szCs w:val="24"/>
          <w:lang w:val="en-GB"/>
        </w:rPr>
        <w:t xml:space="preserve">letter appears at pages 82-84 of the record. </w:t>
      </w:r>
    </w:p>
    <w:p w:rsidR="00C564F4" w:rsidRDefault="008E783D" w:rsidP="00953B8E">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role of the first and third </w:t>
      </w:r>
      <w:r w:rsidR="00953B8E">
        <w:rPr>
          <w:rFonts w:ascii="Times New Roman" w:hAnsi="Times New Roman" w:cs="Times New Roman"/>
          <w:sz w:val="24"/>
          <w:szCs w:val="24"/>
          <w:lang w:val="en-GB"/>
        </w:rPr>
        <w:t>respondents</w:t>
      </w:r>
      <w:r>
        <w:rPr>
          <w:rFonts w:ascii="Times New Roman" w:hAnsi="Times New Roman" w:cs="Times New Roman"/>
          <w:sz w:val="24"/>
          <w:szCs w:val="24"/>
          <w:lang w:val="en-GB"/>
        </w:rPr>
        <w:t xml:space="preserve"> who</w:t>
      </w:r>
      <w:r w:rsidR="00563447">
        <w:rPr>
          <w:rFonts w:ascii="Times New Roman" w:hAnsi="Times New Roman" w:cs="Times New Roman"/>
          <w:sz w:val="24"/>
          <w:szCs w:val="24"/>
          <w:lang w:val="en-GB"/>
        </w:rPr>
        <w:t>,</w:t>
      </w:r>
      <w:r>
        <w:rPr>
          <w:rFonts w:ascii="Times New Roman" w:hAnsi="Times New Roman" w:cs="Times New Roman"/>
          <w:sz w:val="24"/>
          <w:szCs w:val="24"/>
          <w:lang w:val="en-GB"/>
        </w:rPr>
        <w:t xml:space="preserve"> at the time of the conference, were respectively </w:t>
      </w:r>
      <w:r w:rsidR="0005360C">
        <w:rPr>
          <w:rFonts w:ascii="Times New Roman" w:hAnsi="Times New Roman" w:cs="Times New Roman"/>
          <w:sz w:val="24"/>
          <w:szCs w:val="24"/>
          <w:lang w:val="en-GB"/>
        </w:rPr>
        <w:t>P</w:t>
      </w:r>
      <w:r>
        <w:rPr>
          <w:rFonts w:ascii="Times New Roman" w:hAnsi="Times New Roman" w:cs="Times New Roman"/>
          <w:sz w:val="24"/>
          <w:szCs w:val="24"/>
          <w:lang w:val="en-GB"/>
        </w:rPr>
        <w:t xml:space="preserve">ermanent </w:t>
      </w:r>
      <w:r w:rsidR="00953B8E">
        <w:rPr>
          <w:rFonts w:ascii="Times New Roman" w:hAnsi="Times New Roman" w:cs="Times New Roman"/>
          <w:sz w:val="24"/>
          <w:szCs w:val="24"/>
          <w:lang w:val="en-GB"/>
        </w:rPr>
        <w:t>Secretary and Minister for the Ministry of Tourism and Hospitality Industry, requires little, if any</w:t>
      </w:r>
      <w:r w:rsidR="0005360C">
        <w:rPr>
          <w:rFonts w:ascii="Times New Roman" w:hAnsi="Times New Roman" w:cs="Times New Roman"/>
          <w:sz w:val="24"/>
          <w:szCs w:val="24"/>
          <w:lang w:val="en-GB"/>
        </w:rPr>
        <w:t>,</w:t>
      </w:r>
      <w:r w:rsidR="00953B8E">
        <w:rPr>
          <w:rFonts w:ascii="Times New Roman" w:hAnsi="Times New Roman" w:cs="Times New Roman"/>
          <w:sz w:val="24"/>
          <w:szCs w:val="24"/>
          <w:lang w:val="en-GB"/>
        </w:rPr>
        <w:t xml:space="preserve"> mention. They were pivotal to the successful hosting of the conference. They had a big role to play in the preparation as well as hosting of the conference for, and on behalf of</w:t>
      </w:r>
      <w:r w:rsidR="0005360C">
        <w:rPr>
          <w:rFonts w:ascii="Times New Roman" w:hAnsi="Times New Roman" w:cs="Times New Roman"/>
          <w:sz w:val="24"/>
          <w:szCs w:val="24"/>
          <w:lang w:val="en-GB"/>
        </w:rPr>
        <w:t>,</w:t>
      </w:r>
      <w:r w:rsidR="00953B8E">
        <w:rPr>
          <w:rFonts w:ascii="Times New Roman" w:hAnsi="Times New Roman" w:cs="Times New Roman"/>
          <w:sz w:val="24"/>
          <w:szCs w:val="24"/>
          <w:lang w:val="en-GB"/>
        </w:rPr>
        <w:t xml:space="preserve"> Zimbabwe. </w:t>
      </w:r>
    </w:p>
    <w:p w:rsidR="00953B8E" w:rsidRDefault="00953B8E" w:rsidP="0005360C">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Following their appointment into the position of professional organisers of the conference, the second and fourth respondents did</w:t>
      </w:r>
      <w:r w:rsidR="0005360C">
        <w:rPr>
          <w:rFonts w:ascii="Times New Roman" w:hAnsi="Times New Roman" w:cs="Times New Roman"/>
          <w:sz w:val="24"/>
          <w:szCs w:val="24"/>
          <w:lang w:val="en-GB"/>
        </w:rPr>
        <w:t>,</w:t>
      </w:r>
      <w:r>
        <w:rPr>
          <w:rFonts w:ascii="Times New Roman" w:hAnsi="Times New Roman" w:cs="Times New Roman"/>
          <w:sz w:val="24"/>
          <w:szCs w:val="24"/>
          <w:lang w:val="en-GB"/>
        </w:rPr>
        <w:t xml:space="preserve"> on 15 May 2012, sign </w:t>
      </w:r>
      <w:r w:rsidR="0005360C">
        <w:rPr>
          <w:rFonts w:ascii="Times New Roman" w:hAnsi="Times New Roman" w:cs="Times New Roman"/>
          <w:sz w:val="24"/>
          <w:szCs w:val="24"/>
          <w:lang w:val="en-GB"/>
        </w:rPr>
        <w:t xml:space="preserve">with the Government of Zimbabwe </w:t>
      </w:r>
      <w:r>
        <w:rPr>
          <w:rFonts w:ascii="Times New Roman" w:hAnsi="Times New Roman" w:cs="Times New Roman"/>
          <w:sz w:val="24"/>
          <w:szCs w:val="24"/>
          <w:lang w:val="en-GB"/>
        </w:rPr>
        <w:t xml:space="preserve">a document </w:t>
      </w:r>
      <w:r w:rsidR="0005360C">
        <w:rPr>
          <w:rFonts w:ascii="Times New Roman" w:hAnsi="Times New Roman" w:cs="Times New Roman"/>
          <w:sz w:val="24"/>
          <w:szCs w:val="24"/>
          <w:lang w:val="en-GB"/>
        </w:rPr>
        <w:t xml:space="preserve">titled the </w:t>
      </w:r>
      <w:r>
        <w:rPr>
          <w:rFonts w:ascii="Times New Roman" w:hAnsi="Times New Roman" w:cs="Times New Roman"/>
          <w:sz w:val="24"/>
          <w:szCs w:val="24"/>
          <w:lang w:val="en-GB"/>
        </w:rPr>
        <w:t xml:space="preserve">Professional Conference Organiser (“PCO”) Contract. The </w:t>
      </w:r>
      <w:r w:rsidR="00246A0E">
        <w:rPr>
          <w:rFonts w:ascii="Times New Roman" w:hAnsi="Times New Roman" w:cs="Times New Roman"/>
          <w:sz w:val="24"/>
          <w:szCs w:val="24"/>
          <w:lang w:val="en-GB"/>
        </w:rPr>
        <w:t>PCO defined</w:t>
      </w:r>
      <w:r>
        <w:rPr>
          <w:rFonts w:ascii="Times New Roman" w:hAnsi="Times New Roman" w:cs="Times New Roman"/>
          <w:sz w:val="24"/>
          <w:szCs w:val="24"/>
          <w:lang w:val="en-GB"/>
        </w:rPr>
        <w:t xml:space="preserve"> their terms of reference, duration of the contract, the manner in which they would be remunerated for their work and other ancillary matters. It is at pages 18-21 of the record</w:t>
      </w:r>
    </w:p>
    <w:p w:rsidR="003E711B" w:rsidRDefault="00953B8E" w:rsidP="00953B8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second and fourth respondents were complying with the directive of Government when they and others registered a notarial deed of trust with the registrar of deeds in June, 2013. Reference is made in the mentioned regard to the text of the letter of 22 March, 2013 which reads:</w:t>
      </w:r>
    </w:p>
    <w:p w:rsidR="00953B8E" w:rsidRPr="003E711B" w:rsidRDefault="003E711B" w:rsidP="003E711B">
      <w:pPr>
        <w:spacing w:after="0" w:line="240" w:lineRule="auto"/>
        <w:ind w:firstLine="720"/>
        <w:jc w:val="both"/>
        <w:rPr>
          <w:rFonts w:ascii="Times New Roman" w:hAnsi="Times New Roman" w:cs="Times New Roman"/>
          <w:lang w:val="en-GB"/>
        </w:rPr>
      </w:pPr>
      <w:r w:rsidRPr="003E711B">
        <w:rPr>
          <w:rFonts w:ascii="Times New Roman" w:hAnsi="Times New Roman" w:cs="Times New Roman"/>
          <w:lang w:val="en-GB"/>
        </w:rPr>
        <w:t>“….</w:t>
      </w:r>
      <w:r w:rsidRPr="003E711B">
        <w:rPr>
          <w:rFonts w:ascii="Times New Roman" w:hAnsi="Times New Roman" w:cs="Times New Roman"/>
          <w:u w:val="single"/>
          <w:lang w:val="en-GB"/>
        </w:rPr>
        <w:t>Government has resolved as follows:</w:t>
      </w:r>
      <w:r w:rsidR="00953B8E" w:rsidRPr="003E711B">
        <w:rPr>
          <w:rFonts w:ascii="Times New Roman" w:hAnsi="Times New Roman" w:cs="Times New Roman"/>
          <w:lang w:val="en-GB"/>
        </w:rPr>
        <w:t xml:space="preserve"> </w:t>
      </w:r>
    </w:p>
    <w:p w:rsidR="003E711B" w:rsidRPr="003E711B" w:rsidRDefault="003E711B" w:rsidP="003E711B">
      <w:pPr>
        <w:pStyle w:val="ListParagraph"/>
        <w:numPr>
          <w:ilvl w:val="0"/>
          <w:numId w:val="22"/>
        </w:numPr>
        <w:spacing w:after="0" w:line="240" w:lineRule="auto"/>
        <w:jc w:val="both"/>
        <w:rPr>
          <w:rFonts w:ascii="Times New Roman" w:hAnsi="Times New Roman" w:cs="Times New Roman"/>
          <w:lang w:val="en-GB"/>
        </w:rPr>
      </w:pPr>
      <w:r w:rsidRPr="003E711B">
        <w:rPr>
          <w:rFonts w:ascii="Times New Roman" w:hAnsi="Times New Roman" w:cs="Times New Roman"/>
          <w:lang w:val="en-GB"/>
        </w:rPr>
        <w:t xml:space="preserve">To constitute </w:t>
      </w:r>
      <w:r w:rsidR="0005360C">
        <w:rPr>
          <w:rFonts w:ascii="Times New Roman" w:hAnsi="Times New Roman" w:cs="Times New Roman"/>
          <w:lang w:val="en-GB"/>
        </w:rPr>
        <w:t>a</w:t>
      </w:r>
      <w:r w:rsidRPr="003E711B">
        <w:rPr>
          <w:rFonts w:ascii="Times New Roman" w:hAnsi="Times New Roman" w:cs="Times New Roman"/>
          <w:lang w:val="en-GB"/>
        </w:rPr>
        <w:t xml:space="preserve"> UNWTO Resource Mobilisation Trust Fund to be responsible for receiving and disbursing funds</w:t>
      </w:r>
      <w:r w:rsidR="0005360C">
        <w:rPr>
          <w:rFonts w:ascii="Times New Roman" w:hAnsi="Times New Roman" w:cs="Times New Roman"/>
          <w:lang w:val="en-GB"/>
        </w:rPr>
        <w:t>.</w:t>
      </w:r>
    </w:p>
    <w:p w:rsidR="00700ACD" w:rsidRDefault="003E711B" w:rsidP="003E711B">
      <w:pPr>
        <w:pStyle w:val="ListParagraph"/>
        <w:numPr>
          <w:ilvl w:val="0"/>
          <w:numId w:val="22"/>
        </w:numPr>
        <w:spacing w:after="0" w:line="240" w:lineRule="auto"/>
        <w:jc w:val="both"/>
        <w:rPr>
          <w:rFonts w:ascii="Times New Roman" w:hAnsi="Times New Roman" w:cs="Times New Roman"/>
          <w:lang w:val="en-GB"/>
        </w:rPr>
      </w:pPr>
      <w:r w:rsidRPr="003E711B">
        <w:rPr>
          <w:rFonts w:ascii="Times New Roman" w:hAnsi="Times New Roman" w:cs="Times New Roman"/>
          <w:lang w:val="en-GB"/>
        </w:rPr>
        <w:t xml:space="preserve">The </w:t>
      </w:r>
      <w:r>
        <w:rPr>
          <w:rFonts w:ascii="Times New Roman" w:hAnsi="Times New Roman" w:cs="Times New Roman"/>
          <w:lang w:val="en-GB"/>
        </w:rPr>
        <w:t>T</w:t>
      </w:r>
      <w:r w:rsidRPr="003E711B">
        <w:rPr>
          <w:rFonts w:ascii="Times New Roman" w:hAnsi="Times New Roman" w:cs="Times New Roman"/>
          <w:lang w:val="en-GB"/>
        </w:rPr>
        <w:t>rustees will include Dr. Judith Kateera, Secretary in The Vice-Precedent’s office and Ms Margret M</w:t>
      </w:r>
      <w:r>
        <w:rPr>
          <w:rFonts w:ascii="Times New Roman" w:hAnsi="Times New Roman" w:cs="Times New Roman"/>
          <w:lang w:val="en-GB"/>
        </w:rPr>
        <w:t xml:space="preserve">ukahanana-Sangarwe., Secretary for Tourism and </w:t>
      </w:r>
      <w:r w:rsidR="007D20DD">
        <w:rPr>
          <w:rFonts w:ascii="Times New Roman" w:hAnsi="Times New Roman" w:cs="Times New Roman"/>
          <w:lang w:val="en-GB"/>
        </w:rPr>
        <w:t>Hospitality</w:t>
      </w:r>
      <w:r>
        <w:rPr>
          <w:rFonts w:ascii="Times New Roman" w:hAnsi="Times New Roman" w:cs="Times New Roman"/>
          <w:lang w:val="en-GB"/>
        </w:rPr>
        <w:t xml:space="preserve"> Industry representing the </w:t>
      </w:r>
      <w:r w:rsidR="0005360C">
        <w:rPr>
          <w:rFonts w:ascii="Times New Roman" w:hAnsi="Times New Roman" w:cs="Times New Roman"/>
          <w:lang w:val="en-GB"/>
        </w:rPr>
        <w:t xml:space="preserve">Working </w:t>
      </w:r>
      <w:r w:rsidR="00E32C8D">
        <w:rPr>
          <w:rFonts w:ascii="Times New Roman" w:hAnsi="Times New Roman" w:cs="Times New Roman"/>
          <w:lang w:val="en-GB"/>
        </w:rPr>
        <w:t>P</w:t>
      </w:r>
      <w:r w:rsidR="0005360C">
        <w:rPr>
          <w:rFonts w:ascii="Times New Roman" w:hAnsi="Times New Roman" w:cs="Times New Roman"/>
          <w:lang w:val="en-GB"/>
        </w:rPr>
        <w:t>ar</w:t>
      </w:r>
      <w:r>
        <w:rPr>
          <w:rFonts w:ascii="Times New Roman" w:hAnsi="Times New Roman" w:cs="Times New Roman"/>
          <w:lang w:val="en-GB"/>
        </w:rPr>
        <w:t>ty of the Inter-Ministerial Committee on UNWTO and appointees of the Minister of Tourism and Hospitality Industry</w:t>
      </w:r>
      <w:r w:rsidRPr="003E711B">
        <w:rPr>
          <w:rFonts w:ascii="Times New Roman" w:hAnsi="Times New Roman" w:cs="Times New Roman"/>
          <w:lang w:val="en-GB"/>
        </w:rPr>
        <w:t xml:space="preserve">. </w:t>
      </w:r>
    </w:p>
    <w:p w:rsidR="003E711B" w:rsidRDefault="003E711B" w:rsidP="003E711B">
      <w:pPr>
        <w:pStyle w:val="ListParagraph"/>
        <w:numPr>
          <w:ilvl w:val="0"/>
          <w:numId w:val="22"/>
        </w:numPr>
        <w:spacing w:after="0" w:line="240" w:lineRule="auto"/>
        <w:jc w:val="both"/>
        <w:rPr>
          <w:rFonts w:ascii="Times New Roman" w:hAnsi="Times New Roman" w:cs="Times New Roman"/>
          <w:lang w:val="en-GB"/>
        </w:rPr>
      </w:pPr>
      <w:r w:rsidRPr="003E711B">
        <w:rPr>
          <w:rFonts w:ascii="Times New Roman" w:hAnsi="Times New Roman" w:cs="Times New Roman"/>
          <w:u w:val="single"/>
          <w:lang w:val="en-GB"/>
        </w:rPr>
        <w:t>The Trust deed</w:t>
      </w:r>
      <w:r>
        <w:rPr>
          <w:rFonts w:ascii="Times New Roman" w:hAnsi="Times New Roman" w:cs="Times New Roman"/>
          <w:lang w:val="en-GB"/>
        </w:rPr>
        <w:t xml:space="preserve">, with an enlarged Board of Trustees, </w:t>
      </w:r>
      <w:r w:rsidRPr="003E711B">
        <w:rPr>
          <w:rFonts w:ascii="Times New Roman" w:hAnsi="Times New Roman" w:cs="Times New Roman"/>
          <w:u w:val="single"/>
          <w:lang w:val="en-GB"/>
        </w:rPr>
        <w:t>has since been lodged</w:t>
      </w:r>
      <w:r>
        <w:rPr>
          <w:rFonts w:ascii="Times New Roman" w:hAnsi="Times New Roman" w:cs="Times New Roman"/>
          <w:lang w:val="en-GB"/>
        </w:rPr>
        <w:t xml:space="preserve">. </w:t>
      </w:r>
    </w:p>
    <w:p w:rsidR="007D20DD" w:rsidRDefault="003E711B" w:rsidP="007D20DD">
      <w:pPr>
        <w:pStyle w:val="ListParagraph"/>
        <w:numPr>
          <w:ilvl w:val="0"/>
          <w:numId w:val="22"/>
        </w:numPr>
        <w:spacing w:after="0" w:line="240" w:lineRule="auto"/>
        <w:jc w:val="both"/>
        <w:rPr>
          <w:rFonts w:ascii="Times New Roman" w:hAnsi="Times New Roman" w:cs="Times New Roman"/>
          <w:lang w:val="en-GB"/>
        </w:rPr>
      </w:pPr>
      <w:r w:rsidRPr="007D20DD">
        <w:rPr>
          <w:rFonts w:ascii="Times New Roman" w:hAnsi="Times New Roman" w:cs="Times New Roman"/>
          <w:lang w:val="en-GB"/>
        </w:rPr>
        <w:t xml:space="preserve">The Directors of Africa Convention, represented by Mr Aaron Mushoriwa and Ms Susan Makombe will become </w:t>
      </w:r>
      <w:r w:rsidRPr="0005360C">
        <w:rPr>
          <w:rFonts w:ascii="Times New Roman" w:hAnsi="Times New Roman" w:cs="Times New Roman"/>
          <w:i/>
          <w:lang w:val="en-GB"/>
        </w:rPr>
        <w:t>ex-officio</w:t>
      </w:r>
      <w:r w:rsidRPr="007D20DD">
        <w:rPr>
          <w:rFonts w:ascii="Times New Roman" w:hAnsi="Times New Roman" w:cs="Times New Roman"/>
          <w:lang w:val="en-GB"/>
        </w:rPr>
        <w:t xml:space="preserve"> Board members of the Trust</w:t>
      </w:r>
      <w:r w:rsidR="007D20DD" w:rsidRPr="007D20DD">
        <w:rPr>
          <w:rFonts w:ascii="Times New Roman" w:hAnsi="Times New Roman" w:cs="Times New Roman"/>
          <w:lang w:val="en-GB"/>
        </w:rPr>
        <w:t>” [emphasis added]</w:t>
      </w:r>
      <w:r w:rsidR="007D20DD">
        <w:rPr>
          <w:rFonts w:ascii="Times New Roman" w:hAnsi="Times New Roman" w:cs="Times New Roman"/>
          <w:lang w:val="en-GB"/>
        </w:rPr>
        <w:t>.</w:t>
      </w:r>
    </w:p>
    <w:p w:rsidR="007D20DD" w:rsidRDefault="007D20DD" w:rsidP="007D20DD">
      <w:pPr>
        <w:spacing w:after="0" w:line="360" w:lineRule="auto"/>
        <w:ind w:left="7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into the registered United Nations World Tourism Organisation Corporate </w:t>
      </w:r>
    </w:p>
    <w:p w:rsidR="007D20DD" w:rsidRDefault="007D20DD" w:rsidP="007D20D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Resources Mobilisation Trust [“the trust”] that all donations which the second and fourth respondents sourced for the conference found their way. The four motor vehicles which are the subject of this application were sourced for the conference. They, like all other donations, found their way into the trust.</w:t>
      </w:r>
    </w:p>
    <w:p w:rsidR="007D20DD" w:rsidRDefault="007D20DD" w:rsidP="007D20D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motor vehicles were purchased for the conference. They were allocated to each of the first four respondents whom Government charged with the responsibility of preparing for, as well as hos</w:t>
      </w:r>
      <w:r w:rsidR="0005360C">
        <w:rPr>
          <w:rFonts w:ascii="Times New Roman" w:hAnsi="Times New Roman" w:cs="Times New Roman"/>
          <w:sz w:val="24"/>
          <w:szCs w:val="24"/>
          <w:lang w:val="en-GB"/>
        </w:rPr>
        <w:t>t</w:t>
      </w:r>
      <w:r>
        <w:rPr>
          <w:rFonts w:ascii="Times New Roman" w:hAnsi="Times New Roman" w:cs="Times New Roman"/>
          <w:sz w:val="24"/>
          <w:szCs w:val="24"/>
          <w:lang w:val="en-GB"/>
        </w:rPr>
        <w:t>ing, the conference. The first, second, third and fourth respondents, therefore, each receive</w:t>
      </w:r>
      <w:r w:rsidR="0005360C">
        <w:rPr>
          <w:rFonts w:ascii="Times New Roman" w:hAnsi="Times New Roman" w:cs="Times New Roman"/>
          <w:sz w:val="24"/>
          <w:szCs w:val="24"/>
          <w:lang w:val="en-GB"/>
        </w:rPr>
        <w:t>d the car</w:t>
      </w:r>
      <w:r>
        <w:rPr>
          <w:rFonts w:ascii="Times New Roman" w:hAnsi="Times New Roman" w:cs="Times New Roman"/>
          <w:sz w:val="24"/>
          <w:szCs w:val="24"/>
          <w:lang w:val="en-GB"/>
        </w:rPr>
        <w:t>s which had been allocated to them as follows:</w:t>
      </w:r>
    </w:p>
    <w:p w:rsidR="007D20DD" w:rsidRPr="0031167C" w:rsidRDefault="007D20DD" w:rsidP="0031167C">
      <w:pPr>
        <w:spacing w:after="0" w:line="360" w:lineRule="auto"/>
        <w:ind w:firstLine="720"/>
        <w:jc w:val="both"/>
        <w:rPr>
          <w:rFonts w:ascii="Times New Roman" w:hAnsi="Times New Roman" w:cs="Times New Roman"/>
          <w:sz w:val="24"/>
          <w:szCs w:val="24"/>
          <w:lang w:val="en-GB"/>
        </w:rPr>
      </w:pPr>
      <w:r w:rsidRPr="0031167C">
        <w:rPr>
          <w:rFonts w:ascii="Times New Roman" w:hAnsi="Times New Roman" w:cs="Times New Roman"/>
          <w:sz w:val="24"/>
          <w:szCs w:val="24"/>
          <w:lang w:val="en-GB"/>
        </w:rPr>
        <w:t xml:space="preserve">First respondent: </w:t>
      </w:r>
      <w:r w:rsidR="0005360C" w:rsidRPr="0031167C">
        <w:rPr>
          <w:rFonts w:ascii="Times New Roman" w:hAnsi="Times New Roman" w:cs="Times New Roman"/>
          <w:sz w:val="24"/>
          <w:szCs w:val="24"/>
          <w:lang w:val="en-GB"/>
        </w:rPr>
        <w:t>Fo</w:t>
      </w:r>
      <w:r w:rsidRPr="0031167C">
        <w:rPr>
          <w:rFonts w:ascii="Times New Roman" w:hAnsi="Times New Roman" w:cs="Times New Roman"/>
          <w:sz w:val="24"/>
          <w:szCs w:val="24"/>
          <w:lang w:val="en-GB"/>
        </w:rPr>
        <w:t xml:space="preserve">rd Ranger, Double Cab, </w:t>
      </w:r>
      <w:r w:rsidR="00246A0E" w:rsidRPr="0031167C">
        <w:rPr>
          <w:rFonts w:ascii="Times New Roman" w:hAnsi="Times New Roman" w:cs="Times New Roman"/>
          <w:sz w:val="24"/>
          <w:szCs w:val="24"/>
          <w:lang w:val="en-GB"/>
        </w:rPr>
        <w:t>R</w:t>
      </w:r>
      <w:r w:rsidRPr="0031167C">
        <w:rPr>
          <w:rFonts w:ascii="Times New Roman" w:hAnsi="Times New Roman" w:cs="Times New Roman"/>
          <w:sz w:val="24"/>
          <w:szCs w:val="24"/>
          <w:lang w:val="en-GB"/>
        </w:rPr>
        <w:t>egistration number AC</w:t>
      </w:r>
      <w:r w:rsidR="0005360C" w:rsidRPr="0031167C">
        <w:rPr>
          <w:rFonts w:ascii="Times New Roman" w:hAnsi="Times New Roman" w:cs="Times New Roman"/>
          <w:sz w:val="24"/>
          <w:szCs w:val="24"/>
          <w:lang w:val="en-GB"/>
        </w:rPr>
        <w:t>U</w:t>
      </w:r>
      <w:r w:rsidRPr="0031167C">
        <w:rPr>
          <w:rFonts w:ascii="Times New Roman" w:hAnsi="Times New Roman" w:cs="Times New Roman"/>
          <w:sz w:val="24"/>
          <w:szCs w:val="24"/>
          <w:lang w:val="en-GB"/>
        </w:rPr>
        <w:t xml:space="preserve"> 6801,</w:t>
      </w:r>
    </w:p>
    <w:p w:rsidR="00246A0E" w:rsidRPr="0031167C" w:rsidRDefault="007D20DD" w:rsidP="0031167C">
      <w:pPr>
        <w:spacing w:after="0" w:line="360" w:lineRule="auto"/>
        <w:jc w:val="both"/>
        <w:rPr>
          <w:rFonts w:ascii="Times New Roman" w:hAnsi="Times New Roman" w:cs="Times New Roman"/>
          <w:sz w:val="24"/>
          <w:szCs w:val="24"/>
          <w:lang w:val="en-GB"/>
        </w:rPr>
      </w:pPr>
      <w:r w:rsidRPr="0031167C">
        <w:rPr>
          <w:rFonts w:ascii="Times New Roman" w:hAnsi="Times New Roman" w:cs="Times New Roman"/>
          <w:sz w:val="24"/>
          <w:szCs w:val="24"/>
          <w:lang w:val="en-GB"/>
        </w:rPr>
        <w:t xml:space="preserve">Second </w:t>
      </w:r>
      <w:r w:rsidR="00246A0E" w:rsidRPr="0031167C">
        <w:rPr>
          <w:rFonts w:ascii="Times New Roman" w:hAnsi="Times New Roman" w:cs="Times New Roman"/>
          <w:sz w:val="24"/>
          <w:szCs w:val="24"/>
          <w:lang w:val="en-GB"/>
        </w:rPr>
        <w:t>respondent: Ford Ranger, T6 Double Cab, Registration number ACU 2603,</w:t>
      </w:r>
    </w:p>
    <w:p w:rsidR="00E32C8D" w:rsidRDefault="00246A0E" w:rsidP="0031167C">
      <w:pPr>
        <w:spacing w:after="0" w:line="360" w:lineRule="auto"/>
        <w:jc w:val="both"/>
        <w:rPr>
          <w:rFonts w:ascii="Times New Roman" w:hAnsi="Times New Roman" w:cs="Times New Roman"/>
          <w:sz w:val="24"/>
          <w:szCs w:val="24"/>
          <w:lang w:val="en-GB"/>
        </w:rPr>
      </w:pPr>
      <w:r w:rsidRPr="0031167C">
        <w:rPr>
          <w:rFonts w:ascii="Times New Roman" w:hAnsi="Times New Roman" w:cs="Times New Roman"/>
          <w:sz w:val="24"/>
          <w:szCs w:val="24"/>
          <w:lang w:val="en-GB"/>
        </w:rPr>
        <w:t>Third respondent: Ford Ranger, T6 Double Cab, Registration number ACU 7946</w:t>
      </w:r>
      <w:r w:rsidR="0005360C" w:rsidRPr="0031167C">
        <w:rPr>
          <w:rFonts w:ascii="Times New Roman" w:hAnsi="Times New Roman" w:cs="Times New Roman"/>
          <w:sz w:val="24"/>
          <w:szCs w:val="24"/>
          <w:lang w:val="en-GB"/>
        </w:rPr>
        <w:t xml:space="preserve"> – and </w:t>
      </w:r>
      <w:r w:rsidRPr="0031167C">
        <w:rPr>
          <w:rFonts w:ascii="Times New Roman" w:hAnsi="Times New Roman" w:cs="Times New Roman"/>
          <w:sz w:val="24"/>
          <w:szCs w:val="24"/>
          <w:lang w:val="en-GB"/>
        </w:rPr>
        <w:t>Fourth respondent: Tata Xenon, Double Cab, Registration</w:t>
      </w:r>
      <w:r w:rsidR="0005360C" w:rsidRPr="0031167C">
        <w:rPr>
          <w:rFonts w:ascii="Times New Roman" w:hAnsi="Times New Roman" w:cs="Times New Roman"/>
          <w:sz w:val="24"/>
          <w:szCs w:val="24"/>
          <w:lang w:val="en-GB"/>
        </w:rPr>
        <w:t xml:space="preserve"> number AXC 5409</w:t>
      </w:r>
      <w:r w:rsidRPr="0031167C">
        <w:rPr>
          <w:rFonts w:ascii="Times New Roman" w:hAnsi="Times New Roman" w:cs="Times New Roman"/>
          <w:sz w:val="24"/>
          <w:szCs w:val="24"/>
          <w:lang w:val="en-GB"/>
        </w:rPr>
        <w:t xml:space="preserve">. </w:t>
      </w:r>
    </w:p>
    <w:p w:rsidR="00246A0E" w:rsidRPr="0031167C" w:rsidRDefault="00E32C8D" w:rsidP="00E32C8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above-</w:t>
      </w:r>
      <w:r w:rsidR="00246A0E" w:rsidRPr="0031167C">
        <w:rPr>
          <w:rFonts w:ascii="Times New Roman" w:hAnsi="Times New Roman" w:cs="Times New Roman"/>
          <w:sz w:val="24"/>
          <w:szCs w:val="24"/>
          <w:lang w:val="en-GB"/>
        </w:rPr>
        <w:t>mentioned four cars constitute the applicant’s cause a</w:t>
      </w:r>
      <w:r w:rsidR="0005360C" w:rsidRPr="0031167C">
        <w:rPr>
          <w:rFonts w:ascii="Times New Roman" w:hAnsi="Times New Roman" w:cs="Times New Roman"/>
          <w:sz w:val="24"/>
          <w:szCs w:val="24"/>
          <w:lang w:val="en-GB"/>
        </w:rPr>
        <w:t>c</w:t>
      </w:r>
      <w:r w:rsidR="00246A0E" w:rsidRPr="0031167C">
        <w:rPr>
          <w:rFonts w:ascii="Times New Roman" w:hAnsi="Times New Roman" w:cs="Times New Roman"/>
          <w:sz w:val="24"/>
          <w:szCs w:val="24"/>
          <w:lang w:val="en-GB"/>
        </w:rPr>
        <w:t xml:space="preserve">tion. He accuses the respondents of theft of the cars. He alleges that they converted the cars which were allocated to them for the conference to their own use. He states that they did not surrender the four cars to Government after the conference. He insists that the vehicles are the property of </w:t>
      </w:r>
      <w:r w:rsidR="00246A0E" w:rsidRPr="0031167C">
        <w:rPr>
          <w:rFonts w:ascii="Times New Roman" w:hAnsi="Times New Roman" w:cs="Times New Roman"/>
          <w:sz w:val="24"/>
          <w:szCs w:val="24"/>
          <w:lang w:val="en-GB"/>
        </w:rPr>
        <w:lastRenderedPageBreak/>
        <w:t>Government. He sue</w:t>
      </w:r>
      <w:r w:rsidR="00D935A2" w:rsidRPr="0031167C">
        <w:rPr>
          <w:rFonts w:ascii="Times New Roman" w:hAnsi="Times New Roman" w:cs="Times New Roman"/>
          <w:sz w:val="24"/>
          <w:szCs w:val="24"/>
          <w:lang w:val="en-GB"/>
        </w:rPr>
        <w:t>s</w:t>
      </w:r>
      <w:r w:rsidR="00246A0E" w:rsidRPr="0031167C">
        <w:rPr>
          <w:rFonts w:ascii="Times New Roman" w:hAnsi="Times New Roman" w:cs="Times New Roman"/>
          <w:sz w:val="24"/>
          <w:szCs w:val="24"/>
          <w:lang w:val="en-GB"/>
        </w:rPr>
        <w:t xml:space="preserve"> the respondents under </w:t>
      </w:r>
      <w:r w:rsidR="0031167C">
        <w:rPr>
          <w:rFonts w:ascii="Times New Roman" w:hAnsi="Times New Roman" w:cs="Times New Roman"/>
          <w:sz w:val="24"/>
          <w:szCs w:val="24"/>
          <w:lang w:val="en-GB"/>
        </w:rPr>
        <w:t>ss</w:t>
      </w:r>
      <w:r w:rsidR="00246A0E" w:rsidRPr="0031167C">
        <w:rPr>
          <w:rFonts w:ascii="Times New Roman" w:hAnsi="Times New Roman" w:cs="Times New Roman"/>
          <w:sz w:val="24"/>
          <w:szCs w:val="24"/>
          <w:lang w:val="en-GB"/>
        </w:rPr>
        <w:t xml:space="preserve"> 79 and 80 of the Money Laundering and Proceeds of Crime Act [</w:t>
      </w:r>
      <w:r w:rsidR="00246A0E" w:rsidRPr="0031167C">
        <w:rPr>
          <w:rFonts w:ascii="Times New Roman" w:hAnsi="Times New Roman" w:cs="Times New Roman"/>
          <w:i/>
          <w:sz w:val="24"/>
          <w:szCs w:val="24"/>
          <w:lang w:val="en-GB"/>
        </w:rPr>
        <w:t>Chapter 9:24</w:t>
      </w:r>
      <w:r w:rsidR="00246A0E" w:rsidRPr="0031167C">
        <w:rPr>
          <w:rFonts w:ascii="Times New Roman" w:hAnsi="Times New Roman" w:cs="Times New Roman"/>
          <w:sz w:val="24"/>
          <w:szCs w:val="24"/>
          <w:lang w:val="en-GB"/>
        </w:rPr>
        <w:t xml:space="preserve">] [“the Act”]. He moves for a civil forfeiture order of the four motor vehicles. </w:t>
      </w:r>
    </w:p>
    <w:p w:rsidR="007D0737" w:rsidRDefault="00246A0E" w:rsidP="007D20D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All the respondents, but the second respondent, oppose the application. The first, third and fourth respondents deny tha</w:t>
      </w:r>
      <w:r w:rsidR="007D0737">
        <w:rPr>
          <w:rFonts w:ascii="Times New Roman" w:hAnsi="Times New Roman" w:cs="Times New Roman"/>
          <w:sz w:val="24"/>
          <w:szCs w:val="24"/>
          <w:lang w:val="en-GB"/>
        </w:rPr>
        <w:t>t</w:t>
      </w:r>
      <w:r>
        <w:rPr>
          <w:rFonts w:ascii="Times New Roman" w:hAnsi="Times New Roman" w:cs="Times New Roman"/>
          <w:sz w:val="24"/>
          <w:szCs w:val="24"/>
          <w:lang w:val="en-GB"/>
        </w:rPr>
        <w:t xml:space="preserve"> they converted the motor vehicles which were allocated to them for </w:t>
      </w:r>
      <w:r w:rsidR="00D935A2">
        <w:rPr>
          <w:rFonts w:ascii="Times New Roman" w:hAnsi="Times New Roman" w:cs="Times New Roman"/>
          <w:sz w:val="24"/>
          <w:szCs w:val="24"/>
          <w:lang w:val="en-GB"/>
        </w:rPr>
        <w:t xml:space="preserve">the </w:t>
      </w:r>
      <w:r>
        <w:rPr>
          <w:rFonts w:ascii="Times New Roman" w:hAnsi="Times New Roman" w:cs="Times New Roman"/>
          <w:sz w:val="24"/>
          <w:szCs w:val="24"/>
          <w:lang w:val="en-GB"/>
        </w:rPr>
        <w:t>preparation and hosting of the conference to their own use. They dispute</w:t>
      </w:r>
      <w:r w:rsidR="00D935A2">
        <w:rPr>
          <w:rFonts w:ascii="Times New Roman" w:hAnsi="Times New Roman" w:cs="Times New Roman"/>
          <w:sz w:val="24"/>
          <w:szCs w:val="24"/>
          <w:lang w:val="en-GB"/>
        </w:rPr>
        <w:t xml:space="preserve"> the allegation which is to the</w:t>
      </w:r>
      <w:r>
        <w:rPr>
          <w:rFonts w:ascii="Times New Roman" w:hAnsi="Times New Roman" w:cs="Times New Roman"/>
          <w:sz w:val="24"/>
          <w:szCs w:val="24"/>
          <w:lang w:val="en-GB"/>
        </w:rPr>
        <w:t xml:space="preserve"> eff</w:t>
      </w:r>
      <w:r w:rsidR="007D0737">
        <w:rPr>
          <w:rFonts w:ascii="Times New Roman" w:hAnsi="Times New Roman" w:cs="Times New Roman"/>
          <w:sz w:val="24"/>
          <w:szCs w:val="24"/>
          <w:lang w:val="en-GB"/>
        </w:rPr>
        <w:t>ec</w:t>
      </w:r>
      <w:r>
        <w:rPr>
          <w:rFonts w:ascii="Times New Roman" w:hAnsi="Times New Roman" w:cs="Times New Roman"/>
          <w:sz w:val="24"/>
          <w:szCs w:val="24"/>
          <w:lang w:val="en-GB"/>
        </w:rPr>
        <w:t>t tha</w:t>
      </w:r>
      <w:r w:rsidR="007D0737">
        <w:rPr>
          <w:rFonts w:ascii="Times New Roman" w:hAnsi="Times New Roman" w:cs="Times New Roman"/>
          <w:sz w:val="24"/>
          <w:szCs w:val="24"/>
          <w:lang w:val="en-GB"/>
        </w:rPr>
        <w:t>t</w:t>
      </w:r>
      <w:r>
        <w:rPr>
          <w:rFonts w:ascii="Times New Roman" w:hAnsi="Times New Roman" w:cs="Times New Roman"/>
          <w:sz w:val="24"/>
          <w:szCs w:val="24"/>
          <w:lang w:val="en-GB"/>
        </w:rPr>
        <w:t xml:space="preserve"> the four cars belong</w:t>
      </w:r>
      <w:r w:rsidR="007D0737">
        <w:rPr>
          <w:rFonts w:ascii="Times New Roman" w:hAnsi="Times New Roman" w:cs="Times New Roman"/>
          <w:sz w:val="24"/>
          <w:szCs w:val="24"/>
          <w:lang w:val="en-GB"/>
        </w:rPr>
        <w:t xml:space="preserve"> to the Government of Zimbabwe. They state that the cars are the property of the trust.</w:t>
      </w:r>
      <w:r w:rsidR="00D935A2">
        <w:rPr>
          <w:rFonts w:ascii="Times New Roman" w:hAnsi="Times New Roman" w:cs="Times New Roman"/>
          <w:sz w:val="24"/>
          <w:szCs w:val="24"/>
          <w:lang w:val="en-GB"/>
        </w:rPr>
        <w:t xml:space="preserve"> </w:t>
      </w:r>
      <w:r w:rsidR="007D0737">
        <w:rPr>
          <w:rFonts w:ascii="Times New Roman" w:hAnsi="Times New Roman" w:cs="Times New Roman"/>
          <w:sz w:val="24"/>
          <w:szCs w:val="24"/>
          <w:lang w:val="en-GB"/>
        </w:rPr>
        <w:t>They insist that, in the absence of the trust complaining against their conduct of using the cars after the conference</w:t>
      </w:r>
      <w:r w:rsidR="00D935A2">
        <w:rPr>
          <w:rFonts w:ascii="Times New Roman" w:hAnsi="Times New Roman" w:cs="Times New Roman"/>
          <w:sz w:val="24"/>
          <w:szCs w:val="24"/>
          <w:lang w:val="en-GB"/>
        </w:rPr>
        <w:t>,</w:t>
      </w:r>
      <w:r w:rsidR="007D0737">
        <w:rPr>
          <w:rFonts w:ascii="Times New Roman" w:hAnsi="Times New Roman" w:cs="Times New Roman"/>
          <w:sz w:val="24"/>
          <w:szCs w:val="24"/>
          <w:lang w:val="en-GB"/>
        </w:rPr>
        <w:t xml:space="preserve"> the cars cannot be forfeited to the </w:t>
      </w:r>
      <w:r w:rsidR="00D935A2">
        <w:rPr>
          <w:rFonts w:ascii="Times New Roman" w:hAnsi="Times New Roman" w:cs="Times New Roman"/>
          <w:sz w:val="24"/>
          <w:szCs w:val="24"/>
          <w:lang w:val="en-GB"/>
        </w:rPr>
        <w:t>S</w:t>
      </w:r>
      <w:r w:rsidR="007D0737">
        <w:rPr>
          <w:rFonts w:ascii="Times New Roman" w:hAnsi="Times New Roman" w:cs="Times New Roman"/>
          <w:sz w:val="24"/>
          <w:szCs w:val="24"/>
          <w:lang w:val="en-GB"/>
        </w:rPr>
        <w:t xml:space="preserve">tate. They deny having ever committed any offence which warrants forfeiture of the motor cars to the </w:t>
      </w:r>
      <w:r w:rsidR="0031167C">
        <w:rPr>
          <w:rFonts w:ascii="Times New Roman" w:hAnsi="Times New Roman" w:cs="Times New Roman"/>
          <w:sz w:val="24"/>
          <w:szCs w:val="24"/>
          <w:lang w:val="en-GB"/>
        </w:rPr>
        <w:t>S</w:t>
      </w:r>
      <w:r w:rsidR="007D0737">
        <w:rPr>
          <w:rFonts w:ascii="Times New Roman" w:hAnsi="Times New Roman" w:cs="Times New Roman"/>
          <w:sz w:val="24"/>
          <w:szCs w:val="24"/>
          <w:lang w:val="en-GB"/>
        </w:rPr>
        <w:t xml:space="preserve">tate. </w:t>
      </w:r>
    </w:p>
    <w:p w:rsidR="007D0737" w:rsidRDefault="007D0737" w:rsidP="007D20D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third respondent whom the applicant described as a fugitive from justice denies that he is such. He alleges that he went to South Africa for medication. He states that he went to th</w:t>
      </w:r>
      <w:r w:rsidR="00D935A2">
        <w:rPr>
          <w:rFonts w:ascii="Times New Roman" w:hAnsi="Times New Roman" w:cs="Times New Roman"/>
          <w:sz w:val="24"/>
          <w:szCs w:val="24"/>
          <w:lang w:val="en-GB"/>
        </w:rPr>
        <w:t>at</w:t>
      </w:r>
      <w:r>
        <w:rPr>
          <w:rFonts w:ascii="Times New Roman" w:hAnsi="Times New Roman" w:cs="Times New Roman"/>
          <w:sz w:val="24"/>
          <w:szCs w:val="24"/>
          <w:lang w:val="en-GB"/>
        </w:rPr>
        <w:t xml:space="preserve"> country with the knowledge and consent of the applicant.</w:t>
      </w:r>
    </w:p>
    <w:p w:rsidR="00CF2441" w:rsidRDefault="007D0737" w:rsidP="007D20D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fifth respondent pleads the defence of </w:t>
      </w:r>
      <w:r w:rsidR="00D935A2">
        <w:rPr>
          <w:rFonts w:ascii="Times New Roman" w:hAnsi="Times New Roman" w:cs="Times New Roman"/>
          <w:sz w:val="24"/>
          <w:szCs w:val="24"/>
          <w:lang w:val="en-GB"/>
        </w:rPr>
        <w:t>the</w:t>
      </w:r>
      <w:r>
        <w:rPr>
          <w:rFonts w:ascii="Times New Roman" w:hAnsi="Times New Roman" w:cs="Times New Roman"/>
          <w:sz w:val="24"/>
          <w:szCs w:val="24"/>
          <w:lang w:val="en-GB"/>
        </w:rPr>
        <w:t xml:space="preserve"> innocent purchaser. He alleges tha</w:t>
      </w:r>
      <w:r w:rsidR="00D935A2">
        <w:rPr>
          <w:rFonts w:ascii="Times New Roman" w:hAnsi="Times New Roman" w:cs="Times New Roman"/>
          <w:sz w:val="24"/>
          <w:szCs w:val="24"/>
          <w:lang w:val="en-GB"/>
        </w:rPr>
        <w:t>t</w:t>
      </w:r>
      <w:r>
        <w:rPr>
          <w:rFonts w:ascii="Times New Roman" w:hAnsi="Times New Roman" w:cs="Times New Roman"/>
          <w:sz w:val="24"/>
          <w:szCs w:val="24"/>
          <w:lang w:val="en-GB"/>
        </w:rPr>
        <w:t xml:space="preserve"> he bought the </w:t>
      </w:r>
      <w:r w:rsidR="00D935A2">
        <w:rPr>
          <w:rFonts w:ascii="Times New Roman" w:hAnsi="Times New Roman" w:cs="Times New Roman"/>
          <w:sz w:val="24"/>
          <w:szCs w:val="24"/>
          <w:lang w:val="en-GB"/>
        </w:rPr>
        <w:t>F</w:t>
      </w:r>
      <w:r>
        <w:rPr>
          <w:rFonts w:ascii="Times New Roman" w:hAnsi="Times New Roman" w:cs="Times New Roman"/>
          <w:sz w:val="24"/>
          <w:szCs w:val="24"/>
          <w:lang w:val="en-GB"/>
        </w:rPr>
        <w:t xml:space="preserve">ord Ranger, T6, Double Cab motor vehicle with registration number ACU 2603 from Race </w:t>
      </w:r>
      <w:r w:rsidR="00E32C8D">
        <w:rPr>
          <w:rFonts w:ascii="Times New Roman" w:hAnsi="Times New Roman" w:cs="Times New Roman"/>
          <w:sz w:val="24"/>
          <w:szCs w:val="24"/>
          <w:lang w:val="en-GB"/>
        </w:rPr>
        <w:t>C</w:t>
      </w:r>
      <w:r>
        <w:rPr>
          <w:rFonts w:ascii="Times New Roman" w:hAnsi="Times New Roman" w:cs="Times New Roman"/>
          <w:sz w:val="24"/>
          <w:szCs w:val="24"/>
          <w:lang w:val="en-GB"/>
        </w:rPr>
        <w:t>ourse C</w:t>
      </w:r>
      <w:r w:rsidR="00CF2441">
        <w:rPr>
          <w:rFonts w:ascii="Times New Roman" w:hAnsi="Times New Roman" w:cs="Times New Roman"/>
          <w:sz w:val="24"/>
          <w:szCs w:val="24"/>
          <w:lang w:val="en-GB"/>
        </w:rPr>
        <w:t>ity, a garage, which guaranteed him that the car was free f</w:t>
      </w:r>
      <w:r w:rsidR="00563447">
        <w:rPr>
          <w:rFonts w:ascii="Times New Roman" w:hAnsi="Times New Roman" w:cs="Times New Roman"/>
          <w:sz w:val="24"/>
          <w:szCs w:val="24"/>
          <w:lang w:val="en-GB"/>
        </w:rPr>
        <w:t>r</w:t>
      </w:r>
      <w:r w:rsidR="00CF2441">
        <w:rPr>
          <w:rFonts w:ascii="Times New Roman" w:hAnsi="Times New Roman" w:cs="Times New Roman"/>
          <w:sz w:val="24"/>
          <w:szCs w:val="24"/>
          <w:lang w:val="en-GB"/>
        </w:rPr>
        <w:t xml:space="preserve">om claims by third parties. He insists that he should not, as an innocent purchaser, be adversely affected by the dispute of the applicant and the other respondents. All the respondents move me </w:t>
      </w:r>
      <w:r w:rsidR="00D935A2">
        <w:rPr>
          <w:rFonts w:ascii="Times New Roman" w:hAnsi="Times New Roman" w:cs="Times New Roman"/>
          <w:sz w:val="24"/>
          <w:szCs w:val="24"/>
          <w:lang w:val="en-GB"/>
        </w:rPr>
        <w:t>to</w:t>
      </w:r>
      <w:r w:rsidR="00563447">
        <w:rPr>
          <w:rFonts w:ascii="Times New Roman" w:hAnsi="Times New Roman" w:cs="Times New Roman"/>
          <w:sz w:val="24"/>
          <w:szCs w:val="24"/>
          <w:lang w:val="en-GB"/>
        </w:rPr>
        <w:t xml:space="preserve"> </w:t>
      </w:r>
      <w:r w:rsidR="00CF2441">
        <w:rPr>
          <w:rFonts w:ascii="Times New Roman" w:hAnsi="Times New Roman" w:cs="Times New Roman"/>
          <w:sz w:val="24"/>
          <w:szCs w:val="24"/>
          <w:lang w:val="en-GB"/>
        </w:rPr>
        <w:t xml:space="preserve">dismiss the application with punitive costs. </w:t>
      </w:r>
    </w:p>
    <w:p w:rsidR="00CF2441" w:rsidRDefault="00CF2441" w:rsidP="007D20D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Before I delve into the merits of the application, it is pertinent for me to make some observations in respect of the cases of the second and third respondents. The second respondent, the record reveals</w:t>
      </w:r>
      <w:r w:rsidR="00E32C8D">
        <w:rPr>
          <w:rFonts w:ascii="Times New Roman" w:hAnsi="Times New Roman" w:cs="Times New Roman"/>
          <w:sz w:val="24"/>
          <w:szCs w:val="24"/>
          <w:lang w:val="en-GB"/>
        </w:rPr>
        <w:t>,</w:t>
      </w:r>
      <w:r>
        <w:rPr>
          <w:rFonts w:ascii="Times New Roman" w:hAnsi="Times New Roman" w:cs="Times New Roman"/>
          <w:sz w:val="24"/>
          <w:szCs w:val="24"/>
          <w:lang w:val="en-GB"/>
        </w:rPr>
        <w:t xml:space="preserve"> did not react to the application at all. She did not oppose the application or file Heads</w:t>
      </w:r>
      <w:r w:rsidR="0031167C">
        <w:rPr>
          <w:rFonts w:ascii="Times New Roman" w:hAnsi="Times New Roman" w:cs="Times New Roman"/>
          <w:sz w:val="24"/>
          <w:szCs w:val="24"/>
          <w:lang w:val="en-GB"/>
        </w:rPr>
        <w:t xml:space="preserve">. </w:t>
      </w:r>
      <w:r w:rsidR="00D935A2">
        <w:rPr>
          <w:rFonts w:ascii="Times New Roman" w:hAnsi="Times New Roman" w:cs="Times New Roman"/>
          <w:sz w:val="24"/>
          <w:szCs w:val="24"/>
          <w:lang w:val="en-GB"/>
        </w:rPr>
        <w:t xml:space="preserve"> </w:t>
      </w:r>
      <w:r w:rsidR="0031167C">
        <w:rPr>
          <w:rFonts w:ascii="Times New Roman" w:hAnsi="Times New Roman" w:cs="Times New Roman"/>
          <w:sz w:val="24"/>
          <w:szCs w:val="24"/>
          <w:lang w:val="en-GB"/>
        </w:rPr>
        <w:t>N</w:t>
      </w:r>
      <w:r w:rsidR="00D935A2">
        <w:rPr>
          <w:rFonts w:ascii="Times New Roman" w:hAnsi="Times New Roman" w:cs="Times New Roman"/>
          <w:sz w:val="24"/>
          <w:szCs w:val="24"/>
          <w:lang w:val="en-GB"/>
        </w:rPr>
        <w:t>or did she</w:t>
      </w:r>
      <w:r>
        <w:rPr>
          <w:rFonts w:ascii="Times New Roman" w:hAnsi="Times New Roman" w:cs="Times New Roman"/>
          <w:sz w:val="24"/>
          <w:szCs w:val="24"/>
          <w:lang w:val="en-GB"/>
        </w:rPr>
        <w:t xml:space="preserve"> attend court when the matter was heard. The fifth respondent filed his notice of opposition as well as his Heads. But he did not attend court on the set down date o</w:t>
      </w:r>
      <w:r w:rsidR="00D935A2">
        <w:rPr>
          <w:rFonts w:ascii="Times New Roman" w:hAnsi="Times New Roman" w:cs="Times New Roman"/>
          <w:sz w:val="24"/>
          <w:szCs w:val="24"/>
          <w:lang w:val="en-GB"/>
        </w:rPr>
        <w:t>f</w:t>
      </w:r>
      <w:r>
        <w:rPr>
          <w:rFonts w:ascii="Times New Roman" w:hAnsi="Times New Roman" w:cs="Times New Roman"/>
          <w:sz w:val="24"/>
          <w:szCs w:val="24"/>
          <w:lang w:val="en-GB"/>
        </w:rPr>
        <w:t xml:space="preserve"> the application. </w:t>
      </w:r>
    </w:p>
    <w:p w:rsidR="002572A9" w:rsidRDefault="00CF2441" w:rsidP="007D20D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Ordinarily, default judgment would have been entered against the second and third respondents. It would have been entered against them at the applicant’s mere application without any further ado.</w:t>
      </w:r>
      <w:r w:rsidR="002572A9">
        <w:rPr>
          <w:rFonts w:ascii="Times New Roman" w:hAnsi="Times New Roman" w:cs="Times New Roman"/>
          <w:sz w:val="24"/>
          <w:szCs w:val="24"/>
          <w:lang w:val="en-GB"/>
        </w:rPr>
        <w:t xml:space="preserve"> It would have been entered because, from a </w:t>
      </w:r>
      <w:r w:rsidR="002572A9" w:rsidRPr="002572A9">
        <w:rPr>
          <w:rFonts w:ascii="Times New Roman" w:hAnsi="Times New Roman" w:cs="Times New Roman"/>
          <w:i/>
          <w:sz w:val="24"/>
          <w:szCs w:val="24"/>
          <w:lang w:val="en-GB"/>
        </w:rPr>
        <w:t xml:space="preserve">prima </w:t>
      </w:r>
      <w:r w:rsidR="00E32C8D">
        <w:rPr>
          <w:rFonts w:ascii="Times New Roman" w:hAnsi="Times New Roman" w:cs="Times New Roman"/>
          <w:i/>
          <w:sz w:val="24"/>
          <w:szCs w:val="24"/>
          <w:lang w:val="en-GB"/>
        </w:rPr>
        <w:t>fa</w:t>
      </w:r>
      <w:r w:rsidR="00E32C8D" w:rsidRPr="002572A9">
        <w:rPr>
          <w:rFonts w:ascii="Times New Roman" w:hAnsi="Times New Roman" w:cs="Times New Roman"/>
          <w:i/>
          <w:sz w:val="24"/>
          <w:szCs w:val="24"/>
          <w:lang w:val="en-GB"/>
        </w:rPr>
        <w:t>cie</w:t>
      </w:r>
      <w:r w:rsidR="002572A9">
        <w:rPr>
          <w:rFonts w:ascii="Times New Roman" w:hAnsi="Times New Roman" w:cs="Times New Roman"/>
          <w:sz w:val="24"/>
          <w:szCs w:val="24"/>
          <w:lang w:val="en-GB"/>
        </w:rPr>
        <w:t xml:space="preserve"> perspective, both respondents were/are in default.</w:t>
      </w:r>
    </w:p>
    <w:p w:rsidR="00F3743E" w:rsidRDefault="002572A9" w:rsidP="007D20D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question which </w:t>
      </w:r>
      <w:r w:rsidR="00D935A2">
        <w:rPr>
          <w:rFonts w:ascii="Times New Roman" w:hAnsi="Times New Roman" w:cs="Times New Roman"/>
          <w:sz w:val="24"/>
          <w:szCs w:val="24"/>
          <w:lang w:val="en-GB"/>
        </w:rPr>
        <w:t xml:space="preserve">begs </w:t>
      </w:r>
      <w:r>
        <w:rPr>
          <w:rFonts w:ascii="Times New Roman" w:hAnsi="Times New Roman" w:cs="Times New Roman"/>
          <w:sz w:val="24"/>
          <w:szCs w:val="24"/>
          <w:lang w:val="en-GB"/>
        </w:rPr>
        <w:t xml:space="preserve">the answer is whether or not default </w:t>
      </w:r>
      <w:r w:rsidR="00E32C8D">
        <w:rPr>
          <w:rFonts w:ascii="Times New Roman" w:hAnsi="Times New Roman" w:cs="Times New Roman"/>
          <w:sz w:val="24"/>
          <w:szCs w:val="24"/>
          <w:lang w:val="en-GB"/>
        </w:rPr>
        <w:t>judgment</w:t>
      </w:r>
      <w:r>
        <w:rPr>
          <w:rFonts w:ascii="Times New Roman" w:hAnsi="Times New Roman" w:cs="Times New Roman"/>
          <w:sz w:val="24"/>
          <w:szCs w:val="24"/>
          <w:lang w:val="en-GB"/>
        </w:rPr>
        <w:t xml:space="preserve"> would readily have been granted against the one</w:t>
      </w:r>
      <w:r w:rsidR="00E32C8D">
        <w:rPr>
          <w:rFonts w:ascii="Times New Roman" w:hAnsi="Times New Roman" w:cs="Times New Roman"/>
          <w:sz w:val="24"/>
          <w:szCs w:val="24"/>
          <w:lang w:val="en-GB"/>
        </w:rPr>
        <w:t>,</w:t>
      </w:r>
      <w:r>
        <w:rPr>
          <w:rFonts w:ascii="Times New Roman" w:hAnsi="Times New Roman" w:cs="Times New Roman"/>
          <w:sz w:val="24"/>
          <w:szCs w:val="24"/>
          <w:lang w:val="en-GB"/>
        </w:rPr>
        <w:t xml:space="preserve"> or the other</w:t>
      </w:r>
      <w:r w:rsidR="00E32C8D">
        <w:rPr>
          <w:rFonts w:ascii="Times New Roman" w:hAnsi="Times New Roman" w:cs="Times New Roman"/>
          <w:sz w:val="24"/>
          <w:szCs w:val="24"/>
          <w:lang w:val="en-GB"/>
        </w:rPr>
        <w:t>,</w:t>
      </w:r>
      <w:r>
        <w:rPr>
          <w:rFonts w:ascii="Times New Roman" w:hAnsi="Times New Roman" w:cs="Times New Roman"/>
          <w:sz w:val="24"/>
          <w:szCs w:val="24"/>
          <w:lang w:val="en-GB"/>
        </w:rPr>
        <w:t xml:space="preserve"> or both respondents. A number of observed factors qual</w:t>
      </w:r>
      <w:r w:rsidR="00CD6771">
        <w:rPr>
          <w:rFonts w:ascii="Times New Roman" w:hAnsi="Times New Roman" w:cs="Times New Roman"/>
          <w:sz w:val="24"/>
          <w:szCs w:val="24"/>
          <w:lang w:val="en-GB"/>
        </w:rPr>
        <w:t>ify the answer to the question</w:t>
      </w:r>
      <w:r w:rsidR="00EF72DB">
        <w:rPr>
          <w:rFonts w:ascii="Times New Roman" w:hAnsi="Times New Roman" w:cs="Times New Roman"/>
          <w:sz w:val="24"/>
          <w:szCs w:val="24"/>
          <w:lang w:val="en-GB"/>
        </w:rPr>
        <w:t>.</w:t>
      </w:r>
      <w:r w:rsidR="00CD677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 </w:t>
      </w:r>
      <w:r w:rsidR="00CD6771">
        <w:rPr>
          <w:rFonts w:ascii="Times New Roman" w:hAnsi="Times New Roman" w:cs="Times New Roman"/>
          <w:sz w:val="24"/>
          <w:szCs w:val="24"/>
          <w:lang w:val="en-GB"/>
        </w:rPr>
        <w:t>state he</w:t>
      </w:r>
      <w:r w:rsidR="00F3743E">
        <w:rPr>
          <w:rFonts w:ascii="Times New Roman" w:hAnsi="Times New Roman" w:cs="Times New Roman"/>
          <w:sz w:val="24"/>
          <w:szCs w:val="24"/>
          <w:lang w:val="en-GB"/>
        </w:rPr>
        <w:t>re</w:t>
      </w:r>
      <w:r w:rsidR="00CD6771">
        <w:rPr>
          <w:rFonts w:ascii="Times New Roman" w:hAnsi="Times New Roman" w:cs="Times New Roman"/>
          <w:sz w:val="24"/>
          <w:szCs w:val="24"/>
          <w:lang w:val="en-GB"/>
        </w:rPr>
        <w:t>u</w:t>
      </w:r>
      <w:r>
        <w:rPr>
          <w:rFonts w:ascii="Times New Roman" w:hAnsi="Times New Roman" w:cs="Times New Roman"/>
          <w:sz w:val="24"/>
          <w:szCs w:val="24"/>
          <w:lang w:val="en-GB"/>
        </w:rPr>
        <w:t>nder those factors as follows:</w:t>
      </w:r>
    </w:p>
    <w:p w:rsidR="00CB6B9E" w:rsidRDefault="008B7D09" w:rsidP="00CB6B9E">
      <w:pPr>
        <w:pStyle w:val="ListParagraph"/>
        <w:numPr>
          <w:ilvl w:val="0"/>
          <w:numId w:val="23"/>
        </w:numPr>
        <w:spacing w:after="0" w:line="360" w:lineRule="auto"/>
        <w:jc w:val="both"/>
        <w:rPr>
          <w:rFonts w:ascii="Times New Roman" w:hAnsi="Times New Roman" w:cs="Times New Roman"/>
          <w:sz w:val="24"/>
          <w:szCs w:val="24"/>
          <w:u w:val="single"/>
          <w:lang w:val="en-GB"/>
        </w:rPr>
      </w:pPr>
      <w:r w:rsidRPr="00CB6B9E">
        <w:rPr>
          <w:rFonts w:ascii="Times New Roman" w:hAnsi="Times New Roman" w:cs="Times New Roman"/>
          <w:sz w:val="24"/>
          <w:szCs w:val="24"/>
          <w:u w:val="single"/>
          <w:lang w:val="en-GB"/>
        </w:rPr>
        <w:lastRenderedPageBreak/>
        <w:t xml:space="preserve">Certificate of </w:t>
      </w:r>
      <w:r w:rsidR="00CD6771">
        <w:rPr>
          <w:rFonts w:ascii="Times New Roman" w:hAnsi="Times New Roman" w:cs="Times New Roman"/>
          <w:sz w:val="24"/>
          <w:szCs w:val="24"/>
          <w:u w:val="single"/>
          <w:lang w:val="en-GB"/>
        </w:rPr>
        <w:t>S</w:t>
      </w:r>
      <w:r w:rsidRPr="00CB6B9E">
        <w:rPr>
          <w:rFonts w:ascii="Times New Roman" w:hAnsi="Times New Roman" w:cs="Times New Roman"/>
          <w:sz w:val="24"/>
          <w:szCs w:val="24"/>
          <w:u w:val="single"/>
          <w:lang w:val="en-GB"/>
        </w:rPr>
        <w:t xml:space="preserve">ervice </w:t>
      </w:r>
    </w:p>
    <w:p w:rsidR="00CB6B9E" w:rsidRDefault="008B7D09" w:rsidP="00CB6B9E">
      <w:pPr>
        <w:spacing w:after="0" w:line="360" w:lineRule="auto"/>
        <w:ind w:left="720"/>
        <w:jc w:val="both"/>
        <w:rPr>
          <w:rFonts w:ascii="Times New Roman" w:hAnsi="Times New Roman" w:cs="Times New Roman"/>
          <w:sz w:val="24"/>
          <w:szCs w:val="24"/>
          <w:lang w:val="en-GB"/>
        </w:rPr>
      </w:pPr>
      <w:r w:rsidRPr="00CB6B9E">
        <w:rPr>
          <w:rFonts w:ascii="Times New Roman" w:hAnsi="Times New Roman" w:cs="Times New Roman"/>
          <w:sz w:val="24"/>
          <w:szCs w:val="24"/>
          <w:lang w:val="en-GB"/>
        </w:rPr>
        <w:t xml:space="preserve">The deponent of the founding affidavit states that she served the application on the </w:t>
      </w:r>
    </w:p>
    <w:p w:rsidR="008B7D09" w:rsidRPr="00CB6B9E" w:rsidRDefault="008B7D09" w:rsidP="00CB6B9E">
      <w:pPr>
        <w:spacing w:after="0" w:line="360" w:lineRule="auto"/>
        <w:jc w:val="both"/>
        <w:rPr>
          <w:rFonts w:ascii="Times New Roman" w:hAnsi="Times New Roman" w:cs="Times New Roman"/>
          <w:sz w:val="24"/>
          <w:szCs w:val="24"/>
          <w:u w:val="single"/>
          <w:lang w:val="en-GB"/>
        </w:rPr>
      </w:pPr>
      <w:r w:rsidRPr="00CB6B9E">
        <w:rPr>
          <w:rFonts w:ascii="Times New Roman" w:hAnsi="Times New Roman" w:cs="Times New Roman"/>
          <w:sz w:val="24"/>
          <w:szCs w:val="24"/>
          <w:lang w:val="en-GB"/>
        </w:rPr>
        <w:t xml:space="preserve">second respondent. She makes mention of that matter in what she describes as her certificate </w:t>
      </w:r>
      <w:r w:rsidR="00CD6771">
        <w:rPr>
          <w:rFonts w:ascii="Times New Roman" w:hAnsi="Times New Roman" w:cs="Times New Roman"/>
          <w:sz w:val="24"/>
          <w:szCs w:val="24"/>
          <w:lang w:val="en-GB"/>
        </w:rPr>
        <w:t>of service</w:t>
      </w:r>
      <w:r w:rsidR="00E32C8D">
        <w:rPr>
          <w:rFonts w:ascii="Times New Roman" w:hAnsi="Times New Roman" w:cs="Times New Roman"/>
          <w:sz w:val="24"/>
          <w:szCs w:val="24"/>
          <w:lang w:val="en-GB"/>
        </w:rPr>
        <w:t>. S</w:t>
      </w:r>
      <w:r w:rsidR="00CD6771">
        <w:rPr>
          <w:rFonts w:ascii="Times New Roman" w:hAnsi="Times New Roman" w:cs="Times New Roman"/>
          <w:sz w:val="24"/>
          <w:szCs w:val="24"/>
          <w:lang w:val="en-GB"/>
        </w:rPr>
        <w:t xml:space="preserve">he filed it </w:t>
      </w:r>
      <w:r w:rsidRPr="00CB6B9E">
        <w:rPr>
          <w:rFonts w:ascii="Times New Roman" w:hAnsi="Times New Roman" w:cs="Times New Roman"/>
          <w:sz w:val="24"/>
          <w:szCs w:val="24"/>
          <w:lang w:val="en-GB"/>
        </w:rPr>
        <w:t xml:space="preserve">on 3 June, 2020. It appears at page 203 of the record. </w:t>
      </w:r>
    </w:p>
    <w:p w:rsidR="008B7D09" w:rsidRDefault="008B7D09" w:rsidP="008B7D0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defects which are inherent </w:t>
      </w:r>
      <w:r w:rsidRPr="008B7D09">
        <w:rPr>
          <w:rFonts w:ascii="Times New Roman" w:hAnsi="Times New Roman" w:cs="Times New Roman"/>
          <w:sz w:val="24"/>
          <w:szCs w:val="24"/>
          <w:lang w:val="en-GB"/>
        </w:rPr>
        <w:t>in</w:t>
      </w:r>
      <w:r>
        <w:rPr>
          <w:rFonts w:ascii="Times New Roman" w:hAnsi="Times New Roman" w:cs="Times New Roman"/>
          <w:sz w:val="24"/>
          <w:szCs w:val="24"/>
          <w:lang w:val="en-GB"/>
        </w:rPr>
        <w:t xml:space="preserve"> the certificate make it hard, if not impossible, for anyone let alone the court to appreciate its meaning and import. It is more of a sta</w:t>
      </w:r>
      <w:r w:rsidR="00E32C8D">
        <w:rPr>
          <w:rFonts w:ascii="Times New Roman" w:hAnsi="Times New Roman" w:cs="Times New Roman"/>
          <w:sz w:val="24"/>
          <w:szCs w:val="24"/>
          <w:lang w:val="en-GB"/>
        </w:rPr>
        <w:t>te</w:t>
      </w:r>
      <w:r>
        <w:rPr>
          <w:rFonts w:ascii="Times New Roman" w:hAnsi="Times New Roman" w:cs="Times New Roman"/>
          <w:sz w:val="24"/>
          <w:szCs w:val="24"/>
          <w:lang w:val="en-GB"/>
        </w:rPr>
        <w:t>men</w:t>
      </w:r>
      <w:r w:rsidR="00E32C8D">
        <w:rPr>
          <w:rFonts w:ascii="Times New Roman" w:hAnsi="Times New Roman" w:cs="Times New Roman"/>
          <w:sz w:val="24"/>
          <w:szCs w:val="24"/>
          <w:lang w:val="en-GB"/>
        </w:rPr>
        <w:t>t</w:t>
      </w:r>
      <w:r>
        <w:rPr>
          <w:rFonts w:ascii="Times New Roman" w:hAnsi="Times New Roman" w:cs="Times New Roman"/>
          <w:sz w:val="24"/>
          <w:szCs w:val="24"/>
          <w:lang w:val="en-GB"/>
        </w:rPr>
        <w:t xml:space="preserve"> than it is certificate. It does not mention the name of the person who served the application on the second respondent. The deponent who claims to be the legal practitioner of the applicant states that she served the application upon the second respondent. She</w:t>
      </w:r>
      <w:r w:rsidR="00CD6771">
        <w:rPr>
          <w:rFonts w:ascii="Times New Roman" w:hAnsi="Times New Roman" w:cs="Times New Roman"/>
          <w:sz w:val="24"/>
          <w:szCs w:val="24"/>
          <w:lang w:val="en-GB"/>
        </w:rPr>
        <w:t>,</w:t>
      </w:r>
      <w:r>
        <w:rPr>
          <w:rFonts w:ascii="Times New Roman" w:hAnsi="Times New Roman" w:cs="Times New Roman"/>
          <w:sz w:val="24"/>
          <w:szCs w:val="24"/>
          <w:lang w:val="en-GB"/>
        </w:rPr>
        <w:t xml:space="preserve"> however, does not state the name of the person to whom she handed the application when she called at the home of the second respondent</w:t>
      </w:r>
      <w:r w:rsidR="00E32C8D">
        <w:rPr>
          <w:rFonts w:ascii="Times New Roman" w:hAnsi="Times New Roman" w:cs="Times New Roman"/>
          <w:sz w:val="24"/>
          <w:szCs w:val="24"/>
          <w:lang w:val="en-GB"/>
        </w:rPr>
        <w:t>, if she did.</w:t>
      </w:r>
    </w:p>
    <w:p w:rsidR="00CD6771" w:rsidRDefault="008B7D09" w:rsidP="008B7D0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 certificate of service of court process which the High Court </w:t>
      </w:r>
      <w:r w:rsidR="000D1DE4">
        <w:rPr>
          <w:rFonts w:ascii="Times New Roman" w:hAnsi="Times New Roman" w:cs="Times New Roman"/>
          <w:sz w:val="24"/>
          <w:szCs w:val="24"/>
          <w:lang w:val="en-GB"/>
        </w:rPr>
        <w:t xml:space="preserve">Rules, 1971 accept is more than the statement which Ms </w:t>
      </w:r>
      <w:r w:rsidR="00536660">
        <w:rPr>
          <w:rFonts w:ascii="Times New Roman" w:hAnsi="Times New Roman" w:cs="Times New Roman"/>
          <w:sz w:val="24"/>
          <w:szCs w:val="24"/>
          <w:lang w:val="en-GB"/>
        </w:rPr>
        <w:t>T</w:t>
      </w:r>
      <w:r w:rsidR="000D1DE4">
        <w:rPr>
          <w:rFonts w:ascii="Times New Roman" w:hAnsi="Times New Roman" w:cs="Times New Roman"/>
          <w:sz w:val="24"/>
          <w:szCs w:val="24"/>
          <w:lang w:val="en-GB"/>
        </w:rPr>
        <w:t xml:space="preserve">apiwa Kasema who is the deponent to the founding affidavit made. The certificate should be as per </w:t>
      </w:r>
      <w:r w:rsidR="00CD6771">
        <w:rPr>
          <w:rFonts w:ascii="Times New Roman" w:hAnsi="Times New Roman" w:cs="Times New Roman"/>
          <w:sz w:val="24"/>
          <w:szCs w:val="24"/>
          <w:lang w:val="en-GB"/>
        </w:rPr>
        <w:t>F</w:t>
      </w:r>
      <w:r w:rsidR="000D1DE4">
        <w:rPr>
          <w:rFonts w:ascii="Times New Roman" w:hAnsi="Times New Roman" w:cs="Times New Roman"/>
          <w:sz w:val="24"/>
          <w:szCs w:val="24"/>
          <w:lang w:val="en-GB"/>
        </w:rPr>
        <w:t xml:space="preserve">orm </w:t>
      </w:r>
      <w:r w:rsidR="00CD6771">
        <w:rPr>
          <w:rFonts w:ascii="Times New Roman" w:hAnsi="Times New Roman" w:cs="Times New Roman"/>
          <w:sz w:val="24"/>
          <w:szCs w:val="24"/>
          <w:lang w:val="en-GB"/>
        </w:rPr>
        <w:t>N</w:t>
      </w:r>
      <w:r w:rsidR="000D1DE4">
        <w:rPr>
          <w:rFonts w:ascii="Times New Roman" w:hAnsi="Times New Roman" w:cs="Times New Roman"/>
          <w:sz w:val="24"/>
          <w:szCs w:val="24"/>
          <w:lang w:val="en-GB"/>
        </w:rPr>
        <w:t>o. 6 or 7</w:t>
      </w:r>
      <w:r w:rsidR="00CD6771">
        <w:rPr>
          <w:rFonts w:ascii="Times New Roman" w:hAnsi="Times New Roman" w:cs="Times New Roman"/>
          <w:sz w:val="24"/>
          <w:szCs w:val="24"/>
          <w:lang w:val="en-GB"/>
        </w:rPr>
        <w:t>,</w:t>
      </w:r>
      <w:r w:rsidR="000D1DE4">
        <w:rPr>
          <w:rFonts w:ascii="Times New Roman" w:hAnsi="Times New Roman" w:cs="Times New Roman"/>
          <w:sz w:val="24"/>
          <w:szCs w:val="24"/>
          <w:lang w:val="en-GB"/>
        </w:rPr>
        <w:t xml:space="preserve"> as the case may be. It is provided for in </w:t>
      </w:r>
      <w:r w:rsidR="00CD6771">
        <w:rPr>
          <w:rFonts w:ascii="Times New Roman" w:hAnsi="Times New Roman" w:cs="Times New Roman"/>
          <w:sz w:val="24"/>
          <w:szCs w:val="24"/>
          <w:lang w:val="en-GB"/>
        </w:rPr>
        <w:t>O</w:t>
      </w:r>
      <w:r w:rsidR="000D1DE4">
        <w:rPr>
          <w:rFonts w:ascii="Times New Roman" w:hAnsi="Times New Roman" w:cs="Times New Roman"/>
          <w:sz w:val="24"/>
          <w:szCs w:val="24"/>
          <w:lang w:val="en-GB"/>
        </w:rPr>
        <w:t xml:space="preserve">rder 5 of </w:t>
      </w:r>
      <w:r w:rsidR="00CD6771">
        <w:rPr>
          <w:rFonts w:ascii="Times New Roman" w:hAnsi="Times New Roman" w:cs="Times New Roman"/>
          <w:sz w:val="24"/>
          <w:szCs w:val="24"/>
          <w:lang w:val="en-GB"/>
        </w:rPr>
        <w:t xml:space="preserve">the </w:t>
      </w:r>
      <w:r w:rsidR="000D1DE4">
        <w:rPr>
          <w:rFonts w:ascii="Times New Roman" w:hAnsi="Times New Roman" w:cs="Times New Roman"/>
          <w:sz w:val="24"/>
          <w:szCs w:val="24"/>
          <w:lang w:val="en-GB"/>
        </w:rPr>
        <w:t xml:space="preserve">rules of court. It is more often than not in </w:t>
      </w:r>
      <w:r w:rsidR="00CD6771">
        <w:rPr>
          <w:rFonts w:ascii="Times New Roman" w:hAnsi="Times New Roman" w:cs="Times New Roman"/>
          <w:sz w:val="24"/>
          <w:szCs w:val="24"/>
          <w:lang w:val="en-GB"/>
        </w:rPr>
        <w:t>F</w:t>
      </w:r>
      <w:r w:rsidR="000D1DE4">
        <w:rPr>
          <w:rFonts w:ascii="Times New Roman" w:hAnsi="Times New Roman" w:cs="Times New Roman"/>
          <w:sz w:val="24"/>
          <w:szCs w:val="24"/>
          <w:lang w:val="en-GB"/>
        </w:rPr>
        <w:t xml:space="preserve">orm </w:t>
      </w:r>
      <w:r w:rsidR="00CD6771">
        <w:rPr>
          <w:rFonts w:ascii="Times New Roman" w:hAnsi="Times New Roman" w:cs="Times New Roman"/>
          <w:sz w:val="24"/>
          <w:szCs w:val="24"/>
          <w:lang w:val="en-GB"/>
        </w:rPr>
        <w:t>N</w:t>
      </w:r>
      <w:r w:rsidR="000D1DE4">
        <w:rPr>
          <w:rFonts w:ascii="Times New Roman" w:hAnsi="Times New Roman" w:cs="Times New Roman"/>
          <w:sz w:val="24"/>
          <w:szCs w:val="24"/>
          <w:lang w:val="en-GB"/>
        </w:rPr>
        <w:t xml:space="preserve">o. 7 in terms of which </w:t>
      </w:r>
      <w:r w:rsidR="00CD6771">
        <w:rPr>
          <w:rFonts w:ascii="Times New Roman" w:hAnsi="Times New Roman" w:cs="Times New Roman"/>
          <w:sz w:val="24"/>
          <w:szCs w:val="24"/>
          <w:lang w:val="en-GB"/>
        </w:rPr>
        <w:t>the</w:t>
      </w:r>
      <w:r w:rsidR="000D1DE4">
        <w:rPr>
          <w:rFonts w:ascii="Times New Roman" w:hAnsi="Times New Roman" w:cs="Times New Roman"/>
          <w:sz w:val="24"/>
          <w:szCs w:val="24"/>
          <w:lang w:val="en-GB"/>
        </w:rPr>
        <w:t xml:space="preserve"> certificate must give the name of the </w:t>
      </w:r>
      <w:r w:rsidR="00CD6771">
        <w:rPr>
          <w:rFonts w:ascii="Times New Roman" w:hAnsi="Times New Roman" w:cs="Times New Roman"/>
          <w:sz w:val="24"/>
          <w:szCs w:val="24"/>
          <w:lang w:val="en-GB"/>
        </w:rPr>
        <w:t>c</w:t>
      </w:r>
      <w:r w:rsidR="000D1DE4">
        <w:rPr>
          <w:rFonts w:ascii="Times New Roman" w:hAnsi="Times New Roman" w:cs="Times New Roman"/>
          <w:sz w:val="24"/>
          <w:szCs w:val="24"/>
          <w:lang w:val="en-GB"/>
        </w:rPr>
        <w:t>lerk/ messenger/ employee of the applicant</w:t>
      </w:r>
      <w:r w:rsidR="00CD6771">
        <w:rPr>
          <w:rFonts w:ascii="Times New Roman" w:hAnsi="Times New Roman" w:cs="Times New Roman"/>
          <w:sz w:val="24"/>
          <w:szCs w:val="24"/>
          <w:lang w:val="en-GB"/>
        </w:rPr>
        <w:t>’</w:t>
      </w:r>
      <w:r w:rsidR="000D1DE4">
        <w:rPr>
          <w:rFonts w:ascii="Times New Roman" w:hAnsi="Times New Roman" w:cs="Times New Roman"/>
          <w:sz w:val="24"/>
          <w:szCs w:val="24"/>
          <w:lang w:val="en-GB"/>
        </w:rPr>
        <w:t>s legal practitioner</w:t>
      </w:r>
      <w:r w:rsidR="00E32C8D">
        <w:rPr>
          <w:rFonts w:ascii="Times New Roman" w:hAnsi="Times New Roman" w:cs="Times New Roman"/>
          <w:sz w:val="24"/>
          <w:szCs w:val="24"/>
          <w:lang w:val="en-GB"/>
        </w:rPr>
        <w:t xml:space="preserve"> who served process on the other party</w:t>
      </w:r>
      <w:r w:rsidR="000D1DE4">
        <w:rPr>
          <w:rFonts w:ascii="Times New Roman" w:hAnsi="Times New Roman" w:cs="Times New Roman"/>
          <w:sz w:val="24"/>
          <w:szCs w:val="24"/>
          <w:lang w:val="en-GB"/>
        </w:rPr>
        <w:t xml:space="preserve">. </w:t>
      </w:r>
    </w:p>
    <w:p w:rsidR="000D1DE4" w:rsidRDefault="000D1DE4" w:rsidP="00CD677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CD6771">
        <w:rPr>
          <w:rFonts w:ascii="Times New Roman" w:hAnsi="Times New Roman" w:cs="Times New Roman"/>
          <w:sz w:val="24"/>
          <w:szCs w:val="24"/>
          <w:lang w:val="en-GB"/>
        </w:rPr>
        <w:t>c</w:t>
      </w:r>
      <w:r>
        <w:rPr>
          <w:rFonts w:ascii="Times New Roman" w:hAnsi="Times New Roman" w:cs="Times New Roman"/>
          <w:sz w:val="24"/>
          <w:szCs w:val="24"/>
          <w:lang w:val="en-GB"/>
        </w:rPr>
        <w:t>lerk/employee/messenger makes a written statement certifying that he se</w:t>
      </w:r>
      <w:r w:rsidR="00CD6771">
        <w:rPr>
          <w:rFonts w:ascii="Times New Roman" w:hAnsi="Times New Roman" w:cs="Times New Roman"/>
          <w:sz w:val="24"/>
          <w:szCs w:val="24"/>
          <w:lang w:val="en-GB"/>
        </w:rPr>
        <w:t>r</w:t>
      </w:r>
      <w:r>
        <w:rPr>
          <w:rFonts w:ascii="Times New Roman" w:hAnsi="Times New Roman" w:cs="Times New Roman"/>
          <w:sz w:val="24"/>
          <w:szCs w:val="24"/>
          <w:lang w:val="en-GB"/>
        </w:rPr>
        <w:t>ve</w:t>
      </w:r>
      <w:r w:rsidR="00CD6771">
        <w:rPr>
          <w:rFonts w:ascii="Times New Roman" w:hAnsi="Times New Roman" w:cs="Times New Roman"/>
          <w:sz w:val="24"/>
          <w:szCs w:val="24"/>
          <w:lang w:val="en-GB"/>
        </w:rPr>
        <w:t>d</w:t>
      </w:r>
      <w:r>
        <w:rPr>
          <w:rFonts w:ascii="Times New Roman" w:hAnsi="Times New Roman" w:cs="Times New Roman"/>
          <w:sz w:val="24"/>
          <w:szCs w:val="24"/>
          <w:lang w:val="en-GB"/>
        </w:rPr>
        <w:t xml:space="preserve"> a copy of the application, </w:t>
      </w:r>
      <w:r w:rsidRPr="00536660">
        <w:rPr>
          <w:rFonts w:ascii="Times New Roman" w:hAnsi="Times New Roman" w:cs="Times New Roman"/>
          <w:i/>
          <w:sz w:val="24"/>
          <w:szCs w:val="24"/>
          <w:lang w:val="en-GB"/>
        </w:rPr>
        <w:t>in casu</w:t>
      </w:r>
      <w:r>
        <w:rPr>
          <w:rFonts w:ascii="Times New Roman" w:hAnsi="Times New Roman" w:cs="Times New Roman"/>
          <w:sz w:val="24"/>
          <w:szCs w:val="24"/>
          <w:lang w:val="en-GB"/>
        </w:rPr>
        <w:t>, upon the second respondent, that he served it on a particular person/responsible person who was/is at the respondent’s address of service. He mentions the date and time that he effected service of the process/application. He states, in the statement which</w:t>
      </w:r>
      <w:r w:rsidR="00536660">
        <w:rPr>
          <w:rFonts w:ascii="Times New Roman" w:hAnsi="Times New Roman" w:cs="Times New Roman"/>
          <w:sz w:val="24"/>
          <w:szCs w:val="24"/>
          <w:lang w:val="en-GB"/>
        </w:rPr>
        <w:t xml:space="preserve"> constitutes part of the certificate</w:t>
      </w:r>
      <w:r>
        <w:rPr>
          <w:rFonts w:ascii="Times New Roman" w:hAnsi="Times New Roman" w:cs="Times New Roman"/>
          <w:sz w:val="24"/>
          <w:szCs w:val="24"/>
          <w:lang w:val="en-GB"/>
        </w:rPr>
        <w:t xml:space="preserve">, that the person upon whom he effected service accepted the application/court process for, and on behalf of, </w:t>
      </w:r>
      <w:r w:rsidRPr="00536660">
        <w:rPr>
          <w:rFonts w:ascii="Times New Roman" w:hAnsi="Times New Roman" w:cs="Times New Roman"/>
          <w:i/>
          <w:sz w:val="24"/>
          <w:szCs w:val="24"/>
          <w:lang w:val="en-GB"/>
        </w:rPr>
        <w:t>in casu</w:t>
      </w:r>
      <w:r>
        <w:rPr>
          <w:rFonts w:ascii="Times New Roman" w:hAnsi="Times New Roman" w:cs="Times New Roman"/>
          <w:sz w:val="24"/>
          <w:szCs w:val="24"/>
          <w:lang w:val="en-GB"/>
        </w:rPr>
        <w:t>, the second respondent by signing on a copy of the application which the messenger/</w:t>
      </w:r>
      <w:r w:rsidR="0031167C">
        <w:rPr>
          <w:rFonts w:ascii="Times New Roman" w:hAnsi="Times New Roman" w:cs="Times New Roman"/>
          <w:sz w:val="24"/>
          <w:szCs w:val="24"/>
          <w:lang w:val="en-GB"/>
        </w:rPr>
        <w:t>c</w:t>
      </w:r>
      <w:r>
        <w:rPr>
          <w:rFonts w:ascii="Times New Roman" w:hAnsi="Times New Roman" w:cs="Times New Roman"/>
          <w:sz w:val="24"/>
          <w:szCs w:val="24"/>
          <w:lang w:val="en-GB"/>
        </w:rPr>
        <w:t xml:space="preserve">lerk/employee has retained. </w:t>
      </w:r>
    </w:p>
    <w:p w:rsidR="00C3170C" w:rsidRDefault="000D1DE4" w:rsidP="008B7D0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statement of the employee/</w:t>
      </w:r>
      <w:r w:rsidR="0031167C">
        <w:rPr>
          <w:rFonts w:ascii="Times New Roman" w:hAnsi="Times New Roman" w:cs="Times New Roman"/>
          <w:sz w:val="24"/>
          <w:szCs w:val="24"/>
          <w:lang w:val="en-GB"/>
        </w:rPr>
        <w:t>c</w:t>
      </w:r>
      <w:r w:rsidR="00D216DB">
        <w:rPr>
          <w:rFonts w:ascii="Times New Roman" w:hAnsi="Times New Roman" w:cs="Times New Roman"/>
          <w:sz w:val="24"/>
          <w:szCs w:val="24"/>
          <w:lang w:val="en-GB"/>
        </w:rPr>
        <w:t>lerk/</w:t>
      </w:r>
      <w:r>
        <w:rPr>
          <w:rFonts w:ascii="Times New Roman" w:hAnsi="Times New Roman" w:cs="Times New Roman"/>
          <w:sz w:val="24"/>
          <w:szCs w:val="24"/>
          <w:lang w:val="en-GB"/>
        </w:rPr>
        <w:t>messenger should be authenticated by the legal practitioner o</w:t>
      </w:r>
      <w:r w:rsidR="00CD6771">
        <w:rPr>
          <w:rFonts w:ascii="Times New Roman" w:hAnsi="Times New Roman" w:cs="Times New Roman"/>
          <w:sz w:val="24"/>
          <w:szCs w:val="24"/>
          <w:lang w:val="en-GB"/>
        </w:rPr>
        <w:t>f</w:t>
      </w:r>
      <w:r>
        <w:rPr>
          <w:rFonts w:ascii="Times New Roman" w:hAnsi="Times New Roman" w:cs="Times New Roman"/>
          <w:sz w:val="24"/>
          <w:szCs w:val="24"/>
          <w:lang w:val="en-GB"/>
        </w:rPr>
        <w:t xml:space="preserve">, </w:t>
      </w:r>
      <w:r w:rsidRPr="00536660">
        <w:rPr>
          <w:rFonts w:ascii="Times New Roman" w:hAnsi="Times New Roman" w:cs="Times New Roman"/>
          <w:i/>
          <w:sz w:val="24"/>
          <w:szCs w:val="24"/>
          <w:lang w:val="en-GB"/>
        </w:rPr>
        <w:t>in casu</w:t>
      </w:r>
      <w:r>
        <w:rPr>
          <w:rFonts w:ascii="Times New Roman" w:hAnsi="Times New Roman" w:cs="Times New Roman"/>
          <w:sz w:val="24"/>
          <w:szCs w:val="24"/>
          <w:lang w:val="en-GB"/>
        </w:rPr>
        <w:t xml:space="preserve">, the applicant. He certifies that he has satisfied himself by personal inquiry of his </w:t>
      </w:r>
      <w:r w:rsidR="00CD6771">
        <w:rPr>
          <w:rFonts w:ascii="Times New Roman" w:hAnsi="Times New Roman" w:cs="Times New Roman"/>
          <w:sz w:val="24"/>
          <w:szCs w:val="24"/>
          <w:lang w:val="en-GB"/>
        </w:rPr>
        <w:t>c</w:t>
      </w:r>
      <w:r>
        <w:rPr>
          <w:rFonts w:ascii="Times New Roman" w:hAnsi="Times New Roman" w:cs="Times New Roman"/>
          <w:sz w:val="24"/>
          <w:szCs w:val="24"/>
          <w:lang w:val="en-GB"/>
        </w:rPr>
        <w:t>lerk/</w:t>
      </w:r>
      <w:r w:rsidR="00CD6771">
        <w:rPr>
          <w:rFonts w:ascii="Times New Roman" w:hAnsi="Times New Roman" w:cs="Times New Roman"/>
          <w:sz w:val="24"/>
          <w:szCs w:val="24"/>
          <w:lang w:val="en-GB"/>
        </w:rPr>
        <w:t>m</w:t>
      </w:r>
      <w:r>
        <w:rPr>
          <w:rFonts w:ascii="Times New Roman" w:hAnsi="Times New Roman" w:cs="Times New Roman"/>
          <w:sz w:val="24"/>
          <w:szCs w:val="24"/>
          <w:lang w:val="en-GB"/>
        </w:rPr>
        <w:t>essenger/employee that service of the application/</w:t>
      </w:r>
      <w:r w:rsidR="00536660">
        <w:rPr>
          <w:rFonts w:ascii="Times New Roman" w:hAnsi="Times New Roman" w:cs="Times New Roman"/>
          <w:sz w:val="24"/>
          <w:szCs w:val="24"/>
          <w:lang w:val="en-GB"/>
        </w:rPr>
        <w:t xml:space="preserve">process has </w:t>
      </w:r>
      <w:r w:rsidR="00CD6771">
        <w:rPr>
          <w:rFonts w:ascii="Times New Roman" w:hAnsi="Times New Roman" w:cs="Times New Roman"/>
          <w:sz w:val="24"/>
          <w:szCs w:val="24"/>
          <w:lang w:val="en-GB"/>
        </w:rPr>
        <w:t xml:space="preserve">been </w:t>
      </w:r>
      <w:r w:rsidR="00536660">
        <w:rPr>
          <w:rFonts w:ascii="Times New Roman" w:hAnsi="Times New Roman" w:cs="Times New Roman"/>
          <w:sz w:val="24"/>
          <w:szCs w:val="24"/>
          <w:lang w:val="en-GB"/>
        </w:rPr>
        <w:t>effected as i</w:t>
      </w:r>
      <w:r w:rsidR="00CD6771">
        <w:rPr>
          <w:rFonts w:ascii="Times New Roman" w:hAnsi="Times New Roman" w:cs="Times New Roman"/>
          <w:sz w:val="24"/>
          <w:szCs w:val="24"/>
          <w:lang w:val="en-GB"/>
        </w:rPr>
        <w:t xml:space="preserve">s </w:t>
      </w:r>
      <w:r w:rsidR="00536660">
        <w:rPr>
          <w:rFonts w:ascii="Times New Roman" w:hAnsi="Times New Roman" w:cs="Times New Roman"/>
          <w:sz w:val="24"/>
          <w:szCs w:val="24"/>
          <w:lang w:val="en-GB"/>
        </w:rPr>
        <w:t xml:space="preserve">stated in the statement of the </w:t>
      </w:r>
      <w:r w:rsidR="0031167C">
        <w:rPr>
          <w:rFonts w:ascii="Times New Roman" w:hAnsi="Times New Roman" w:cs="Times New Roman"/>
          <w:sz w:val="24"/>
          <w:szCs w:val="24"/>
          <w:lang w:val="en-GB"/>
        </w:rPr>
        <w:t>c</w:t>
      </w:r>
      <w:r w:rsidR="00536660">
        <w:rPr>
          <w:rFonts w:ascii="Times New Roman" w:hAnsi="Times New Roman" w:cs="Times New Roman"/>
          <w:sz w:val="24"/>
          <w:szCs w:val="24"/>
          <w:lang w:val="en-GB"/>
        </w:rPr>
        <w:t>lerk/</w:t>
      </w:r>
      <w:r w:rsidR="0031167C">
        <w:rPr>
          <w:rFonts w:ascii="Times New Roman" w:hAnsi="Times New Roman" w:cs="Times New Roman"/>
          <w:sz w:val="24"/>
          <w:szCs w:val="24"/>
          <w:lang w:val="en-GB"/>
        </w:rPr>
        <w:t>m</w:t>
      </w:r>
      <w:r w:rsidR="00536660">
        <w:rPr>
          <w:rFonts w:ascii="Times New Roman" w:hAnsi="Times New Roman" w:cs="Times New Roman"/>
          <w:sz w:val="24"/>
          <w:szCs w:val="24"/>
          <w:lang w:val="en-GB"/>
        </w:rPr>
        <w:t xml:space="preserve">essenger/employee. The legal practitioner’s written part of the certificate states the date of his certification and the legal practitioner signs the certificate. </w:t>
      </w:r>
      <w:r w:rsidR="008B7D09">
        <w:rPr>
          <w:rFonts w:ascii="Times New Roman" w:hAnsi="Times New Roman" w:cs="Times New Roman"/>
          <w:sz w:val="24"/>
          <w:szCs w:val="24"/>
          <w:lang w:val="en-GB"/>
        </w:rPr>
        <w:t xml:space="preserve"> </w:t>
      </w:r>
    </w:p>
    <w:p w:rsidR="00CE396E" w:rsidRDefault="00C3170C" w:rsidP="008B7D0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rigorous procedure of preparing and filing the certificate o</w:t>
      </w:r>
      <w:r w:rsidR="00CD6771">
        <w:rPr>
          <w:rFonts w:ascii="Times New Roman" w:hAnsi="Times New Roman" w:cs="Times New Roman"/>
          <w:sz w:val="24"/>
          <w:szCs w:val="24"/>
          <w:lang w:val="en-GB"/>
        </w:rPr>
        <w:t>f</w:t>
      </w:r>
      <w:r>
        <w:rPr>
          <w:rFonts w:ascii="Times New Roman" w:hAnsi="Times New Roman" w:cs="Times New Roman"/>
          <w:sz w:val="24"/>
          <w:szCs w:val="24"/>
          <w:lang w:val="en-GB"/>
        </w:rPr>
        <w:t xml:space="preserve"> service of court process in the manner which is described above serves a specific purpose. It </w:t>
      </w:r>
      <w:r w:rsidR="00CD6771">
        <w:rPr>
          <w:rFonts w:ascii="Times New Roman" w:hAnsi="Times New Roman" w:cs="Times New Roman"/>
          <w:sz w:val="24"/>
          <w:szCs w:val="24"/>
          <w:lang w:val="en-GB"/>
        </w:rPr>
        <w:t>confirms the statement of</w:t>
      </w:r>
      <w:r>
        <w:rPr>
          <w:rFonts w:ascii="Times New Roman" w:hAnsi="Times New Roman" w:cs="Times New Roman"/>
          <w:sz w:val="24"/>
          <w:szCs w:val="24"/>
          <w:lang w:val="en-GB"/>
        </w:rPr>
        <w:t xml:space="preserve"> the party who serves process on the other that service has</w:t>
      </w:r>
      <w:r w:rsidR="00DB2BED">
        <w:rPr>
          <w:rFonts w:ascii="Times New Roman" w:hAnsi="Times New Roman" w:cs="Times New Roman"/>
          <w:sz w:val="24"/>
          <w:szCs w:val="24"/>
          <w:lang w:val="en-GB"/>
        </w:rPr>
        <w:t>,</w:t>
      </w:r>
      <w:r>
        <w:rPr>
          <w:rFonts w:ascii="Times New Roman" w:hAnsi="Times New Roman" w:cs="Times New Roman"/>
          <w:sz w:val="24"/>
          <w:szCs w:val="24"/>
          <w:lang w:val="en-GB"/>
        </w:rPr>
        <w:t xml:space="preserve"> indeed</w:t>
      </w:r>
      <w:r w:rsidR="00DB2BED">
        <w:rPr>
          <w:rFonts w:ascii="Times New Roman" w:hAnsi="Times New Roman" w:cs="Times New Roman"/>
          <w:sz w:val="24"/>
          <w:szCs w:val="24"/>
          <w:lang w:val="en-GB"/>
        </w:rPr>
        <w:t>,</w:t>
      </w:r>
      <w:r>
        <w:rPr>
          <w:rFonts w:ascii="Times New Roman" w:hAnsi="Times New Roman" w:cs="Times New Roman"/>
          <w:sz w:val="24"/>
          <w:szCs w:val="24"/>
          <w:lang w:val="en-GB"/>
        </w:rPr>
        <w:t xml:space="preserve"> been effected. This occurs </w:t>
      </w:r>
      <w:r>
        <w:rPr>
          <w:rFonts w:ascii="Times New Roman" w:hAnsi="Times New Roman" w:cs="Times New Roman"/>
          <w:sz w:val="24"/>
          <w:szCs w:val="24"/>
          <w:lang w:val="en-GB"/>
        </w:rPr>
        <w:lastRenderedPageBreak/>
        <w:t>where the other party challenges the issue of service of process having been effected upon him. Production of the certificate of service which is in the c</w:t>
      </w:r>
      <w:r w:rsidR="00CD6771">
        <w:rPr>
          <w:rFonts w:ascii="Times New Roman" w:hAnsi="Times New Roman" w:cs="Times New Roman"/>
          <w:sz w:val="24"/>
          <w:szCs w:val="24"/>
          <w:lang w:val="en-GB"/>
        </w:rPr>
        <w:t>orrect</w:t>
      </w:r>
      <w:r>
        <w:rPr>
          <w:rFonts w:ascii="Times New Roman" w:hAnsi="Times New Roman" w:cs="Times New Roman"/>
          <w:sz w:val="24"/>
          <w:szCs w:val="24"/>
          <w:lang w:val="en-GB"/>
        </w:rPr>
        <w:t xml:space="preserve"> fo</w:t>
      </w:r>
      <w:r w:rsidR="00CD6771">
        <w:rPr>
          <w:rFonts w:ascii="Times New Roman" w:hAnsi="Times New Roman" w:cs="Times New Roman"/>
          <w:sz w:val="24"/>
          <w:szCs w:val="24"/>
          <w:lang w:val="en-GB"/>
        </w:rPr>
        <w:t>r</w:t>
      </w:r>
      <w:r>
        <w:rPr>
          <w:rFonts w:ascii="Times New Roman" w:hAnsi="Times New Roman" w:cs="Times New Roman"/>
          <w:sz w:val="24"/>
          <w:szCs w:val="24"/>
          <w:lang w:val="en-GB"/>
        </w:rPr>
        <w:t xml:space="preserve">m and substance becomes </w:t>
      </w:r>
      <w:r w:rsidR="00CD6771">
        <w:rPr>
          <w:rFonts w:ascii="Times New Roman" w:hAnsi="Times New Roman" w:cs="Times New Roman"/>
          <w:sz w:val="24"/>
          <w:szCs w:val="24"/>
          <w:lang w:val="en-GB"/>
        </w:rPr>
        <w:t>conclusive</w:t>
      </w:r>
      <w:r>
        <w:rPr>
          <w:rFonts w:ascii="Times New Roman" w:hAnsi="Times New Roman" w:cs="Times New Roman"/>
          <w:sz w:val="24"/>
          <w:szCs w:val="24"/>
          <w:lang w:val="en-GB"/>
        </w:rPr>
        <w:t xml:space="preserve"> evidence of service of court process having been effected on the party who challenges that process was not served upon him. The challenged party takes advantage of the stated procedure to prove, on a balance of probality, that</w:t>
      </w:r>
      <w:r w:rsidR="004F0437">
        <w:rPr>
          <w:rFonts w:ascii="Times New Roman" w:hAnsi="Times New Roman" w:cs="Times New Roman"/>
          <w:sz w:val="24"/>
          <w:szCs w:val="24"/>
          <w:lang w:val="en-GB"/>
        </w:rPr>
        <w:t>,</w:t>
      </w:r>
      <w:r>
        <w:rPr>
          <w:rFonts w:ascii="Times New Roman" w:hAnsi="Times New Roman" w:cs="Times New Roman"/>
          <w:sz w:val="24"/>
          <w:szCs w:val="24"/>
          <w:lang w:val="en-GB"/>
        </w:rPr>
        <w:t xml:space="preserve"> although the challenging party denies having received service of court process, the certificate which the challenged party retain</w:t>
      </w:r>
      <w:r w:rsidR="004F0437">
        <w:rPr>
          <w:rFonts w:ascii="Times New Roman" w:hAnsi="Times New Roman" w:cs="Times New Roman"/>
          <w:sz w:val="24"/>
          <w:szCs w:val="24"/>
          <w:lang w:val="en-GB"/>
        </w:rPr>
        <w:t>s</w:t>
      </w:r>
      <w:r>
        <w:rPr>
          <w:rFonts w:ascii="Times New Roman" w:hAnsi="Times New Roman" w:cs="Times New Roman"/>
          <w:sz w:val="24"/>
          <w:szCs w:val="24"/>
          <w:lang w:val="en-GB"/>
        </w:rPr>
        <w:t xml:space="preserve"> kills the issue of service of process upon him on its mere production. The certificate of service which is valid in terms of the rules of court serves as the serving party’s </w:t>
      </w:r>
      <w:r w:rsidR="00CE396E">
        <w:rPr>
          <w:rFonts w:ascii="Times New Roman" w:hAnsi="Times New Roman" w:cs="Times New Roman"/>
          <w:sz w:val="24"/>
          <w:szCs w:val="24"/>
          <w:lang w:val="en-GB"/>
        </w:rPr>
        <w:t>fall-back position where the other party mounts a challenge in respect of service o</w:t>
      </w:r>
      <w:r w:rsidR="004F0437">
        <w:rPr>
          <w:rFonts w:ascii="Times New Roman" w:hAnsi="Times New Roman" w:cs="Times New Roman"/>
          <w:sz w:val="24"/>
          <w:szCs w:val="24"/>
          <w:lang w:val="en-GB"/>
        </w:rPr>
        <w:t>f</w:t>
      </w:r>
      <w:r w:rsidR="00CE396E">
        <w:rPr>
          <w:rFonts w:ascii="Times New Roman" w:hAnsi="Times New Roman" w:cs="Times New Roman"/>
          <w:sz w:val="24"/>
          <w:szCs w:val="24"/>
          <w:lang w:val="en-GB"/>
        </w:rPr>
        <w:t xml:space="preserve"> process upon him. </w:t>
      </w:r>
      <w:r w:rsidR="004F0437">
        <w:rPr>
          <w:rFonts w:ascii="Times New Roman" w:hAnsi="Times New Roman" w:cs="Times New Roman"/>
          <w:sz w:val="24"/>
          <w:szCs w:val="24"/>
          <w:lang w:val="en-GB"/>
        </w:rPr>
        <w:t xml:space="preserve">It assists the challenged party in a great measure. </w:t>
      </w:r>
    </w:p>
    <w:p w:rsidR="00CE396E" w:rsidRDefault="00CE396E" w:rsidP="008B7D0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cannot state, with any degree of certainty</w:t>
      </w:r>
      <w:r w:rsidR="004F0437">
        <w:rPr>
          <w:rFonts w:ascii="Times New Roman" w:hAnsi="Times New Roman" w:cs="Times New Roman"/>
          <w:sz w:val="24"/>
          <w:szCs w:val="24"/>
          <w:lang w:val="en-GB"/>
        </w:rPr>
        <w:t>,</w:t>
      </w:r>
      <w:r>
        <w:rPr>
          <w:rFonts w:ascii="Times New Roman" w:hAnsi="Times New Roman" w:cs="Times New Roman"/>
          <w:sz w:val="24"/>
          <w:szCs w:val="24"/>
          <w:lang w:val="en-GB"/>
        </w:rPr>
        <w:t xml:space="preserve"> that he served the application upon the second respondent. He makes an unsubstantiated statement on the issue of his service of the application upon the respondent. He produces no evidence which shows that he served the same on h</w:t>
      </w:r>
      <w:r w:rsidR="004F0437">
        <w:rPr>
          <w:rFonts w:ascii="Times New Roman" w:hAnsi="Times New Roman" w:cs="Times New Roman"/>
          <w:sz w:val="24"/>
          <w:szCs w:val="24"/>
          <w:lang w:val="en-GB"/>
        </w:rPr>
        <w:t>er</w:t>
      </w:r>
      <w:r>
        <w:rPr>
          <w:rFonts w:ascii="Times New Roman" w:hAnsi="Times New Roman" w:cs="Times New Roman"/>
          <w:sz w:val="24"/>
          <w:szCs w:val="24"/>
          <w:lang w:val="en-GB"/>
        </w:rPr>
        <w:t xml:space="preserve">. He cannot support the allegation which he makes. He does not have a fall-back position upon which he can rely. The allegation which he makes does not suffice. </w:t>
      </w:r>
    </w:p>
    <w:p w:rsidR="00CE396E" w:rsidRDefault="00CE396E" w:rsidP="008B7D0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second respondent’s inaction to the application cannot, in the given circumstances, be held against her. The defective service of the application </w:t>
      </w:r>
      <w:r w:rsidR="0031167C">
        <w:rPr>
          <w:rFonts w:ascii="Times New Roman" w:hAnsi="Times New Roman" w:cs="Times New Roman"/>
          <w:sz w:val="24"/>
          <w:szCs w:val="24"/>
          <w:lang w:val="en-GB"/>
        </w:rPr>
        <w:t xml:space="preserve">upon her is as good as </w:t>
      </w:r>
      <w:r w:rsidR="004D483C">
        <w:rPr>
          <w:rFonts w:ascii="Times New Roman" w:hAnsi="Times New Roman" w:cs="Times New Roman"/>
          <w:sz w:val="24"/>
          <w:szCs w:val="24"/>
          <w:lang w:val="en-GB"/>
        </w:rPr>
        <w:t xml:space="preserve">stating that </w:t>
      </w:r>
      <w:r w:rsidR="0031167C">
        <w:rPr>
          <w:rFonts w:ascii="Times New Roman" w:hAnsi="Times New Roman" w:cs="Times New Roman"/>
          <w:sz w:val="24"/>
          <w:szCs w:val="24"/>
          <w:lang w:val="en-GB"/>
        </w:rPr>
        <w:t>no application has been served upon her</w:t>
      </w:r>
      <w:r w:rsidR="003673C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She is, in the circumstances of this case</w:t>
      </w:r>
      <w:r w:rsidR="004F0437">
        <w:rPr>
          <w:rFonts w:ascii="Times New Roman" w:hAnsi="Times New Roman" w:cs="Times New Roman"/>
          <w:sz w:val="24"/>
          <w:szCs w:val="24"/>
          <w:lang w:val="en-GB"/>
        </w:rPr>
        <w:t>,</w:t>
      </w:r>
      <w:r>
        <w:rPr>
          <w:rFonts w:ascii="Times New Roman" w:hAnsi="Times New Roman" w:cs="Times New Roman"/>
          <w:sz w:val="24"/>
          <w:szCs w:val="24"/>
          <w:lang w:val="en-GB"/>
        </w:rPr>
        <w:t xml:space="preserve"> accorded the benefit of the doubt. She cannot be penalised for an omission which is not of her own making. </w:t>
      </w:r>
    </w:p>
    <w:p w:rsidR="00CE396E" w:rsidRDefault="00CE396E"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w:t>
      </w:r>
      <w:r>
        <w:rPr>
          <w:rFonts w:ascii="Times New Roman" w:hAnsi="Times New Roman" w:cs="Times New Roman"/>
          <w:sz w:val="24"/>
          <w:szCs w:val="24"/>
          <w:lang w:val="en-GB"/>
        </w:rPr>
        <w:tab/>
      </w:r>
      <w:r w:rsidRPr="005F5EEB">
        <w:rPr>
          <w:rFonts w:ascii="Times New Roman" w:hAnsi="Times New Roman" w:cs="Times New Roman"/>
          <w:sz w:val="24"/>
          <w:szCs w:val="24"/>
          <w:u w:val="single"/>
          <w:lang w:val="en-GB"/>
        </w:rPr>
        <w:t>Sheriff’s return of service</w:t>
      </w:r>
    </w:p>
    <w:p w:rsidR="005F5EEB" w:rsidRDefault="00CE396E" w:rsidP="00CB6B9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is fortuitous that</w:t>
      </w:r>
      <w:r w:rsidR="004D483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D216DB">
        <w:rPr>
          <w:rFonts w:ascii="Times New Roman" w:hAnsi="Times New Roman" w:cs="Times New Roman"/>
          <w:sz w:val="24"/>
          <w:szCs w:val="24"/>
          <w:lang w:val="en-GB"/>
        </w:rPr>
        <w:t xml:space="preserve">notwithstanding the defective service of </w:t>
      </w:r>
      <w:r w:rsidR="004D483C">
        <w:rPr>
          <w:rFonts w:ascii="Times New Roman" w:hAnsi="Times New Roman" w:cs="Times New Roman"/>
          <w:sz w:val="24"/>
          <w:szCs w:val="24"/>
          <w:lang w:val="en-GB"/>
        </w:rPr>
        <w:t>process,</w:t>
      </w:r>
      <w:r>
        <w:rPr>
          <w:rFonts w:ascii="Times New Roman" w:hAnsi="Times New Roman" w:cs="Times New Roman"/>
          <w:sz w:val="24"/>
          <w:szCs w:val="24"/>
          <w:lang w:val="en-GB"/>
        </w:rPr>
        <w:t>the application and the applicant’s Heads found their way to the third respondent who opposed the application and f</w:t>
      </w:r>
      <w:r w:rsidR="003673C5">
        <w:rPr>
          <w:rFonts w:ascii="Times New Roman" w:hAnsi="Times New Roman" w:cs="Times New Roman"/>
          <w:sz w:val="24"/>
          <w:szCs w:val="24"/>
          <w:lang w:val="en-GB"/>
        </w:rPr>
        <w:t>i</w:t>
      </w:r>
      <w:r>
        <w:rPr>
          <w:rFonts w:ascii="Times New Roman" w:hAnsi="Times New Roman" w:cs="Times New Roman"/>
          <w:sz w:val="24"/>
          <w:szCs w:val="24"/>
          <w:lang w:val="en-GB"/>
        </w:rPr>
        <w:t xml:space="preserve">led his Heads. The third respondent’s non-attendance at court on the set down date requires some </w:t>
      </w:r>
      <w:r w:rsidR="004F0437">
        <w:rPr>
          <w:rFonts w:ascii="Times New Roman" w:hAnsi="Times New Roman" w:cs="Times New Roman"/>
          <w:sz w:val="24"/>
          <w:szCs w:val="24"/>
          <w:lang w:val="en-GB"/>
        </w:rPr>
        <w:t>comment</w:t>
      </w:r>
      <w:r>
        <w:rPr>
          <w:rFonts w:ascii="Times New Roman" w:hAnsi="Times New Roman" w:cs="Times New Roman"/>
          <w:sz w:val="24"/>
          <w:szCs w:val="24"/>
          <w:lang w:val="en-GB"/>
        </w:rPr>
        <w:t xml:space="preserve">. </w:t>
      </w:r>
      <w:r w:rsidR="004F0437">
        <w:rPr>
          <w:rFonts w:ascii="Times New Roman" w:hAnsi="Times New Roman" w:cs="Times New Roman"/>
          <w:sz w:val="24"/>
          <w:szCs w:val="24"/>
          <w:lang w:val="en-GB"/>
        </w:rPr>
        <w:t>His</w:t>
      </w:r>
      <w:r>
        <w:rPr>
          <w:rFonts w:ascii="Times New Roman" w:hAnsi="Times New Roman" w:cs="Times New Roman"/>
          <w:sz w:val="24"/>
          <w:szCs w:val="24"/>
          <w:lang w:val="en-GB"/>
        </w:rPr>
        <w:t xml:space="preserve"> non-attendance</w:t>
      </w:r>
      <w:r w:rsidR="004F0437">
        <w:rPr>
          <w:rFonts w:ascii="Times New Roman" w:hAnsi="Times New Roman" w:cs="Times New Roman"/>
          <w:sz w:val="24"/>
          <w:szCs w:val="24"/>
          <w:lang w:val="en-GB"/>
        </w:rPr>
        <w:t xml:space="preserve"> at court</w:t>
      </w:r>
      <w:r>
        <w:rPr>
          <w:rFonts w:ascii="Times New Roman" w:hAnsi="Times New Roman" w:cs="Times New Roman"/>
          <w:sz w:val="24"/>
          <w:szCs w:val="24"/>
          <w:lang w:val="en-GB"/>
        </w:rPr>
        <w:t xml:space="preserve"> does not lie with the applicant. It lies with the system of justice delivery. The Sheriff did not serve the notice</w:t>
      </w:r>
      <w:r w:rsidR="005F5EEB">
        <w:rPr>
          <w:rFonts w:ascii="Times New Roman" w:hAnsi="Times New Roman" w:cs="Times New Roman"/>
          <w:sz w:val="24"/>
          <w:szCs w:val="24"/>
          <w:lang w:val="en-GB"/>
        </w:rPr>
        <w:t xml:space="preserve"> of set down of the application upon the third respondent. His reason for not serving the notice remain</w:t>
      </w:r>
      <w:r w:rsidR="004D483C">
        <w:rPr>
          <w:rFonts w:ascii="Times New Roman" w:hAnsi="Times New Roman" w:cs="Times New Roman"/>
          <w:sz w:val="24"/>
          <w:szCs w:val="24"/>
          <w:lang w:val="en-GB"/>
        </w:rPr>
        <w:t>s</w:t>
      </w:r>
      <w:r w:rsidR="005F5EEB">
        <w:rPr>
          <w:rFonts w:ascii="Times New Roman" w:hAnsi="Times New Roman" w:cs="Times New Roman"/>
          <w:sz w:val="24"/>
          <w:szCs w:val="24"/>
          <w:lang w:val="en-GB"/>
        </w:rPr>
        <w:t xml:space="preserve"> unknown. </w:t>
      </w:r>
    </w:p>
    <w:p w:rsidR="005F5EEB" w:rsidRDefault="005F5EEB"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third respondent is not to blame for the perceived default. The justice delivery system, and not the applicant, failed him. If he had received notice of set down of the application, he, in all probability, would have made every effort to a</w:t>
      </w:r>
      <w:r w:rsidR="004F0437">
        <w:rPr>
          <w:rFonts w:ascii="Times New Roman" w:hAnsi="Times New Roman" w:cs="Times New Roman"/>
          <w:sz w:val="24"/>
          <w:szCs w:val="24"/>
          <w:lang w:val="en-GB"/>
        </w:rPr>
        <w:t>tend</w:t>
      </w:r>
      <w:r>
        <w:rPr>
          <w:rFonts w:ascii="Times New Roman" w:hAnsi="Times New Roman" w:cs="Times New Roman"/>
          <w:sz w:val="24"/>
          <w:szCs w:val="24"/>
          <w:lang w:val="en-GB"/>
        </w:rPr>
        <w:t xml:space="preserve"> and defend his position vis-a-vis the suit. He </w:t>
      </w:r>
      <w:r w:rsidR="004F0437">
        <w:rPr>
          <w:rFonts w:ascii="Times New Roman" w:hAnsi="Times New Roman" w:cs="Times New Roman"/>
          <w:sz w:val="24"/>
          <w:szCs w:val="24"/>
          <w:lang w:val="en-GB"/>
        </w:rPr>
        <w:t>w</w:t>
      </w:r>
      <w:r>
        <w:rPr>
          <w:rFonts w:ascii="Times New Roman" w:hAnsi="Times New Roman" w:cs="Times New Roman"/>
          <w:sz w:val="24"/>
          <w:szCs w:val="24"/>
          <w:lang w:val="en-GB"/>
        </w:rPr>
        <w:t xml:space="preserve">ould have done so notwithstanding the applicant’s allegation which </w:t>
      </w:r>
      <w:r w:rsidR="004F0437">
        <w:rPr>
          <w:rFonts w:ascii="Times New Roman" w:hAnsi="Times New Roman" w:cs="Times New Roman"/>
          <w:sz w:val="24"/>
          <w:szCs w:val="24"/>
          <w:lang w:val="en-GB"/>
        </w:rPr>
        <w:t>is to the effect that he is</w:t>
      </w:r>
      <w:r>
        <w:rPr>
          <w:rFonts w:ascii="Times New Roman" w:hAnsi="Times New Roman" w:cs="Times New Roman"/>
          <w:sz w:val="24"/>
          <w:szCs w:val="24"/>
          <w:lang w:val="en-GB"/>
        </w:rPr>
        <w:t xml:space="preserve"> a fugitive from justice. He, at any rate</w:t>
      </w:r>
      <w:r w:rsidR="004F0437">
        <w:rPr>
          <w:rFonts w:ascii="Times New Roman" w:hAnsi="Times New Roman" w:cs="Times New Roman"/>
          <w:sz w:val="24"/>
          <w:szCs w:val="24"/>
          <w:lang w:val="en-GB"/>
        </w:rPr>
        <w:t>,</w:t>
      </w:r>
      <w:r>
        <w:rPr>
          <w:rFonts w:ascii="Times New Roman" w:hAnsi="Times New Roman" w:cs="Times New Roman"/>
          <w:sz w:val="24"/>
          <w:szCs w:val="24"/>
          <w:lang w:val="en-GB"/>
        </w:rPr>
        <w:t xml:space="preserve"> denies that he is such. </w:t>
      </w:r>
    </w:p>
    <w:p w:rsidR="00952460" w:rsidRDefault="004F0437"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The short</w:t>
      </w:r>
      <w:r w:rsidR="005F5EEB">
        <w:rPr>
          <w:rFonts w:ascii="Times New Roman" w:hAnsi="Times New Roman" w:cs="Times New Roman"/>
          <w:sz w:val="24"/>
          <w:szCs w:val="24"/>
          <w:lang w:val="en-GB"/>
        </w:rPr>
        <w:t>comings which were/are inherent in the cases of the second and third respondents present a formidable challenge for the applicant. They place him in a very invidious position where he had to choose between applying for a default</w:t>
      </w:r>
      <w:r w:rsidR="00952460">
        <w:rPr>
          <w:rFonts w:ascii="Times New Roman" w:hAnsi="Times New Roman" w:cs="Times New Roman"/>
          <w:sz w:val="24"/>
          <w:szCs w:val="24"/>
          <w:lang w:val="en-GB"/>
        </w:rPr>
        <w:t xml:space="preserve"> judgment against the one or the other or both respondents, on the one ha</w:t>
      </w:r>
      <w:r w:rsidR="004D2C9E">
        <w:rPr>
          <w:rFonts w:ascii="Times New Roman" w:hAnsi="Times New Roman" w:cs="Times New Roman"/>
          <w:sz w:val="24"/>
          <w:szCs w:val="24"/>
          <w:lang w:val="en-GB"/>
        </w:rPr>
        <w:t>nd</w:t>
      </w:r>
      <w:r w:rsidR="00952460">
        <w:rPr>
          <w:rFonts w:ascii="Times New Roman" w:hAnsi="Times New Roman" w:cs="Times New Roman"/>
          <w:sz w:val="24"/>
          <w:szCs w:val="24"/>
          <w:lang w:val="en-GB"/>
        </w:rPr>
        <w:t xml:space="preserve">, or letting sleeping dogs lie, on the other. </w:t>
      </w:r>
      <w:r w:rsidR="004D2C9E">
        <w:rPr>
          <w:rFonts w:ascii="Times New Roman" w:hAnsi="Times New Roman" w:cs="Times New Roman"/>
          <w:sz w:val="24"/>
          <w:szCs w:val="24"/>
          <w:lang w:val="en-GB"/>
        </w:rPr>
        <w:t>His</w:t>
      </w:r>
      <w:r w:rsidR="00952460">
        <w:rPr>
          <w:rFonts w:ascii="Times New Roman" w:hAnsi="Times New Roman" w:cs="Times New Roman"/>
          <w:sz w:val="24"/>
          <w:szCs w:val="24"/>
          <w:lang w:val="en-GB"/>
        </w:rPr>
        <w:t xml:space="preserve"> wisdom told him to approach the matter of the two respondents with caution. </w:t>
      </w:r>
      <w:r w:rsidR="004D2C9E">
        <w:rPr>
          <w:rFonts w:ascii="Times New Roman" w:hAnsi="Times New Roman" w:cs="Times New Roman"/>
          <w:sz w:val="24"/>
          <w:szCs w:val="24"/>
          <w:lang w:val="en-GB"/>
        </w:rPr>
        <w:t xml:space="preserve">He </w:t>
      </w:r>
      <w:r w:rsidR="00952460">
        <w:rPr>
          <w:rFonts w:ascii="Times New Roman" w:hAnsi="Times New Roman" w:cs="Times New Roman"/>
          <w:sz w:val="24"/>
          <w:szCs w:val="24"/>
          <w:lang w:val="en-GB"/>
        </w:rPr>
        <w:t>refrained from embarrassing himself by taking the first option. He, as it were, allowed sleeping dogs to remain l</w:t>
      </w:r>
      <w:r w:rsidR="004D2C9E">
        <w:rPr>
          <w:rFonts w:ascii="Times New Roman" w:hAnsi="Times New Roman" w:cs="Times New Roman"/>
          <w:sz w:val="24"/>
          <w:szCs w:val="24"/>
          <w:lang w:val="en-GB"/>
        </w:rPr>
        <w:t>y</w:t>
      </w:r>
      <w:r w:rsidR="00952460">
        <w:rPr>
          <w:rFonts w:ascii="Times New Roman" w:hAnsi="Times New Roman" w:cs="Times New Roman"/>
          <w:sz w:val="24"/>
          <w:szCs w:val="24"/>
          <w:lang w:val="en-GB"/>
        </w:rPr>
        <w:t xml:space="preserve">ing where they </w:t>
      </w:r>
      <w:r w:rsidR="004D2C9E">
        <w:rPr>
          <w:rFonts w:ascii="Times New Roman" w:hAnsi="Times New Roman" w:cs="Times New Roman"/>
          <w:sz w:val="24"/>
          <w:szCs w:val="24"/>
          <w:lang w:val="en-GB"/>
        </w:rPr>
        <w:t>were sleeping, so to speak</w:t>
      </w:r>
      <w:r w:rsidR="00952460">
        <w:rPr>
          <w:rFonts w:ascii="Times New Roman" w:hAnsi="Times New Roman" w:cs="Times New Roman"/>
          <w:sz w:val="24"/>
          <w:szCs w:val="24"/>
          <w:lang w:val="en-GB"/>
        </w:rPr>
        <w:t xml:space="preserve">. </w:t>
      </w:r>
    </w:p>
    <w:p w:rsidR="00952460" w:rsidRDefault="00952460"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remained alive to the fact that his application for default judgment against the second and third respondents </w:t>
      </w:r>
      <w:r w:rsidR="004D2C9E">
        <w:rPr>
          <w:rFonts w:ascii="Times New Roman" w:hAnsi="Times New Roman" w:cs="Times New Roman"/>
          <w:sz w:val="24"/>
          <w:szCs w:val="24"/>
          <w:lang w:val="en-GB"/>
        </w:rPr>
        <w:t>w</w:t>
      </w:r>
      <w:r>
        <w:rPr>
          <w:rFonts w:ascii="Times New Roman" w:hAnsi="Times New Roman" w:cs="Times New Roman"/>
          <w:sz w:val="24"/>
          <w:szCs w:val="24"/>
          <w:lang w:val="en-GB"/>
        </w:rPr>
        <w:t>ould not see the light of day. He realised that his service of the application up</w:t>
      </w:r>
      <w:r w:rsidR="004D2C9E">
        <w:rPr>
          <w:rFonts w:ascii="Times New Roman" w:hAnsi="Times New Roman" w:cs="Times New Roman"/>
          <w:sz w:val="24"/>
          <w:szCs w:val="24"/>
          <w:lang w:val="en-GB"/>
        </w:rPr>
        <w:t>on the second respondent was un</w:t>
      </w:r>
      <w:r>
        <w:rPr>
          <w:rFonts w:ascii="Times New Roman" w:hAnsi="Times New Roman" w:cs="Times New Roman"/>
          <w:sz w:val="24"/>
          <w:szCs w:val="24"/>
          <w:lang w:val="en-GB"/>
        </w:rPr>
        <w:t>substantiated and</w:t>
      </w:r>
      <w:r w:rsidR="004D2C9E">
        <w:rPr>
          <w:rFonts w:ascii="Times New Roman" w:hAnsi="Times New Roman" w:cs="Times New Roman"/>
          <w:sz w:val="24"/>
          <w:szCs w:val="24"/>
          <w:lang w:val="en-GB"/>
        </w:rPr>
        <w:t>,</w:t>
      </w:r>
      <w:r>
        <w:rPr>
          <w:rFonts w:ascii="Times New Roman" w:hAnsi="Times New Roman" w:cs="Times New Roman"/>
          <w:sz w:val="24"/>
          <w:szCs w:val="24"/>
          <w:lang w:val="en-GB"/>
        </w:rPr>
        <w:t xml:space="preserve"> therefore, fatally defective, and that the third respondent’s perceived default was not out of his own making but that it was a result of the justice delivery system’s failure. He</w:t>
      </w:r>
      <w:r w:rsidR="004D2C9E">
        <w:rPr>
          <w:rFonts w:ascii="Times New Roman" w:hAnsi="Times New Roman" w:cs="Times New Roman"/>
          <w:sz w:val="24"/>
          <w:szCs w:val="24"/>
          <w:lang w:val="en-GB"/>
        </w:rPr>
        <w:t>,</w:t>
      </w:r>
      <w:r>
        <w:rPr>
          <w:rFonts w:ascii="Times New Roman" w:hAnsi="Times New Roman" w:cs="Times New Roman"/>
          <w:sz w:val="24"/>
          <w:szCs w:val="24"/>
          <w:lang w:val="en-GB"/>
        </w:rPr>
        <w:t xml:space="preserve"> accordingly, held his horses and, in </w:t>
      </w:r>
      <w:r w:rsidR="004D483C">
        <w:rPr>
          <w:rFonts w:ascii="Times New Roman" w:hAnsi="Times New Roman" w:cs="Times New Roman"/>
          <w:sz w:val="24"/>
          <w:szCs w:val="24"/>
          <w:lang w:val="en-GB"/>
        </w:rPr>
        <w:t>m</w:t>
      </w:r>
      <w:r>
        <w:rPr>
          <w:rFonts w:ascii="Times New Roman" w:hAnsi="Times New Roman" w:cs="Times New Roman"/>
          <w:sz w:val="24"/>
          <w:szCs w:val="24"/>
          <w:lang w:val="en-GB"/>
        </w:rPr>
        <w:t xml:space="preserve">y view, correctly. </w:t>
      </w:r>
    </w:p>
    <w:p w:rsidR="00A14932" w:rsidRDefault="00952460"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w:t>
      </w:r>
      <w:r w:rsidR="004D2C9E">
        <w:rPr>
          <w:rFonts w:ascii="Times New Roman" w:hAnsi="Times New Roman" w:cs="Times New Roman"/>
          <w:sz w:val="24"/>
          <w:szCs w:val="24"/>
          <w:lang w:val="en-GB"/>
        </w:rPr>
        <w:t>o</w:t>
      </w:r>
      <w:r>
        <w:rPr>
          <w:rFonts w:ascii="Times New Roman" w:hAnsi="Times New Roman" w:cs="Times New Roman"/>
          <w:sz w:val="24"/>
          <w:szCs w:val="24"/>
          <w:lang w:val="en-GB"/>
        </w:rPr>
        <w:t xml:space="preserve">n the strength of the above-analysed matters that I remain of the considered opinion that no default judgment lies against the second and/or the third respondent(s). </w:t>
      </w:r>
      <w:r w:rsidR="00CB6B9E">
        <w:rPr>
          <w:rFonts w:ascii="Times New Roman" w:hAnsi="Times New Roman" w:cs="Times New Roman"/>
          <w:sz w:val="24"/>
          <w:szCs w:val="24"/>
          <w:lang w:val="en-GB"/>
        </w:rPr>
        <w:t>None</w:t>
      </w:r>
      <w:r>
        <w:rPr>
          <w:rFonts w:ascii="Times New Roman" w:hAnsi="Times New Roman" w:cs="Times New Roman"/>
          <w:sz w:val="24"/>
          <w:szCs w:val="24"/>
          <w:lang w:val="en-GB"/>
        </w:rPr>
        <w:t xml:space="preserve"> of them was in what is normally referred to as wilful default. The second </w:t>
      </w:r>
      <w:r w:rsidR="00CB6B9E">
        <w:rPr>
          <w:rFonts w:ascii="Times New Roman" w:hAnsi="Times New Roman" w:cs="Times New Roman"/>
          <w:sz w:val="24"/>
          <w:szCs w:val="24"/>
          <w:lang w:val="en-GB"/>
        </w:rPr>
        <w:t>respondent was/is completely un</w:t>
      </w:r>
      <w:r>
        <w:rPr>
          <w:rFonts w:ascii="Times New Roman" w:hAnsi="Times New Roman" w:cs="Times New Roman"/>
          <w:sz w:val="24"/>
          <w:szCs w:val="24"/>
          <w:lang w:val="en-GB"/>
        </w:rPr>
        <w:t xml:space="preserve">aware of the application. She </w:t>
      </w:r>
      <w:r w:rsidR="00CB6B9E">
        <w:rPr>
          <w:rFonts w:ascii="Times New Roman" w:hAnsi="Times New Roman" w:cs="Times New Roman"/>
          <w:sz w:val="24"/>
          <w:szCs w:val="24"/>
          <w:lang w:val="en-GB"/>
        </w:rPr>
        <w:t>is not</w:t>
      </w:r>
      <w:r>
        <w:rPr>
          <w:rFonts w:ascii="Times New Roman" w:hAnsi="Times New Roman" w:cs="Times New Roman"/>
          <w:sz w:val="24"/>
          <w:szCs w:val="24"/>
          <w:lang w:val="en-GB"/>
        </w:rPr>
        <w:t>, therefore, in wilful default. The third respondent was not aware of the date and time of the hearing of the application. He, like the s</w:t>
      </w:r>
      <w:r w:rsidR="00A14932">
        <w:rPr>
          <w:rFonts w:ascii="Times New Roman" w:hAnsi="Times New Roman" w:cs="Times New Roman"/>
          <w:sz w:val="24"/>
          <w:szCs w:val="24"/>
          <w:lang w:val="en-GB"/>
        </w:rPr>
        <w:t>econd respondent, is also not in wilful default.</w:t>
      </w:r>
    </w:p>
    <w:p w:rsidR="00A14932" w:rsidRDefault="00A14932"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Wilful default occurs where a defendant/respondent with full knowledge of the set down and of the risks which are attendant on his default, freely takes a decision to refrain from appearing: </w:t>
      </w:r>
      <w:r w:rsidRPr="00A14932">
        <w:rPr>
          <w:rFonts w:ascii="Times New Roman" w:hAnsi="Times New Roman" w:cs="Times New Roman"/>
          <w:i/>
          <w:sz w:val="24"/>
          <w:szCs w:val="24"/>
          <w:lang w:val="en-GB"/>
        </w:rPr>
        <w:t xml:space="preserve">Newman(Pvt) Ltd </w:t>
      </w:r>
      <w:r w:rsidRPr="00A14932">
        <w:rPr>
          <w:rFonts w:ascii="Times New Roman" w:hAnsi="Times New Roman" w:cs="Times New Roman"/>
          <w:sz w:val="24"/>
          <w:szCs w:val="24"/>
          <w:lang w:val="en-GB"/>
        </w:rPr>
        <w:t xml:space="preserve">v </w:t>
      </w:r>
      <w:r w:rsidRPr="00A14932">
        <w:rPr>
          <w:rFonts w:ascii="Times New Roman" w:hAnsi="Times New Roman" w:cs="Times New Roman"/>
          <w:i/>
          <w:sz w:val="24"/>
          <w:szCs w:val="24"/>
          <w:lang w:val="en-GB"/>
        </w:rPr>
        <w:t>Marks</w:t>
      </w:r>
      <w:r>
        <w:rPr>
          <w:rFonts w:ascii="Times New Roman" w:hAnsi="Times New Roman" w:cs="Times New Roman"/>
          <w:sz w:val="24"/>
          <w:szCs w:val="24"/>
          <w:lang w:val="en-GB"/>
        </w:rPr>
        <w:t xml:space="preserve">, 1960 R &amp; N 166 at 169 (SR). </w:t>
      </w:r>
      <w:r w:rsidR="004D483C">
        <w:rPr>
          <w:rFonts w:ascii="Times New Roman" w:hAnsi="Times New Roman" w:cs="Times New Roman"/>
          <w:sz w:val="24"/>
          <w:szCs w:val="24"/>
          <w:u w:val="single"/>
          <w:lang w:val="en-GB"/>
        </w:rPr>
        <w:t>I</w:t>
      </w:r>
      <w:r w:rsidRPr="004D2C9E">
        <w:rPr>
          <w:rFonts w:ascii="Times New Roman" w:hAnsi="Times New Roman" w:cs="Times New Roman"/>
          <w:sz w:val="24"/>
          <w:szCs w:val="24"/>
          <w:u w:val="single"/>
          <w:lang w:val="en-GB"/>
        </w:rPr>
        <w:t>n re</w:t>
      </w:r>
      <w:r>
        <w:rPr>
          <w:rFonts w:ascii="Times New Roman" w:hAnsi="Times New Roman" w:cs="Times New Roman"/>
          <w:sz w:val="24"/>
          <w:szCs w:val="24"/>
          <w:lang w:val="en-GB"/>
        </w:rPr>
        <w:t xml:space="preserve"> </w:t>
      </w:r>
      <w:r w:rsidRPr="004D2C9E">
        <w:rPr>
          <w:rFonts w:ascii="Times New Roman" w:hAnsi="Times New Roman" w:cs="Times New Roman"/>
          <w:sz w:val="24"/>
          <w:szCs w:val="24"/>
          <w:u w:val="single"/>
          <w:lang w:val="en-GB"/>
        </w:rPr>
        <w:t xml:space="preserve">Young and Harton’s </w:t>
      </w:r>
      <w:r w:rsidR="004D2C9E">
        <w:rPr>
          <w:rFonts w:ascii="Times New Roman" w:hAnsi="Times New Roman" w:cs="Times New Roman"/>
          <w:sz w:val="24"/>
          <w:szCs w:val="24"/>
          <w:u w:val="single"/>
          <w:lang w:val="en-GB"/>
        </w:rPr>
        <w:t>C</w:t>
      </w:r>
      <w:r w:rsidRPr="004D2C9E">
        <w:rPr>
          <w:rFonts w:ascii="Times New Roman" w:hAnsi="Times New Roman" w:cs="Times New Roman"/>
          <w:sz w:val="24"/>
          <w:szCs w:val="24"/>
          <w:u w:val="single"/>
          <w:lang w:val="en-GB"/>
        </w:rPr>
        <w:t>ontract</w:t>
      </w:r>
      <w:r w:rsidR="004D483C">
        <w:rPr>
          <w:rFonts w:ascii="Times New Roman" w:hAnsi="Times New Roman" w:cs="Times New Roman"/>
          <w:sz w:val="24"/>
          <w:szCs w:val="24"/>
          <w:lang w:val="en-GB"/>
        </w:rPr>
        <w:t>, LR 31, chD 174 at 175.</w:t>
      </w:r>
    </w:p>
    <w:p w:rsidR="00A14932" w:rsidRDefault="00A14932"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Both respondents enjoy the benefit of the doubt. The benefit is more often than not </w:t>
      </w:r>
      <w:r w:rsidR="009B3520">
        <w:rPr>
          <w:rFonts w:ascii="Times New Roman" w:hAnsi="Times New Roman" w:cs="Times New Roman"/>
          <w:sz w:val="24"/>
          <w:szCs w:val="24"/>
          <w:lang w:val="en-GB"/>
        </w:rPr>
        <w:t>extended</w:t>
      </w:r>
      <w:r>
        <w:rPr>
          <w:rFonts w:ascii="Times New Roman" w:hAnsi="Times New Roman" w:cs="Times New Roman"/>
          <w:sz w:val="24"/>
          <w:szCs w:val="24"/>
          <w:lang w:val="en-GB"/>
        </w:rPr>
        <w:t xml:space="preserve"> to persons who, out of no fault of their own, fail to attend court or to answer to court process which has not been drawn to their attention as is the case with the two respondents. They cannot be punished for other persons’ fault or failure. </w:t>
      </w:r>
    </w:p>
    <w:p w:rsidR="00741EDC" w:rsidRDefault="00A14932"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law, </w:t>
      </w:r>
      <w:r w:rsidR="004D2C9E">
        <w:rPr>
          <w:rFonts w:ascii="Times New Roman" w:hAnsi="Times New Roman" w:cs="Times New Roman"/>
          <w:sz w:val="24"/>
          <w:szCs w:val="24"/>
          <w:lang w:val="en-GB"/>
        </w:rPr>
        <w:t xml:space="preserve">it is </w:t>
      </w:r>
      <w:r w:rsidR="00741EDC">
        <w:rPr>
          <w:rFonts w:ascii="Times New Roman" w:hAnsi="Times New Roman" w:cs="Times New Roman"/>
          <w:sz w:val="24"/>
          <w:szCs w:val="24"/>
          <w:lang w:val="en-GB"/>
        </w:rPr>
        <w:t>trite</w:t>
      </w:r>
      <w:r w:rsidR="004D2C9E">
        <w:rPr>
          <w:rFonts w:ascii="Times New Roman" w:hAnsi="Times New Roman" w:cs="Times New Roman"/>
          <w:sz w:val="24"/>
          <w:szCs w:val="24"/>
          <w:lang w:val="en-GB"/>
        </w:rPr>
        <w:t>, does not allow a p</w:t>
      </w:r>
      <w:r>
        <w:rPr>
          <w:rFonts w:ascii="Times New Roman" w:hAnsi="Times New Roman" w:cs="Times New Roman"/>
          <w:sz w:val="24"/>
          <w:szCs w:val="24"/>
          <w:lang w:val="en-GB"/>
        </w:rPr>
        <w:t>e</w:t>
      </w:r>
      <w:r w:rsidR="004D2C9E">
        <w:rPr>
          <w:rFonts w:ascii="Times New Roman" w:hAnsi="Times New Roman" w:cs="Times New Roman"/>
          <w:sz w:val="24"/>
          <w:szCs w:val="24"/>
          <w:lang w:val="en-GB"/>
        </w:rPr>
        <w:t>r</w:t>
      </w:r>
      <w:r>
        <w:rPr>
          <w:rFonts w:ascii="Times New Roman" w:hAnsi="Times New Roman" w:cs="Times New Roman"/>
          <w:sz w:val="24"/>
          <w:szCs w:val="24"/>
          <w:lang w:val="en-GB"/>
        </w:rPr>
        <w:t xml:space="preserve">son to be punished before he has been heard. Punishing him without hearing him violates the </w:t>
      </w:r>
      <w:r w:rsidRPr="00A14932">
        <w:rPr>
          <w:rFonts w:ascii="Times New Roman" w:hAnsi="Times New Roman" w:cs="Times New Roman"/>
          <w:i/>
          <w:sz w:val="24"/>
          <w:szCs w:val="24"/>
          <w:lang w:val="en-GB"/>
        </w:rPr>
        <w:t>audi alterum partem</w:t>
      </w:r>
      <w:r>
        <w:rPr>
          <w:rFonts w:ascii="Times New Roman" w:hAnsi="Times New Roman" w:cs="Times New Roman"/>
          <w:sz w:val="24"/>
          <w:szCs w:val="24"/>
          <w:lang w:val="en-GB"/>
        </w:rPr>
        <w:t xml:space="preserve"> principle which the court and the </w:t>
      </w:r>
      <w:r w:rsidR="00741EDC">
        <w:rPr>
          <w:rFonts w:ascii="Times New Roman" w:hAnsi="Times New Roman" w:cs="Times New Roman"/>
          <w:sz w:val="24"/>
          <w:szCs w:val="24"/>
          <w:lang w:val="en-GB"/>
        </w:rPr>
        <w:t>Supreme Court</w:t>
      </w:r>
      <w:r>
        <w:rPr>
          <w:rFonts w:ascii="Times New Roman" w:hAnsi="Times New Roman" w:cs="Times New Roman"/>
          <w:sz w:val="24"/>
          <w:szCs w:val="24"/>
          <w:lang w:val="en-GB"/>
        </w:rPr>
        <w:t xml:space="preserve"> appropriately enunciated in </w:t>
      </w:r>
      <w:r w:rsidR="004D2C9E">
        <w:rPr>
          <w:rFonts w:ascii="Times New Roman" w:hAnsi="Times New Roman" w:cs="Times New Roman"/>
          <w:i/>
          <w:sz w:val="24"/>
          <w:szCs w:val="24"/>
          <w:lang w:val="en-GB"/>
        </w:rPr>
        <w:t>Maw</w:t>
      </w:r>
      <w:r w:rsidR="00741EDC" w:rsidRPr="00741EDC">
        <w:rPr>
          <w:rFonts w:ascii="Times New Roman" w:hAnsi="Times New Roman" w:cs="Times New Roman"/>
          <w:i/>
          <w:sz w:val="24"/>
          <w:szCs w:val="24"/>
          <w:lang w:val="en-GB"/>
        </w:rPr>
        <w:t xml:space="preserve">ere </w:t>
      </w:r>
      <w:r w:rsidR="00741EDC" w:rsidRPr="00741EDC">
        <w:rPr>
          <w:rFonts w:ascii="Times New Roman" w:hAnsi="Times New Roman" w:cs="Times New Roman"/>
          <w:sz w:val="24"/>
          <w:szCs w:val="24"/>
          <w:lang w:val="en-GB"/>
        </w:rPr>
        <w:t>v</w:t>
      </w:r>
      <w:r w:rsidR="00741EDC" w:rsidRPr="00741EDC">
        <w:rPr>
          <w:rFonts w:ascii="Times New Roman" w:hAnsi="Times New Roman" w:cs="Times New Roman"/>
          <w:i/>
          <w:sz w:val="24"/>
          <w:szCs w:val="24"/>
          <w:lang w:val="en-GB"/>
        </w:rPr>
        <w:t xml:space="preserve"> Minister of Justice</w:t>
      </w:r>
      <w:r w:rsidR="00741EDC">
        <w:rPr>
          <w:rFonts w:ascii="Times New Roman" w:hAnsi="Times New Roman" w:cs="Times New Roman"/>
          <w:sz w:val="24"/>
          <w:szCs w:val="24"/>
          <w:lang w:val="en-GB"/>
        </w:rPr>
        <w:t>, 2005 (1) ZLR3 (7) (H) a</w:t>
      </w:r>
      <w:r w:rsidR="004D2C9E">
        <w:rPr>
          <w:rFonts w:ascii="Times New Roman" w:hAnsi="Times New Roman" w:cs="Times New Roman"/>
          <w:sz w:val="24"/>
          <w:szCs w:val="24"/>
          <w:lang w:val="en-GB"/>
        </w:rPr>
        <w:t xml:space="preserve">s well as </w:t>
      </w:r>
      <w:r w:rsidR="00741EDC">
        <w:rPr>
          <w:rFonts w:ascii="Times New Roman" w:hAnsi="Times New Roman" w:cs="Times New Roman"/>
          <w:sz w:val="24"/>
          <w:szCs w:val="24"/>
          <w:lang w:val="en-GB"/>
        </w:rPr>
        <w:t xml:space="preserve">in </w:t>
      </w:r>
      <w:r w:rsidR="00741EDC" w:rsidRPr="004D483C">
        <w:rPr>
          <w:rFonts w:ascii="Times New Roman" w:hAnsi="Times New Roman" w:cs="Times New Roman"/>
          <w:i/>
          <w:sz w:val="24"/>
          <w:szCs w:val="24"/>
          <w:lang w:val="en-GB"/>
        </w:rPr>
        <w:t>D</w:t>
      </w:r>
      <w:r w:rsidR="004D2C9E" w:rsidRPr="004D483C">
        <w:rPr>
          <w:rFonts w:ascii="Times New Roman" w:hAnsi="Times New Roman" w:cs="Times New Roman"/>
          <w:i/>
          <w:sz w:val="24"/>
          <w:szCs w:val="24"/>
          <w:lang w:val="en-GB"/>
        </w:rPr>
        <w:t>u</w:t>
      </w:r>
      <w:r w:rsidR="00741EDC" w:rsidRPr="004D483C">
        <w:rPr>
          <w:rFonts w:ascii="Times New Roman" w:hAnsi="Times New Roman" w:cs="Times New Roman"/>
          <w:i/>
          <w:sz w:val="24"/>
          <w:szCs w:val="24"/>
          <w:lang w:val="en-GB"/>
        </w:rPr>
        <w:t>ly Holdings</w:t>
      </w:r>
      <w:r w:rsidR="00741EDC" w:rsidRPr="004D483C">
        <w:rPr>
          <w:rFonts w:ascii="Times New Roman" w:hAnsi="Times New Roman" w:cs="Times New Roman"/>
          <w:sz w:val="24"/>
          <w:szCs w:val="24"/>
          <w:lang w:val="en-GB"/>
        </w:rPr>
        <w:t xml:space="preserve"> v</w:t>
      </w:r>
      <w:r w:rsidR="00741EDC" w:rsidRPr="004D483C">
        <w:rPr>
          <w:rFonts w:ascii="Times New Roman" w:hAnsi="Times New Roman" w:cs="Times New Roman"/>
          <w:i/>
          <w:sz w:val="24"/>
          <w:szCs w:val="24"/>
          <w:lang w:val="en-GB"/>
        </w:rPr>
        <w:t xml:space="preserve"> Chanwiwa,</w:t>
      </w:r>
      <w:r w:rsidR="00741EDC">
        <w:rPr>
          <w:rFonts w:ascii="Times New Roman" w:hAnsi="Times New Roman" w:cs="Times New Roman"/>
          <w:sz w:val="24"/>
          <w:szCs w:val="24"/>
          <w:lang w:val="en-GB"/>
        </w:rPr>
        <w:t xml:space="preserve"> 2007 (2) ZLR I (S).</w:t>
      </w:r>
    </w:p>
    <w:p w:rsidR="00741EDC" w:rsidRDefault="00741EDC" w:rsidP="005F5EE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principle abhors the conduct </w:t>
      </w:r>
      <w:r w:rsidR="004D2C9E">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punishing a man before hearing him. It is one of the rules of natural justice which neither the court nor any adjudicating authority can afford to </w:t>
      </w:r>
      <w:r>
        <w:rPr>
          <w:rFonts w:ascii="Times New Roman" w:hAnsi="Times New Roman" w:cs="Times New Roman"/>
          <w:sz w:val="24"/>
          <w:szCs w:val="24"/>
          <w:lang w:val="en-GB"/>
        </w:rPr>
        <w:lastRenderedPageBreak/>
        <w:t>ignore and the ignoring of which will lead society which the system</w:t>
      </w:r>
      <w:r w:rsidR="004D483C">
        <w:rPr>
          <w:rFonts w:ascii="Times New Roman" w:hAnsi="Times New Roman" w:cs="Times New Roman"/>
          <w:sz w:val="24"/>
          <w:szCs w:val="24"/>
          <w:lang w:val="en-GB"/>
        </w:rPr>
        <w:t xml:space="preserve"> is meant to</w:t>
      </w:r>
      <w:r>
        <w:rPr>
          <w:rFonts w:ascii="Times New Roman" w:hAnsi="Times New Roman" w:cs="Times New Roman"/>
          <w:sz w:val="24"/>
          <w:szCs w:val="24"/>
          <w:lang w:val="en-GB"/>
        </w:rPr>
        <w:t xml:space="preserve"> </w:t>
      </w:r>
      <w:r w:rsidR="004D2C9E">
        <w:rPr>
          <w:rFonts w:ascii="Times New Roman" w:hAnsi="Times New Roman" w:cs="Times New Roman"/>
          <w:sz w:val="24"/>
          <w:szCs w:val="24"/>
          <w:lang w:val="en-GB"/>
        </w:rPr>
        <w:t>serve</w:t>
      </w:r>
      <w:r>
        <w:rPr>
          <w:rFonts w:ascii="Times New Roman" w:hAnsi="Times New Roman" w:cs="Times New Roman"/>
          <w:sz w:val="24"/>
          <w:szCs w:val="24"/>
          <w:lang w:val="en-GB"/>
        </w:rPr>
        <w:t xml:space="preserve"> to misunderstand the system which m</w:t>
      </w:r>
      <w:r w:rsidR="003673C5">
        <w:rPr>
          <w:rFonts w:ascii="Times New Roman" w:hAnsi="Times New Roman" w:cs="Times New Roman"/>
          <w:sz w:val="24"/>
          <w:szCs w:val="24"/>
          <w:lang w:val="en-GB"/>
        </w:rPr>
        <w:t>e</w:t>
      </w:r>
      <w:r>
        <w:rPr>
          <w:rFonts w:ascii="Times New Roman" w:hAnsi="Times New Roman" w:cs="Times New Roman"/>
          <w:sz w:val="24"/>
          <w:szCs w:val="24"/>
          <w:lang w:val="en-GB"/>
        </w:rPr>
        <w:t>n and women of my category</w:t>
      </w:r>
      <w:r w:rsidR="003673C5">
        <w:rPr>
          <w:rFonts w:ascii="Times New Roman" w:hAnsi="Times New Roman" w:cs="Times New Roman"/>
          <w:sz w:val="24"/>
          <w:szCs w:val="24"/>
          <w:lang w:val="en-GB"/>
        </w:rPr>
        <w:t>,</w:t>
      </w:r>
      <w:r>
        <w:rPr>
          <w:rFonts w:ascii="Times New Roman" w:hAnsi="Times New Roman" w:cs="Times New Roman"/>
          <w:sz w:val="24"/>
          <w:szCs w:val="24"/>
          <w:lang w:val="en-GB"/>
        </w:rPr>
        <w:t xml:space="preserve"> at various stage</w:t>
      </w:r>
      <w:r w:rsidR="004D483C">
        <w:rPr>
          <w:rFonts w:ascii="Times New Roman" w:hAnsi="Times New Roman" w:cs="Times New Roman"/>
          <w:sz w:val="24"/>
          <w:szCs w:val="24"/>
          <w:lang w:val="en-GB"/>
        </w:rPr>
        <w:t>s</w:t>
      </w:r>
      <w:r>
        <w:rPr>
          <w:rFonts w:ascii="Times New Roman" w:hAnsi="Times New Roman" w:cs="Times New Roman"/>
          <w:sz w:val="24"/>
          <w:szCs w:val="24"/>
          <w:lang w:val="en-GB"/>
        </w:rPr>
        <w:t xml:space="preserve"> of man’s development</w:t>
      </w:r>
      <w:r w:rsidR="004D2C9E">
        <w:rPr>
          <w:rFonts w:ascii="Times New Roman" w:hAnsi="Times New Roman" w:cs="Times New Roman"/>
          <w:sz w:val="24"/>
          <w:szCs w:val="24"/>
          <w:lang w:val="en-GB"/>
        </w:rPr>
        <w:t>,</w:t>
      </w:r>
      <w:r>
        <w:rPr>
          <w:rFonts w:ascii="Times New Roman" w:hAnsi="Times New Roman" w:cs="Times New Roman"/>
          <w:sz w:val="24"/>
          <w:szCs w:val="24"/>
          <w:lang w:val="en-GB"/>
        </w:rPr>
        <w:t xml:space="preserve"> have sworn to, and continue to swear, to observe with little, if any, choice. </w:t>
      </w:r>
    </w:p>
    <w:p w:rsidR="00BD28C5" w:rsidRPr="00BD28C5" w:rsidRDefault="00741EDC" w:rsidP="00BD28C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application, as can be </w:t>
      </w:r>
      <w:r w:rsidR="004D2C9E">
        <w:rPr>
          <w:rFonts w:ascii="Times New Roman" w:hAnsi="Times New Roman" w:cs="Times New Roman"/>
          <w:sz w:val="24"/>
          <w:szCs w:val="24"/>
          <w:lang w:val="en-GB"/>
        </w:rPr>
        <w:t xml:space="preserve">gleaned from papers </w:t>
      </w:r>
      <w:r w:rsidR="009B3520">
        <w:rPr>
          <w:rFonts w:ascii="Times New Roman" w:hAnsi="Times New Roman" w:cs="Times New Roman"/>
          <w:sz w:val="24"/>
          <w:szCs w:val="24"/>
          <w:lang w:val="en-GB"/>
        </w:rPr>
        <w:t>filed of record</w:t>
      </w:r>
      <w:r w:rsidR="004D483C">
        <w:rPr>
          <w:rFonts w:ascii="Times New Roman" w:hAnsi="Times New Roman" w:cs="Times New Roman"/>
          <w:sz w:val="24"/>
          <w:szCs w:val="24"/>
          <w:lang w:val="en-GB"/>
        </w:rPr>
        <w:t>,</w:t>
      </w:r>
      <w:r w:rsidR="009B3520">
        <w:rPr>
          <w:rFonts w:ascii="Times New Roman" w:hAnsi="Times New Roman" w:cs="Times New Roman"/>
          <w:sz w:val="24"/>
          <w:szCs w:val="24"/>
          <w:lang w:val="en-GB"/>
        </w:rPr>
        <w:t xml:space="preserve"> is for a </w:t>
      </w:r>
      <w:r w:rsidR="004D2C9E">
        <w:rPr>
          <w:rFonts w:ascii="Times New Roman" w:hAnsi="Times New Roman" w:cs="Times New Roman"/>
          <w:sz w:val="24"/>
          <w:szCs w:val="24"/>
          <w:lang w:val="en-GB"/>
        </w:rPr>
        <w:t>C</w:t>
      </w:r>
      <w:r w:rsidR="009B3520">
        <w:rPr>
          <w:rFonts w:ascii="Times New Roman" w:hAnsi="Times New Roman" w:cs="Times New Roman"/>
          <w:sz w:val="24"/>
          <w:szCs w:val="24"/>
          <w:lang w:val="en-GB"/>
        </w:rPr>
        <w:t xml:space="preserve">ivil </w:t>
      </w:r>
      <w:r w:rsidR="00904A06">
        <w:rPr>
          <w:rFonts w:ascii="Times New Roman" w:hAnsi="Times New Roman" w:cs="Times New Roman"/>
          <w:sz w:val="24"/>
          <w:szCs w:val="24"/>
          <w:lang w:val="en-GB"/>
        </w:rPr>
        <w:t>F</w:t>
      </w:r>
      <w:r w:rsidR="009B3520">
        <w:rPr>
          <w:rFonts w:ascii="Times New Roman" w:hAnsi="Times New Roman" w:cs="Times New Roman"/>
          <w:sz w:val="24"/>
          <w:szCs w:val="24"/>
          <w:lang w:val="en-GB"/>
        </w:rPr>
        <w:t xml:space="preserve">orfeiture order. The applicant moves me to forfeit to the </w:t>
      </w:r>
      <w:r w:rsidR="004D483C">
        <w:rPr>
          <w:rFonts w:ascii="Times New Roman" w:hAnsi="Times New Roman" w:cs="Times New Roman"/>
          <w:sz w:val="24"/>
          <w:szCs w:val="24"/>
          <w:lang w:val="en-GB"/>
        </w:rPr>
        <w:t>S</w:t>
      </w:r>
      <w:r w:rsidR="009B3520">
        <w:rPr>
          <w:rFonts w:ascii="Times New Roman" w:hAnsi="Times New Roman" w:cs="Times New Roman"/>
          <w:sz w:val="24"/>
          <w:szCs w:val="24"/>
          <w:lang w:val="en-GB"/>
        </w:rPr>
        <w:t>tate four motor vehicles which are the subject of this application. The motor ca</w:t>
      </w:r>
      <w:r w:rsidR="00904A06">
        <w:rPr>
          <w:rFonts w:ascii="Times New Roman" w:hAnsi="Times New Roman" w:cs="Times New Roman"/>
          <w:sz w:val="24"/>
          <w:szCs w:val="24"/>
          <w:lang w:val="en-GB"/>
        </w:rPr>
        <w:t>rs</w:t>
      </w:r>
      <w:r w:rsidR="009B3520">
        <w:rPr>
          <w:rFonts w:ascii="Times New Roman" w:hAnsi="Times New Roman" w:cs="Times New Roman"/>
          <w:sz w:val="24"/>
          <w:szCs w:val="24"/>
          <w:lang w:val="en-GB"/>
        </w:rPr>
        <w:t>, it is agreed, were purchased for the successful hosting of the United Nations World Tourism Organisation Conference (“the conference”) by Zimbabwe. They</w:t>
      </w:r>
      <w:r w:rsidR="00BD28C5">
        <w:rPr>
          <w:rFonts w:ascii="Times New Roman" w:hAnsi="Times New Roman" w:cs="Times New Roman"/>
          <w:sz w:val="24"/>
          <w:szCs w:val="24"/>
          <w:lang w:val="en-GB"/>
        </w:rPr>
        <w:t xml:space="preserve"> were allocated to the first, </w:t>
      </w:r>
      <w:r w:rsidR="00BD28C5" w:rsidRPr="000B0541">
        <w:rPr>
          <w:rFonts w:ascii="Times New Roman" w:hAnsi="Times New Roman" w:cs="Times New Roman"/>
          <w:sz w:val="24"/>
          <w:szCs w:val="24"/>
        </w:rPr>
        <w:t xml:space="preserve">second, third and fourth respondents who were pivotal to the successful hosting of the conference. They used the cars to run the errands of the conference which took place in August 2013. The application cannot succeed. It cannot do so largely because the conduct of the respondents is not </w:t>
      </w:r>
      <w:r w:rsidR="00BD28C5" w:rsidRPr="000B0541">
        <w:rPr>
          <w:rFonts w:ascii="Times New Roman" w:hAnsi="Times New Roman" w:cs="Times New Roman"/>
          <w:i/>
          <w:sz w:val="24"/>
          <w:szCs w:val="24"/>
        </w:rPr>
        <w:t>in sync</w:t>
      </w:r>
      <w:r w:rsidR="00BD28C5" w:rsidRPr="000B0541">
        <w:rPr>
          <w:rFonts w:ascii="Times New Roman" w:hAnsi="Times New Roman" w:cs="Times New Roman"/>
          <w:sz w:val="24"/>
          <w:szCs w:val="24"/>
        </w:rPr>
        <w:t xml:space="preserve"> with the provisions of the Act under which the application was/is filed.</w:t>
      </w:r>
    </w:p>
    <w:p w:rsidR="00BD28C5" w:rsidRPr="000B0541" w:rsidRDefault="00BD28C5" w:rsidP="00BD28C5">
      <w:pPr>
        <w:spacing w:after="0" w:line="360" w:lineRule="auto"/>
        <w:jc w:val="both"/>
        <w:rPr>
          <w:rFonts w:ascii="Times New Roman" w:hAnsi="Times New Roman" w:cs="Times New Roman"/>
          <w:sz w:val="24"/>
          <w:szCs w:val="24"/>
        </w:rPr>
      </w:pPr>
      <w:r w:rsidRPr="000B0541">
        <w:rPr>
          <w:rFonts w:ascii="Times New Roman" w:hAnsi="Times New Roman" w:cs="Times New Roman"/>
          <w:sz w:val="24"/>
          <w:szCs w:val="24"/>
        </w:rPr>
        <w:tab/>
        <w:t>The provisions of the Act under which the applicant applied for an order of for</w:t>
      </w:r>
      <w:r w:rsidR="00904A06">
        <w:rPr>
          <w:rFonts w:ascii="Times New Roman" w:hAnsi="Times New Roman" w:cs="Times New Roman"/>
          <w:sz w:val="24"/>
          <w:szCs w:val="24"/>
        </w:rPr>
        <w:t>feiture</w:t>
      </w:r>
      <w:r w:rsidRPr="000B0541">
        <w:rPr>
          <w:rFonts w:ascii="Times New Roman" w:hAnsi="Times New Roman" w:cs="Times New Roman"/>
          <w:sz w:val="24"/>
          <w:szCs w:val="24"/>
        </w:rPr>
        <w:t xml:space="preserve"> are clear and straightforward. The title of the Act concisely captures the Act’s aims and objects which, taken as a whole, translate into the intention of the Legislature. The intention is to suppress the abuse of the financial system and enable unlawful proceeds of all serious crime… to be identified, traced, frozen, seized and (eventually) confiscated.</w:t>
      </w:r>
    </w:p>
    <w:p w:rsidR="00BD28C5" w:rsidRPr="00904A06" w:rsidRDefault="00BD28C5" w:rsidP="00BD28C5">
      <w:pPr>
        <w:spacing w:after="0" w:line="360" w:lineRule="auto"/>
        <w:jc w:val="both"/>
        <w:rPr>
          <w:rFonts w:ascii="Times New Roman" w:hAnsi="Times New Roman" w:cs="Times New Roman"/>
          <w:sz w:val="24"/>
          <w:szCs w:val="24"/>
        </w:rPr>
      </w:pPr>
      <w:r w:rsidRPr="000B0541">
        <w:rPr>
          <w:rFonts w:ascii="Times New Roman" w:hAnsi="Times New Roman" w:cs="Times New Roman"/>
          <w:sz w:val="24"/>
          <w:szCs w:val="24"/>
        </w:rPr>
        <w:tab/>
        <w:t xml:space="preserve">The interpretation section of the Act does not define the </w:t>
      </w:r>
      <w:r w:rsidRPr="00D216DB">
        <w:rPr>
          <w:rFonts w:ascii="Times New Roman" w:hAnsi="Times New Roman" w:cs="Times New Roman"/>
          <w:sz w:val="24"/>
          <w:szCs w:val="24"/>
        </w:rPr>
        <w:t xml:space="preserve">phrase </w:t>
      </w:r>
      <w:r w:rsidRPr="00D216DB">
        <w:rPr>
          <w:rFonts w:ascii="Times New Roman" w:hAnsi="Times New Roman" w:cs="Times New Roman"/>
          <w:i/>
          <w:sz w:val="24"/>
          <w:szCs w:val="24"/>
        </w:rPr>
        <w:t>‘suppress the abuse of</w:t>
      </w:r>
      <w:r w:rsidRPr="003673C5">
        <w:rPr>
          <w:rFonts w:ascii="Times New Roman" w:hAnsi="Times New Roman" w:cs="Times New Roman"/>
          <w:i/>
          <w:sz w:val="24"/>
          <w:szCs w:val="24"/>
        </w:rPr>
        <w:t xml:space="preserve"> </w:t>
      </w:r>
      <w:r w:rsidRPr="00D216DB">
        <w:rPr>
          <w:rFonts w:ascii="Times New Roman" w:hAnsi="Times New Roman" w:cs="Times New Roman"/>
          <w:i/>
          <w:sz w:val="24"/>
          <w:szCs w:val="24"/>
        </w:rPr>
        <w:t>the financial system.’</w:t>
      </w:r>
      <w:r w:rsidRPr="000B0541">
        <w:rPr>
          <w:rFonts w:ascii="Times New Roman" w:hAnsi="Times New Roman" w:cs="Times New Roman"/>
          <w:sz w:val="24"/>
          <w:szCs w:val="24"/>
        </w:rPr>
        <w:t xml:space="preserve"> The phrase is, however, left to be understood from a reading of the phrase </w:t>
      </w:r>
      <w:r w:rsidRPr="00D216DB">
        <w:rPr>
          <w:rFonts w:ascii="Times New Roman" w:hAnsi="Times New Roman" w:cs="Times New Roman"/>
          <w:i/>
          <w:sz w:val="24"/>
          <w:szCs w:val="24"/>
        </w:rPr>
        <w:t>‘enable unlawful proceeds of all serious crime… to be identified, traced, frozen, seized and …</w:t>
      </w:r>
      <w:r w:rsidRPr="003673C5">
        <w:rPr>
          <w:rFonts w:ascii="Times New Roman" w:hAnsi="Times New Roman" w:cs="Times New Roman"/>
          <w:i/>
          <w:sz w:val="24"/>
          <w:szCs w:val="24"/>
          <w:u w:val="single"/>
        </w:rPr>
        <w:t xml:space="preserve"> </w:t>
      </w:r>
      <w:r w:rsidRPr="00D216DB">
        <w:rPr>
          <w:rFonts w:ascii="Times New Roman" w:hAnsi="Times New Roman" w:cs="Times New Roman"/>
          <w:i/>
          <w:sz w:val="24"/>
          <w:szCs w:val="24"/>
        </w:rPr>
        <w:t>confiscated.’</w:t>
      </w:r>
      <w:r w:rsidR="00904A06">
        <w:rPr>
          <w:rFonts w:ascii="Times New Roman" w:hAnsi="Times New Roman" w:cs="Times New Roman"/>
          <w:sz w:val="24"/>
          <w:szCs w:val="24"/>
          <w:u w:val="single"/>
        </w:rPr>
        <w:t xml:space="preserve"> </w:t>
      </w:r>
      <w:r w:rsidR="00904A06">
        <w:rPr>
          <w:rFonts w:ascii="Times New Roman" w:hAnsi="Times New Roman" w:cs="Times New Roman"/>
          <w:sz w:val="24"/>
          <w:szCs w:val="24"/>
        </w:rPr>
        <w:t xml:space="preserve">which appears in the definition section of the Act. </w:t>
      </w:r>
    </w:p>
    <w:p w:rsidR="00BD28C5" w:rsidRDefault="00BD28C5" w:rsidP="00BD28C5">
      <w:pPr>
        <w:spacing w:after="0" w:line="360" w:lineRule="auto"/>
        <w:jc w:val="both"/>
        <w:rPr>
          <w:rFonts w:ascii="Times New Roman" w:hAnsi="Times New Roman" w:cs="Times New Roman"/>
          <w:sz w:val="24"/>
          <w:szCs w:val="24"/>
        </w:rPr>
      </w:pPr>
      <w:r w:rsidRPr="000B0541">
        <w:rPr>
          <w:rFonts w:ascii="Times New Roman" w:hAnsi="Times New Roman" w:cs="Times New Roman"/>
          <w:sz w:val="24"/>
          <w:szCs w:val="24"/>
        </w:rPr>
        <w:tab/>
        <w:t>The definition section of the Act defines “</w:t>
      </w:r>
      <w:r w:rsidRPr="00904A06">
        <w:rPr>
          <w:rFonts w:ascii="Times New Roman" w:hAnsi="Times New Roman" w:cs="Times New Roman"/>
          <w:sz w:val="24"/>
          <w:szCs w:val="24"/>
          <w:u w:val="single"/>
        </w:rPr>
        <w:t>proceeds”</w:t>
      </w:r>
      <w:r w:rsidRPr="000B0541">
        <w:rPr>
          <w:rFonts w:ascii="Times New Roman" w:hAnsi="Times New Roman" w:cs="Times New Roman"/>
          <w:sz w:val="24"/>
          <w:szCs w:val="24"/>
        </w:rPr>
        <w:t xml:space="preserve"> and “</w:t>
      </w:r>
      <w:r w:rsidRPr="00904A06">
        <w:rPr>
          <w:rFonts w:ascii="Times New Roman" w:hAnsi="Times New Roman" w:cs="Times New Roman"/>
          <w:sz w:val="24"/>
          <w:szCs w:val="24"/>
          <w:u w:val="single"/>
        </w:rPr>
        <w:t>proceeds of crime”</w:t>
      </w:r>
      <w:r w:rsidRPr="000B0541">
        <w:rPr>
          <w:rFonts w:ascii="Times New Roman" w:hAnsi="Times New Roman" w:cs="Times New Roman"/>
          <w:sz w:val="24"/>
          <w:szCs w:val="24"/>
        </w:rPr>
        <w:t xml:space="preserve"> to mean any property or economic advantage which is </w:t>
      </w:r>
      <w:r w:rsidR="00904A06" w:rsidRPr="000B0541">
        <w:rPr>
          <w:rFonts w:ascii="Times New Roman" w:hAnsi="Times New Roman" w:cs="Times New Roman"/>
          <w:sz w:val="24"/>
          <w:szCs w:val="24"/>
        </w:rPr>
        <w:t>de</w:t>
      </w:r>
      <w:r w:rsidR="00904A06">
        <w:rPr>
          <w:rFonts w:ascii="Times New Roman" w:hAnsi="Times New Roman" w:cs="Times New Roman"/>
          <w:sz w:val="24"/>
          <w:szCs w:val="24"/>
        </w:rPr>
        <w:t>rived</w:t>
      </w:r>
      <w:r w:rsidRPr="000B0541">
        <w:rPr>
          <w:rFonts w:ascii="Times New Roman" w:hAnsi="Times New Roman" w:cs="Times New Roman"/>
          <w:sz w:val="24"/>
          <w:szCs w:val="24"/>
        </w:rPr>
        <w:t xml:space="preserve"> from or obtained</w:t>
      </w:r>
      <w:r w:rsidR="00904A06">
        <w:rPr>
          <w:rFonts w:ascii="Times New Roman" w:hAnsi="Times New Roman" w:cs="Times New Roman"/>
          <w:sz w:val="24"/>
          <w:szCs w:val="24"/>
        </w:rPr>
        <w:t>,</w:t>
      </w:r>
      <w:r w:rsidRPr="000B0541">
        <w:rPr>
          <w:rFonts w:ascii="Times New Roman" w:hAnsi="Times New Roman" w:cs="Times New Roman"/>
          <w:sz w:val="24"/>
          <w:szCs w:val="24"/>
        </w:rPr>
        <w:t xml:space="preserve"> directly or indirectly, </w:t>
      </w:r>
      <w:r w:rsidRPr="000B0541">
        <w:rPr>
          <w:rFonts w:ascii="Times New Roman" w:hAnsi="Times New Roman" w:cs="Times New Roman"/>
          <w:sz w:val="24"/>
          <w:szCs w:val="24"/>
          <w:u w:val="single"/>
        </w:rPr>
        <w:t>through the commission of a criminal offence</w:t>
      </w:r>
      <w:r w:rsidRPr="000B0541">
        <w:rPr>
          <w:rFonts w:ascii="Times New Roman" w:hAnsi="Times New Roman" w:cs="Times New Roman"/>
          <w:sz w:val="24"/>
          <w:szCs w:val="24"/>
        </w:rPr>
        <w:t>; including</w:t>
      </w:r>
      <w:r>
        <w:rPr>
          <w:rFonts w:ascii="Times New Roman" w:hAnsi="Times New Roman" w:cs="Times New Roman"/>
          <w:sz w:val="24"/>
          <w:szCs w:val="24"/>
        </w:rPr>
        <w:t xml:space="preserve"> from the property and property converted or </w:t>
      </w:r>
      <w:r w:rsidR="00904A06">
        <w:rPr>
          <w:rFonts w:ascii="Times New Roman" w:hAnsi="Times New Roman" w:cs="Times New Roman"/>
          <w:sz w:val="24"/>
          <w:szCs w:val="24"/>
        </w:rPr>
        <w:t>transformed</w:t>
      </w:r>
      <w:r>
        <w:rPr>
          <w:rFonts w:ascii="Times New Roman" w:hAnsi="Times New Roman" w:cs="Times New Roman"/>
          <w:sz w:val="24"/>
          <w:szCs w:val="24"/>
        </w:rPr>
        <w:t xml:space="preserve"> in full or in part into other property.” (</w:t>
      </w:r>
      <w:r w:rsidR="00563447">
        <w:rPr>
          <w:rFonts w:ascii="Times New Roman" w:hAnsi="Times New Roman" w:cs="Times New Roman"/>
          <w:sz w:val="24"/>
          <w:szCs w:val="24"/>
        </w:rPr>
        <w:t>e</w:t>
      </w:r>
      <w:r>
        <w:rPr>
          <w:rFonts w:ascii="Times New Roman" w:hAnsi="Times New Roman" w:cs="Times New Roman"/>
          <w:sz w:val="24"/>
          <w:szCs w:val="24"/>
        </w:rPr>
        <w:t>mphasis added)</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Examples of proceeds of crime abound in every-day life. What immediately comes to the fore are proceeds which accrue to a person or a group of persons from </w:t>
      </w:r>
      <w:r w:rsidR="00E82AD9">
        <w:rPr>
          <w:rFonts w:ascii="Times New Roman" w:hAnsi="Times New Roman" w:cs="Times New Roman"/>
          <w:sz w:val="24"/>
          <w:szCs w:val="24"/>
        </w:rPr>
        <w:t xml:space="preserve">such </w:t>
      </w:r>
      <w:r>
        <w:rPr>
          <w:rFonts w:ascii="Times New Roman" w:hAnsi="Times New Roman" w:cs="Times New Roman"/>
          <w:sz w:val="24"/>
          <w:szCs w:val="24"/>
        </w:rPr>
        <w:t>activities as human trafficking, sale of such prohibited drugs as cocaine etc, or in some countries such as ours, proceeds which are a result of organized whi</w:t>
      </w:r>
      <w:r w:rsidR="00E82AD9">
        <w:rPr>
          <w:rFonts w:ascii="Times New Roman" w:hAnsi="Times New Roman" w:cs="Times New Roman"/>
          <w:sz w:val="24"/>
          <w:szCs w:val="24"/>
        </w:rPr>
        <w:t>t</w:t>
      </w:r>
      <w:r>
        <w:rPr>
          <w:rFonts w:ascii="Times New Roman" w:hAnsi="Times New Roman" w:cs="Times New Roman"/>
          <w:sz w:val="24"/>
          <w:szCs w:val="24"/>
        </w:rPr>
        <w:t>e collar crimes, prostitution and the like.</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follow</w:t>
      </w:r>
      <w:r w:rsidR="00E82AD9">
        <w:rPr>
          <w:rFonts w:ascii="Times New Roman" w:hAnsi="Times New Roman" w:cs="Times New Roman"/>
          <w:sz w:val="24"/>
          <w:szCs w:val="24"/>
        </w:rPr>
        <w:t>s</w:t>
      </w:r>
      <w:r>
        <w:rPr>
          <w:rFonts w:ascii="Times New Roman" w:hAnsi="Times New Roman" w:cs="Times New Roman"/>
          <w:sz w:val="24"/>
          <w:szCs w:val="24"/>
        </w:rPr>
        <w:t>, from the foregoing, that for me to order forfeiture of the four motor vehicles, the applicant m</w:t>
      </w:r>
      <w:r w:rsidR="00E82AD9">
        <w:rPr>
          <w:rFonts w:ascii="Times New Roman" w:hAnsi="Times New Roman" w:cs="Times New Roman"/>
          <w:sz w:val="24"/>
          <w:szCs w:val="24"/>
        </w:rPr>
        <w:t>us</w:t>
      </w:r>
      <w:r>
        <w:rPr>
          <w:rFonts w:ascii="Times New Roman" w:hAnsi="Times New Roman" w:cs="Times New Roman"/>
          <w:sz w:val="24"/>
          <w:szCs w:val="24"/>
        </w:rPr>
        <w:t>t allege and prove</w:t>
      </w:r>
      <w:r w:rsidR="00E82AD9">
        <w:rPr>
          <w:rFonts w:ascii="Times New Roman" w:hAnsi="Times New Roman" w:cs="Times New Roman"/>
          <w:sz w:val="24"/>
          <w:szCs w:val="24"/>
        </w:rPr>
        <w:t>,</w:t>
      </w:r>
      <w:r>
        <w:rPr>
          <w:rFonts w:ascii="Times New Roman" w:hAnsi="Times New Roman" w:cs="Times New Roman"/>
          <w:sz w:val="24"/>
          <w:szCs w:val="24"/>
        </w:rPr>
        <w:t xml:space="preserve"> on a balance of probabilities</w:t>
      </w:r>
      <w:r w:rsidR="00E82AD9">
        <w:rPr>
          <w:rFonts w:ascii="Times New Roman" w:hAnsi="Times New Roman" w:cs="Times New Roman"/>
          <w:sz w:val="24"/>
          <w:szCs w:val="24"/>
        </w:rPr>
        <w:t>,</w:t>
      </w:r>
      <w:r>
        <w:rPr>
          <w:rFonts w:ascii="Times New Roman" w:hAnsi="Times New Roman" w:cs="Times New Roman"/>
          <w:sz w:val="24"/>
          <w:szCs w:val="24"/>
        </w:rPr>
        <w:t xml:space="preserve"> that the cars were obtained  through criminal conduct. He must satisfy me that they are proceeds of a crime and/or that their coming into existence is associated with, or connected to, the commission of crime.</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is not suggesting that the motor vehicles were acquired through </w:t>
      </w:r>
      <w:r w:rsidR="00E82AD9">
        <w:rPr>
          <w:rFonts w:ascii="Times New Roman" w:hAnsi="Times New Roman" w:cs="Times New Roman"/>
          <w:sz w:val="24"/>
          <w:szCs w:val="24"/>
        </w:rPr>
        <w:t xml:space="preserve">the </w:t>
      </w:r>
      <w:r>
        <w:rPr>
          <w:rFonts w:ascii="Times New Roman" w:hAnsi="Times New Roman" w:cs="Times New Roman"/>
          <w:sz w:val="24"/>
          <w:szCs w:val="24"/>
        </w:rPr>
        <w:t xml:space="preserve">commission of crime. He is not saying that they are </w:t>
      </w:r>
      <w:r w:rsidR="00334ACA">
        <w:rPr>
          <w:rFonts w:ascii="Times New Roman" w:hAnsi="Times New Roman" w:cs="Times New Roman"/>
          <w:sz w:val="24"/>
          <w:szCs w:val="24"/>
        </w:rPr>
        <w:t>tainted</w:t>
      </w:r>
      <w:r>
        <w:rPr>
          <w:rFonts w:ascii="Times New Roman" w:hAnsi="Times New Roman" w:cs="Times New Roman"/>
          <w:sz w:val="24"/>
          <w:szCs w:val="24"/>
        </w:rPr>
        <w:t xml:space="preserve"> proper</w:t>
      </w:r>
      <w:r w:rsidR="0003262A">
        <w:rPr>
          <w:rFonts w:ascii="Times New Roman" w:hAnsi="Times New Roman" w:cs="Times New Roman"/>
          <w:sz w:val="24"/>
          <w:szCs w:val="24"/>
        </w:rPr>
        <w:t>t</w:t>
      </w:r>
      <w:r>
        <w:rPr>
          <w:rFonts w:ascii="Times New Roman" w:hAnsi="Times New Roman" w:cs="Times New Roman"/>
          <w:sz w:val="24"/>
          <w:szCs w:val="24"/>
        </w:rPr>
        <w:t xml:space="preserve">y. He, in fact, is on the same page with the assertions of the respondents who state that the cars were acquired for a very </w:t>
      </w:r>
      <w:r w:rsidR="00334ACA">
        <w:rPr>
          <w:rFonts w:ascii="Times New Roman" w:hAnsi="Times New Roman" w:cs="Times New Roman"/>
          <w:sz w:val="24"/>
          <w:szCs w:val="24"/>
        </w:rPr>
        <w:t>noble</w:t>
      </w:r>
      <w:r>
        <w:rPr>
          <w:rFonts w:ascii="Times New Roman" w:hAnsi="Times New Roman" w:cs="Times New Roman"/>
          <w:sz w:val="24"/>
          <w:szCs w:val="24"/>
        </w:rPr>
        <w:t xml:space="preserve"> cause which came and went bye. They cannot, given the stated fact, be classified or placed into the category of </w:t>
      </w:r>
      <w:r w:rsidR="00334ACA">
        <w:rPr>
          <w:rFonts w:ascii="Times New Roman" w:hAnsi="Times New Roman" w:cs="Times New Roman"/>
          <w:sz w:val="24"/>
          <w:szCs w:val="24"/>
        </w:rPr>
        <w:t>t</w:t>
      </w:r>
      <w:r>
        <w:rPr>
          <w:rFonts w:ascii="Times New Roman" w:hAnsi="Times New Roman" w:cs="Times New Roman"/>
          <w:sz w:val="24"/>
          <w:szCs w:val="24"/>
        </w:rPr>
        <w:t xml:space="preserve">ainted property. They are not. They are what they are. They are goods which fall outside the definition of proceeds of crime. They are not </w:t>
      </w:r>
      <w:r w:rsidR="00334ACA">
        <w:rPr>
          <w:rFonts w:ascii="Times New Roman" w:hAnsi="Times New Roman" w:cs="Times New Roman"/>
          <w:sz w:val="24"/>
          <w:szCs w:val="24"/>
        </w:rPr>
        <w:t>t</w:t>
      </w:r>
      <w:r>
        <w:rPr>
          <w:rFonts w:ascii="Times New Roman" w:hAnsi="Times New Roman" w:cs="Times New Roman"/>
          <w:sz w:val="24"/>
          <w:szCs w:val="24"/>
        </w:rPr>
        <w:t>ainted goods.</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short, fails to show that the four cars are proceeds from conduct which constitutes or is associated with a serious offence or that they were used or intended to be used to be enga</w:t>
      </w:r>
      <w:r w:rsidR="00334ACA">
        <w:rPr>
          <w:rFonts w:ascii="Times New Roman" w:hAnsi="Times New Roman" w:cs="Times New Roman"/>
          <w:sz w:val="24"/>
          <w:szCs w:val="24"/>
        </w:rPr>
        <w:t>ged in conduct which constitute</w:t>
      </w:r>
      <w:r>
        <w:rPr>
          <w:rFonts w:ascii="Times New Roman" w:hAnsi="Times New Roman" w:cs="Times New Roman"/>
          <w:sz w:val="24"/>
          <w:szCs w:val="24"/>
        </w:rPr>
        <w:t>s or is associated with a serious offence or that they were derived from some serious offence. The applicant’s failure on the mentioned score renders his application still birth.</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 mis-statement for the applicant to state, as he does in para 11 of the founding affidavit, that the corporate world from whom donations were sought made donations to the Ministry of Tourism and Hospitality Industry. Evidence shows that donations were channelled into the trust which Government formed for the purpose of accepting such. The motor cars which are the subject of this application, being donations from the corporate world, were not purchased by money which Parliament allocated to the </w:t>
      </w:r>
      <w:r w:rsidR="00334ACA">
        <w:rPr>
          <w:rFonts w:ascii="Times New Roman" w:hAnsi="Times New Roman" w:cs="Times New Roman"/>
          <w:sz w:val="24"/>
          <w:szCs w:val="24"/>
        </w:rPr>
        <w:t>Ministry of Tourism and Hospitality Industry</w:t>
      </w:r>
      <w:r>
        <w:rPr>
          <w:rFonts w:ascii="Times New Roman" w:hAnsi="Times New Roman" w:cs="Times New Roman"/>
          <w:sz w:val="24"/>
          <w:szCs w:val="24"/>
        </w:rPr>
        <w:t xml:space="preserve"> through the Ministry of Finance and Economic Development. The Ministry of Tourism and Hospitality Industry, it is common cause, did not use its voted money to purchase the vehicles. These were purchased from donations which were channelled into the trust. Government established the trust and charged it with the responsibility of receiving such donations.</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evident, from the observed matter, that by resolving to form the trust, Government did not want to </w:t>
      </w:r>
      <w:r w:rsidR="00334ACA">
        <w:rPr>
          <w:rFonts w:ascii="Times New Roman" w:hAnsi="Times New Roman" w:cs="Times New Roman"/>
          <w:sz w:val="24"/>
          <w:szCs w:val="24"/>
        </w:rPr>
        <w:t>blur</w:t>
      </w:r>
      <w:r>
        <w:rPr>
          <w:rFonts w:ascii="Times New Roman" w:hAnsi="Times New Roman" w:cs="Times New Roman"/>
          <w:sz w:val="24"/>
          <w:szCs w:val="24"/>
        </w:rPr>
        <w:t xml:space="preserve"> the distinction which existed an</w:t>
      </w:r>
      <w:r w:rsidR="00334ACA">
        <w:rPr>
          <w:rFonts w:ascii="Times New Roman" w:hAnsi="Times New Roman" w:cs="Times New Roman"/>
          <w:sz w:val="24"/>
          <w:szCs w:val="24"/>
        </w:rPr>
        <w:t>d</w:t>
      </w:r>
      <w:r>
        <w:rPr>
          <w:rFonts w:ascii="Times New Roman" w:hAnsi="Times New Roman" w:cs="Times New Roman"/>
          <w:sz w:val="24"/>
          <w:szCs w:val="24"/>
        </w:rPr>
        <w:t xml:space="preserve"> continue</w:t>
      </w:r>
      <w:r w:rsidR="00334ACA">
        <w:rPr>
          <w:rFonts w:ascii="Times New Roman" w:hAnsi="Times New Roman" w:cs="Times New Roman"/>
          <w:sz w:val="24"/>
          <w:szCs w:val="24"/>
        </w:rPr>
        <w:t>s</w:t>
      </w:r>
      <w:r>
        <w:rPr>
          <w:rFonts w:ascii="Times New Roman" w:hAnsi="Times New Roman" w:cs="Times New Roman"/>
          <w:sz w:val="24"/>
          <w:szCs w:val="24"/>
        </w:rPr>
        <w:t xml:space="preserve"> to exist, between voted money which Parliament allocated, and continues to allocate, to departments of Government, on the one hand and money as well as assets which found their way into the trust for the conference, on the other. The two p</w:t>
      </w:r>
      <w:r w:rsidR="00334ACA">
        <w:rPr>
          <w:rFonts w:ascii="Times New Roman" w:hAnsi="Times New Roman" w:cs="Times New Roman"/>
          <w:sz w:val="24"/>
          <w:szCs w:val="24"/>
        </w:rPr>
        <w:t>urses</w:t>
      </w:r>
      <w:r>
        <w:rPr>
          <w:rFonts w:ascii="Times New Roman" w:hAnsi="Times New Roman" w:cs="Times New Roman"/>
          <w:sz w:val="24"/>
          <w:szCs w:val="24"/>
        </w:rPr>
        <w:t xml:space="preserve"> were, and are</w:t>
      </w:r>
      <w:r w:rsidR="00334ACA">
        <w:rPr>
          <w:rFonts w:ascii="Times New Roman" w:hAnsi="Times New Roman" w:cs="Times New Roman"/>
          <w:sz w:val="24"/>
          <w:szCs w:val="24"/>
        </w:rPr>
        <w:t>,</w:t>
      </w:r>
      <w:r>
        <w:rPr>
          <w:rFonts w:ascii="Times New Roman" w:hAnsi="Times New Roman" w:cs="Times New Roman"/>
          <w:sz w:val="24"/>
          <w:szCs w:val="24"/>
        </w:rPr>
        <w:t xml:space="preserve"> different and separate from each other.</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 motor vehicles were, and they remain, registered not in the name of any department of Government. They were, and are</w:t>
      </w:r>
      <w:r w:rsidR="00334ACA">
        <w:rPr>
          <w:rFonts w:ascii="Times New Roman" w:hAnsi="Times New Roman" w:cs="Times New Roman"/>
          <w:sz w:val="24"/>
          <w:szCs w:val="24"/>
        </w:rPr>
        <w:t>,</w:t>
      </w:r>
      <w:r>
        <w:rPr>
          <w:rFonts w:ascii="Times New Roman" w:hAnsi="Times New Roman" w:cs="Times New Roman"/>
          <w:sz w:val="24"/>
          <w:szCs w:val="24"/>
        </w:rPr>
        <w:t xml:space="preserve"> registered in the name of the trust. Reference is made in the mentioned regard to Annexures G, H, I and J which respectively appear at pp 40, 42, 44 and 46 of the record.</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334ACA">
        <w:rPr>
          <w:rFonts w:ascii="Times New Roman" w:hAnsi="Times New Roman" w:cs="Times New Roman"/>
          <w:sz w:val="24"/>
          <w:szCs w:val="24"/>
        </w:rPr>
        <w:t>evident</w:t>
      </w:r>
      <w:r>
        <w:rPr>
          <w:rFonts w:ascii="Times New Roman" w:hAnsi="Times New Roman" w:cs="Times New Roman"/>
          <w:sz w:val="24"/>
          <w:szCs w:val="24"/>
        </w:rPr>
        <w:t>, from the foregoing</w:t>
      </w:r>
      <w:r w:rsidR="00334ACA">
        <w:rPr>
          <w:rFonts w:ascii="Times New Roman" w:hAnsi="Times New Roman" w:cs="Times New Roman"/>
          <w:sz w:val="24"/>
          <w:szCs w:val="24"/>
        </w:rPr>
        <w:t>,</w:t>
      </w:r>
      <w:r>
        <w:rPr>
          <w:rFonts w:ascii="Times New Roman" w:hAnsi="Times New Roman" w:cs="Times New Roman"/>
          <w:sz w:val="24"/>
          <w:szCs w:val="24"/>
        </w:rPr>
        <w:t xml:space="preserve"> that the four motor cars were never the property of Government. They were, and are, the property of the trust. The respondents’ unchallenged </w:t>
      </w:r>
      <w:r>
        <w:rPr>
          <w:rFonts w:ascii="Times New Roman" w:hAnsi="Times New Roman" w:cs="Times New Roman"/>
          <w:sz w:val="24"/>
          <w:szCs w:val="24"/>
        </w:rPr>
        <w:lastRenderedPageBreak/>
        <w:t>statements is to the stated effect. Because it is not controverted, the statement captures the true position of the case.</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what is not denied in affidavits is taken as having been admitted. There is sufficient authority for the stated proposition: See </w:t>
      </w:r>
      <w:r w:rsidRPr="005B5CA0">
        <w:rPr>
          <w:rFonts w:ascii="Times New Roman" w:hAnsi="Times New Roman" w:cs="Times New Roman"/>
          <w:i/>
          <w:sz w:val="24"/>
          <w:szCs w:val="24"/>
        </w:rPr>
        <w:t>Gordon</w:t>
      </w:r>
      <w:r>
        <w:rPr>
          <w:rFonts w:ascii="Times New Roman" w:hAnsi="Times New Roman" w:cs="Times New Roman"/>
          <w:sz w:val="24"/>
          <w:szCs w:val="24"/>
        </w:rPr>
        <w:t xml:space="preserve"> v </w:t>
      </w:r>
      <w:r w:rsidRPr="005B5CA0">
        <w:rPr>
          <w:rFonts w:ascii="Times New Roman" w:hAnsi="Times New Roman" w:cs="Times New Roman"/>
          <w:i/>
          <w:sz w:val="24"/>
          <w:szCs w:val="24"/>
        </w:rPr>
        <w:t>Tarnow</w:t>
      </w:r>
      <w:r>
        <w:rPr>
          <w:rFonts w:ascii="Times New Roman" w:hAnsi="Times New Roman" w:cs="Times New Roman"/>
          <w:sz w:val="24"/>
          <w:szCs w:val="24"/>
        </w:rPr>
        <w:t xml:space="preserve"> 1947 (3) SA 525 at 521-532; </w:t>
      </w:r>
      <w:r w:rsidRPr="005B5CA0">
        <w:rPr>
          <w:rFonts w:ascii="Times New Roman" w:hAnsi="Times New Roman" w:cs="Times New Roman"/>
          <w:i/>
          <w:sz w:val="24"/>
          <w:szCs w:val="24"/>
        </w:rPr>
        <w:t>AA Mutual Assistance Association</w:t>
      </w:r>
      <w:r>
        <w:rPr>
          <w:rFonts w:ascii="Times New Roman" w:hAnsi="Times New Roman" w:cs="Times New Roman"/>
          <w:sz w:val="24"/>
          <w:szCs w:val="24"/>
        </w:rPr>
        <w:t xml:space="preserve"> v </w:t>
      </w:r>
      <w:r w:rsidRPr="005B5CA0">
        <w:rPr>
          <w:rFonts w:ascii="Times New Roman" w:hAnsi="Times New Roman" w:cs="Times New Roman"/>
          <w:i/>
          <w:sz w:val="24"/>
          <w:szCs w:val="24"/>
        </w:rPr>
        <w:t>Biddulph and Anor</w:t>
      </w:r>
      <w:r>
        <w:rPr>
          <w:rFonts w:ascii="Times New Roman" w:hAnsi="Times New Roman" w:cs="Times New Roman"/>
          <w:i/>
          <w:sz w:val="24"/>
          <w:szCs w:val="24"/>
        </w:rPr>
        <w:t xml:space="preserve"> </w:t>
      </w:r>
      <w:r>
        <w:rPr>
          <w:rFonts w:ascii="Times New Roman" w:hAnsi="Times New Roman" w:cs="Times New Roman"/>
          <w:sz w:val="24"/>
          <w:szCs w:val="24"/>
        </w:rPr>
        <w:t xml:space="preserve">1976 (1) SA 725 AD at 725H-735B; </w:t>
      </w:r>
      <w:r w:rsidR="00DE75A1">
        <w:rPr>
          <w:rFonts w:ascii="Times New Roman" w:hAnsi="Times New Roman" w:cs="Times New Roman"/>
          <w:sz w:val="24"/>
          <w:szCs w:val="24"/>
        </w:rPr>
        <w:t xml:space="preserve">as read with </w:t>
      </w:r>
      <w:r>
        <w:rPr>
          <w:rFonts w:ascii="Times New Roman" w:hAnsi="Times New Roman" w:cs="Times New Roman"/>
          <w:sz w:val="24"/>
          <w:szCs w:val="24"/>
        </w:rPr>
        <w:t>s 36 of the Civil Evidence Act [</w:t>
      </w:r>
      <w:r w:rsidRPr="005B5CA0">
        <w:rPr>
          <w:rFonts w:ascii="Times New Roman" w:hAnsi="Times New Roman" w:cs="Times New Roman"/>
          <w:i/>
          <w:sz w:val="24"/>
          <w:szCs w:val="24"/>
        </w:rPr>
        <w:t>Chapter 8:01</w:t>
      </w:r>
      <w:r>
        <w:rPr>
          <w:rFonts w:ascii="Times New Roman" w:hAnsi="Times New Roman" w:cs="Times New Roman"/>
          <w:sz w:val="24"/>
          <w:szCs w:val="24"/>
        </w:rPr>
        <w:t xml:space="preserve">] which makes reference to admissions </w:t>
      </w:r>
      <w:r w:rsidR="003673C5">
        <w:rPr>
          <w:rFonts w:ascii="Times New Roman" w:hAnsi="Times New Roman" w:cs="Times New Roman"/>
          <w:sz w:val="24"/>
          <w:szCs w:val="24"/>
        </w:rPr>
        <w:t xml:space="preserve">to </w:t>
      </w:r>
      <w:r>
        <w:rPr>
          <w:rFonts w:ascii="Times New Roman" w:hAnsi="Times New Roman" w:cs="Times New Roman"/>
          <w:sz w:val="24"/>
          <w:szCs w:val="24"/>
        </w:rPr>
        <w:t>any fact in issue in civil proceedings.</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statement which is to the effect that the respondents violated Government procedure when they failed to surrender the motor vehicles to the Ministry of Tourism and Hospitality Industry after the conference is difficult to comprehend let alone accept. </w:t>
      </w:r>
      <w:r w:rsidRPr="00D216DB">
        <w:rPr>
          <w:rFonts w:ascii="Times New Roman" w:hAnsi="Times New Roman" w:cs="Times New Roman"/>
          <w:i/>
          <w:sz w:val="24"/>
          <w:szCs w:val="24"/>
        </w:rPr>
        <w:t>A fortiori</w:t>
      </w:r>
      <w:r>
        <w:rPr>
          <w:rFonts w:ascii="Times New Roman" w:hAnsi="Times New Roman" w:cs="Times New Roman"/>
          <w:sz w:val="24"/>
          <w:szCs w:val="24"/>
        </w:rPr>
        <w:t xml:space="preserve"> when he does not state or define the procedure o</w:t>
      </w:r>
      <w:r w:rsidR="00334ACA">
        <w:rPr>
          <w:rFonts w:ascii="Times New Roman" w:hAnsi="Times New Roman" w:cs="Times New Roman"/>
          <w:sz w:val="24"/>
          <w:szCs w:val="24"/>
        </w:rPr>
        <w:t>f</w:t>
      </w:r>
      <w:r>
        <w:rPr>
          <w:rFonts w:ascii="Times New Roman" w:hAnsi="Times New Roman" w:cs="Times New Roman"/>
          <w:sz w:val="24"/>
          <w:szCs w:val="24"/>
        </w:rPr>
        <w:t xml:space="preserve"> Government which he is referring to. It is more of a meaningless assertion than it is anything to go bye. He does not cite the circular, regulation</w:t>
      </w:r>
      <w:r w:rsidR="00334ACA">
        <w:rPr>
          <w:rFonts w:ascii="Times New Roman" w:hAnsi="Times New Roman" w:cs="Times New Roman"/>
          <w:sz w:val="24"/>
          <w:szCs w:val="24"/>
        </w:rPr>
        <w:t>,</w:t>
      </w:r>
      <w:r>
        <w:rPr>
          <w:rFonts w:ascii="Times New Roman" w:hAnsi="Times New Roman" w:cs="Times New Roman"/>
          <w:sz w:val="24"/>
          <w:szCs w:val="24"/>
        </w:rPr>
        <w:t xml:space="preserve"> rule or law which he is insisting the respondents should have complied with. He does not produce any evidence which supports the assertion that the respondents should have surrendered the motor vehicles to Government after the event.</w:t>
      </w: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shows that the motor vehicles are registered in the name of the trust. It shows, further, that the trust is registered with the Deeds Office. Reference is made in the mentioned regard to p 89 of the </w:t>
      </w:r>
      <w:r w:rsidR="00334ACA">
        <w:rPr>
          <w:rFonts w:ascii="Times New Roman" w:hAnsi="Times New Roman" w:cs="Times New Roman"/>
          <w:sz w:val="24"/>
          <w:szCs w:val="24"/>
        </w:rPr>
        <w:t>record. It</w:t>
      </w:r>
      <w:r w:rsidR="00DE75A1">
        <w:rPr>
          <w:rFonts w:ascii="Times New Roman" w:hAnsi="Times New Roman" w:cs="Times New Roman"/>
          <w:sz w:val="24"/>
          <w:szCs w:val="24"/>
        </w:rPr>
        <w:t xml:space="preserve"> boasts</w:t>
      </w:r>
      <w:r w:rsidR="00506687">
        <w:rPr>
          <w:rFonts w:ascii="Times New Roman" w:hAnsi="Times New Roman" w:cs="Times New Roman"/>
          <w:sz w:val="24"/>
          <w:szCs w:val="24"/>
        </w:rPr>
        <w:t xml:space="preserve"> of eight </w:t>
      </w:r>
      <w:r w:rsidR="0003262A">
        <w:rPr>
          <w:rFonts w:ascii="Times New Roman" w:hAnsi="Times New Roman" w:cs="Times New Roman"/>
          <w:sz w:val="24"/>
          <w:szCs w:val="24"/>
        </w:rPr>
        <w:t>trustees</w:t>
      </w:r>
      <w:r w:rsidR="00DE75A1">
        <w:rPr>
          <w:rFonts w:ascii="Times New Roman" w:hAnsi="Times New Roman" w:cs="Times New Roman"/>
          <w:sz w:val="24"/>
          <w:szCs w:val="24"/>
        </w:rPr>
        <w:t xml:space="preserve"> who include one</w:t>
      </w:r>
      <w:r>
        <w:rPr>
          <w:rFonts w:ascii="Times New Roman" w:hAnsi="Times New Roman" w:cs="Times New Roman"/>
          <w:sz w:val="24"/>
          <w:szCs w:val="24"/>
        </w:rPr>
        <w:t xml:space="preserve"> Tamuka Macheka, its founder</w:t>
      </w:r>
      <w:r w:rsidR="00506687">
        <w:rPr>
          <w:rFonts w:ascii="Times New Roman" w:hAnsi="Times New Roman" w:cs="Times New Roman"/>
          <w:sz w:val="24"/>
          <w:szCs w:val="24"/>
        </w:rPr>
        <w:t>,</w:t>
      </w:r>
      <w:r>
        <w:rPr>
          <w:rFonts w:ascii="Times New Roman" w:hAnsi="Times New Roman" w:cs="Times New Roman"/>
          <w:sz w:val="24"/>
          <w:szCs w:val="24"/>
        </w:rPr>
        <w:t xml:space="preserve"> the first, second and fourth respondents whom Government appointed for their role in the preparation and hosting of the conference.</w:t>
      </w:r>
    </w:p>
    <w:p w:rsidR="00BD28C5" w:rsidRDefault="00BD28C5" w:rsidP="00367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trust, it is </w:t>
      </w:r>
      <w:r w:rsidR="00DE75A1">
        <w:rPr>
          <w:rFonts w:ascii="Times New Roman" w:hAnsi="Times New Roman" w:cs="Times New Roman"/>
          <w:sz w:val="24"/>
          <w:szCs w:val="24"/>
        </w:rPr>
        <w:t>evident</w:t>
      </w:r>
      <w:r>
        <w:rPr>
          <w:rFonts w:ascii="Times New Roman" w:hAnsi="Times New Roman" w:cs="Times New Roman"/>
          <w:sz w:val="24"/>
          <w:szCs w:val="24"/>
        </w:rPr>
        <w:t>, is a body corporate which can sue and be sued in its own name.  It owns its own property which is managed under clause 7 of the notarial deed of tr</w:t>
      </w:r>
      <w:r w:rsidR="00506687">
        <w:rPr>
          <w:rFonts w:ascii="Times New Roman" w:hAnsi="Times New Roman" w:cs="Times New Roman"/>
          <w:sz w:val="24"/>
          <w:szCs w:val="24"/>
        </w:rPr>
        <w:t>ust</w:t>
      </w:r>
      <w:r>
        <w:rPr>
          <w:rFonts w:ascii="Times New Roman" w:hAnsi="Times New Roman" w:cs="Times New Roman"/>
          <w:sz w:val="24"/>
          <w:szCs w:val="24"/>
        </w:rPr>
        <w:t>. The clause reads:</w:t>
      </w:r>
    </w:p>
    <w:p w:rsidR="00BD28C5" w:rsidRDefault="00BD28C5" w:rsidP="00BD28C5">
      <w:pPr>
        <w:spacing w:after="0" w:line="240" w:lineRule="auto"/>
        <w:jc w:val="both"/>
        <w:rPr>
          <w:rFonts w:ascii="Times New Roman" w:hAnsi="Times New Roman" w:cs="Times New Roman"/>
        </w:rPr>
      </w:pPr>
      <w:r>
        <w:rPr>
          <w:rFonts w:ascii="Times New Roman" w:hAnsi="Times New Roman" w:cs="Times New Roman"/>
          <w:sz w:val="24"/>
          <w:szCs w:val="24"/>
        </w:rPr>
        <w:tab/>
        <w:t xml:space="preserve"> </w:t>
      </w:r>
      <w:r>
        <w:rPr>
          <w:rFonts w:ascii="Times New Roman" w:hAnsi="Times New Roman" w:cs="Times New Roman"/>
        </w:rPr>
        <w:t>“7</w:t>
      </w:r>
      <w:r>
        <w:rPr>
          <w:rFonts w:ascii="Times New Roman" w:hAnsi="Times New Roman" w:cs="Times New Roman"/>
        </w:rPr>
        <w:tab/>
      </w:r>
      <w:r w:rsidRPr="00975C46">
        <w:rPr>
          <w:rFonts w:ascii="Times New Roman" w:hAnsi="Times New Roman" w:cs="Times New Roman"/>
          <w:u w:val="single"/>
        </w:rPr>
        <w:t>APPLICATION OF NET INCOME</w:t>
      </w:r>
    </w:p>
    <w:p w:rsidR="00BD28C5" w:rsidRDefault="00BD28C5" w:rsidP="00BD28C5">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BD28C5" w:rsidRDefault="00BD28C5" w:rsidP="00506687">
      <w:pPr>
        <w:spacing w:after="0" w:line="240" w:lineRule="auto"/>
        <w:ind w:left="1440"/>
        <w:jc w:val="both"/>
        <w:rPr>
          <w:rFonts w:ascii="Times New Roman" w:hAnsi="Times New Roman" w:cs="Times New Roman"/>
        </w:rPr>
      </w:pPr>
      <w:r>
        <w:rPr>
          <w:rFonts w:ascii="Times New Roman" w:hAnsi="Times New Roman" w:cs="Times New Roman"/>
        </w:rPr>
        <w:t xml:space="preserve">All net income generated from the activities of the trust shall be employed </w:t>
      </w:r>
      <w:r w:rsidR="00506687">
        <w:rPr>
          <w:rFonts w:ascii="Times New Roman" w:hAnsi="Times New Roman" w:cs="Times New Roman"/>
        </w:rPr>
        <w:t xml:space="preserve">to </w:t>
      </w:r>
      <w:r>
        <w:rPr>
          <w:rFonts w:ascii="Times New Roman" w:hAnsi="Times New Roman" w:cs="Times New Roman"/>
        </w:rPr>
        <w:t xml:space="preserve">fund the successful hosting of the UNWTO Summit and </w:t>
      </w:r>
      <w:r w:rsidRPr="005A42B1">
        <w:rPr>
          <w:rFonts w:ascii="Times New Roman" w:hAnsi="Times New Roman" w:cs="Times New Roman"/>
          <w:u w:val="single"/>
        </w:rPr>
        <w:t>any surplus resources  remaining</w:t>
      </w:r>
      <w:r w:rsidR="00506687">
        <w:rPr>
          <w:rFonts w:ascii="Times New Roman" w:hAnsi="Times New Roman" w:cs="Times New Roman"/>
        </w:rPr>
        <w:t xml:space="preserve"> </w:t>
      </w:r>
      <w:r w:rsidRPr="005A42B1">
        <w:rPr>
          <w:rFonts w:ascii="Times New Roman" w:hAnsi="Times New Roman" w:cs="Times New Roman"/>
          <w:u w:val="single"/>
        </w:rPr>
        <w:t xml:space="preserve">after </w:t>
      </w:r>
      <w:r>
        <w:rPr>
          <w:rFonts w:ascii="Times New Roman" w:hAnsi="Times New Roman" w:cs="Times New Roman"/>
        </w:rPr>
        <w:t xml:space="preserve">the Summit </w:t>
      </w:r>
      <w:r w:rsidRPr="005A42B1">
        <w:rPr>
          <w:rFonts w:ascii="Times New Roman" w:hAnsi="Times New Roman" w:cs="Times New Roman"/>
          <w:u w:val="single"/>
        </w:rPr>
        <w:t xml:space="preserve">shall be </w:t>
      </w:r>
      <w:r>
        <w:rPr>
          <w:rFonts w:ascii="Times New Roman" w:hAnsi="Times New Roman" w:cs="Times New Roman"/>
          <w:u w:val="single"/>
        </w:rPr>
        <w:t>used for running the trust</w:t>
      </w:r>
      <w:r w:rsidRPr="005A42B1">
        <w:rPr>
          <w:rFonts w:ascii="Times New Roman" w:hAnsi="Times New Roman" w:cs="Times New Roman"/>
          <w:u w:val="single"/>
        </w:rPr>
        <w:t>, ongoing Zimbabwe Tourism and</w:t>
      </w:r>
      <w:r w:rsidR="00506687">
        <w:rPr>
          <w:rFonts w:ascii="Times New Roman" w:hAnsi="Times New Roman" w:cs="Times New Roman"/>
        </w:rPr>
        <w:t xml:space="preserve"> </w:t>
      </w:r>
      <w:r w:rsidRPr="005A42B1">
        <w:rPr>
          <w:rFonts w:ascii="Times New Roman" w:hAnsi="Times New Roman" w:cs="Times New Roman"/>
          <w:u w:val="single"/>
        </w:rPr>
        <w:t>Hospitality and</w:t>
      </w:r>
      <w:r>
        <w:rPr>
          <w:rFonts w:ascii="Times New Roman" w:hAnsi="Times New Roman" w:cs="Times New Roman"/>
        </w:rPr>
        <w:t xml:space="preserve"> United Nations World Tourism </w:t>
      </w:r>
      <w:r w:rsidRPr="005A42B1">
        <w:rPr>
          <w:rFonts w:ascii="Times New Roman" w:hAnsi="Times New Roman" w:cs="Times New Roman"/>
          <w:u w:val="single"/>
        </w:rPr>
        <w:t>activities</w:t>
      </w:r>
      <w:r>
        <w:rPr>
          <w:rFonts w:ascii="Times New Roman" w:hAnsi="Times New Roman" w:cs="Times New Roman"/>
        </w:rPr>
        <w:t xml:space="preserve"> locally, regionally and internationally.” (emphasis added)</w:t>
      </w:r>
    </w:p>
    <w:p w:rsidR="00BD28C5" w:rsidRPr="00975C46" w:rsidRDefault="00BD28C5" w:rsidP="00BD28C5">
      <w:pPr>
        <w:spacing w:after="0" w:line="240" w:lineRule="auto"/>
        <w:jc w:val="both"/>
        <w:rPr>
          <w:rFonts w:ascii="Times New Roman" w:hAnsi="Times New Roman" w:cs="Times New Roman"/>
        </w:rPr>
      </w:pPr>
    </w:p>
    <w:p w:rsidR="00BD28C5" w:rsidRDefault="00BD28C5" w:rsidP="00BD2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 </w:t>
      </w:r>
      <w:r w:rsidR="00506687">
        <w:rPr>
          <w:rFonts w:ascii="Times New Roman" w:hAnsi="Times New Roman" w:cs="Times New Roman"/>
          <w:sz w:val="24"/>
          <w:szCs w:val="24"/>
        </w:rPr>
        <w:t>clear</w:t>
      </w:r>
      <w:r>
        <w:rPr>
          <w:rFonts w:ascii="Times New Roman" w:hAnsi="Times New Roman" w:cs="Times New Roman"/>
          <w:sz w:val="24"/>
          <w:szCs w:val="24"/>
        </w:rPr>
        <w:t>, from a reading of the above, that the intention of Government was to allow the Trust to remain in</w:t>
      </w:r>
      <w:r w:rsidR="00506687">
        <w:rPr>
          <w:rFonts w:ascii="Times New Roman" w:hAnsi="Times New Roman" w:cs="Times New Roman"/>
          <w:sz w:val="24"/>
          <w:szCs w:val="24"/>
        </w:rPr>
        <w:t xml:space="preserve"> </w:t>
      </w:r>
      <w:r>
        <w:rPr>
          <w:rFonts w:ascii="Times New Roman" w:hAnsi="Times New Roman" w:cs="Times New Roman"/>
          <w:sz w:val="24"/>
          <w:szCs w:val="24"/>
        </w:rPr>
        <w:t>existence after the conference and to allow it to own its own asserts. It was never the intention of Gover</w:t>
      </w:r>
      <w:r w:rsidR="00506687">
        <w:rPr>
          <w:rFonts w:ascii="Times New Roman" w:hAnsi="Times New Roman" w:cs="Times New Roman"/>
          <w:sz w:val="24"/>
          <w:szCs w:val="24"/>
        </w:rPr>
        <w:t>nment to strip the trust of i</w:t>
      </w:r>
      <w:r>
        <w:rPr>
          <w:rFonts w:ascii="Times New Roman" w:hAnsi="Times New Roman" w:cs="Times New Roman"/>
          <w:sz w:val="24"/>
          <w:szCs w:val="24"/>
        </w:rPr>
        <w:t xml:space="preserve">ts property as the applicant seeks to do </w:t>
      </w:r>
      <w:r w:rsidRPr="005A42B1">
        <w:rPr>
          <w:rFonts w:ascii="Times New Roman" w:hAnsi="Times New Roman" w:cs="Times New Roman"/>
          <w:i/>
          <w:sz w:val="24"/>
          <w:szCs w:val="24"/>
        </w:rPr>
        <w:t>in casu</w:t>
      </w:r>
      <w:r>
        <w:rPr>
          <w:rFonts w:ascii="Times New Roman" w:hAnsi="Times New Roman" w:cs="Times New Roman"/>
          <w:sz w:val="24"/>
          <w:szCs w:val="24"/>
        </w:rPr>
        <w:t>. Government envisaged a situation where the activities of the trust would continue to be performed after the event.</w:t>
      </w:r>
    </w:p>
    <w:p w:rsidR="00BD28C5" w:rsidRDefault="00BD28C5" w:rsidP="00DE7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it is my view, misconstrued the conduct of the respondents when they retained the motor vehicles after the conference.  The first, second and fourth respondents are, by virtue of their position in the trust, beneficiaries of the trust. The clause which speaks of beneficiaries of the trust weighs well in their favour.</w:t>
      </w:r>
      <w:r w:rsidR="00DE75A1">
        <w:rPr>
          <w:rFonts w:ascii="Times New Roman" w:hAnsi="Times New Roman" w:cs="Times New Roman"/>
          <w:sz w:val="24"/>
          <w:szCs w:val="24"/>
        </w:rPr>
        <w:t xml:space="preserve"> </w:t>
      </w:r>
      <w:r>
        <w:rPr>
          <w:rFonts w:ascii="Times New Roman" w:hAnsi="Times New Roman" w:cs="Times New Roman"/>
          <w:sz w:val="24"/>
          <w:szCs w:val="24"/>
        </w:rPr>
        <w:t>It reads:</w:t>
      </w:r>
    </w:p>
    <w:p w:rsidR="00BD28C5" w:rsidRDefault="00BD28C5" w:rsidP="00BD28C5">
      <w:pPr>
        <w:spacing w:after="0" w:line="240" w:lineRule="auto"/>
        <w:ind w:left="720"/>
        <w:jc w:val="both"/>
        <w:rPr>
          <w:rFonts w:ascii="Times New Roman" w:hAnsi="Times New Roman" w:cs="Times New Roman"/>
          <w:sz w:val="24"/>
          <w:szCs w:val="24"/>
        </w:rPr>
      </w:pPr>
      <w:r w:rsidRPr="00512314">
        <w:rPr>
          <w:rFonts w:ascii="Times New Roman" w:hAnsi="Times New Roman" w:cs="Times New Roman"/>
        </w:rPr>
        <w:t>“</w:t>
      </w:r>
      <w:r w:rsidRPr="00512314">
        <w:rPr>
          <w:rFonts w:ascii="Times New Roman" w:hAnsi="Times New Roman" w:cs="Times New Roman"/>
          <w:u w:val="single"/>
        </w:rPr>
        <w:t>Beneficiaries</w:t>
      </w:r>
      <w:r w:rsidRPr="00512314">
        <w:rPr>
          <w:rFonts w:ascii="Times New Roman" w:hAnsi="Times New Roman" w:cs="Times New Roman"/>
        </w:rPr>
        <w:t>: shall mean the tourism and hospitality industry particularly the various</w:t>
      </w:r>
      <w:r w:rsidR="00153A88">
        <w:rPr>
          <w:rFonts w:ascii="Times New Roman" w:hAnsi="Times New Roman" w:cs="Times New Roman"/>
        </w:rPr>
        <w:t xml:space="preserve"> committees,</w:t>
      </w:r>
      <w:r w:rsidRPr="00512314">
        <w:rPr>
          <w:rFonts w:ascii="Times New Roman" w:hAnsi="Times New Roman" w:cs="Times New Roman"/>
        </w:rPr>
        <w:t xml:space="preserve"> </w:t>
      </w:r>
      <w:r w:rsidR="00153A88">
        <w:rPr>
          <w:rFonts w:ascii="Times New Roman" w:hAnsi="Times New Roman" w:cs="Times New Roman"/>
        </w:rPr>
        <w:t>tasks</w:t>
      </w:r>
      <w:r w:rsidRPr="00512314">
        <w:rPr>
          <w:rFonts w:ascii="Times New Roman" w:hAnsi="Times New Roman" w:cs="Times New Roman"/>
        </w:rPr>
        <w:t xml:space="preserve"> and objectives relating to preparations for the co-hosting of the 20</w:t>
      </w:r>
      <w:r w:rsidRPr="00512314">
        <w:rPr>
          <w:rFonts w:ascii="Times New Roman" w:hAnsi="Times New Roman" w:cs="Times New Roman"/>
          <w:vertAlign w:val="superscript"/>
        </w:rPr>
        <w:t>th</w:t>
      </w:r>
      <w:r w:rsidRPr="00512314">
        <w:rPr>
          <w:rFonts w:ascii="Times New Roman" w:hAnsi="Times New Roman" w:cs="Times New Roman"/>
        </w:rPr>
        <w:t xml:space="preserve"> </w:t>
      </w:r>
      <w:r w:rsidR="00153A88">
        <w:rPr>
          <w:rFonts w:ascii="Times New Roman" w:hAnsi="Times New Roman" w:cs="Times New Roman"/>
        </w:rPr>
        <w:t>S</w:t>
      </w:r>
      <w:r w:rsidRPr="00512314">
        <w:rPr>
          <w:rFonts w:ascii="Times New Roman" w:hAnsi="Times New Roman" w:cs="Times New Roman"/>
        </w:rPr>
        <w:t xml:space="preserve">ession of the United Nations World Tourism Organisation General Assembly as well as </w:t>
      </w:r>
      <w:r w:rsidRPr="00512314">
        <w:rPr>
          <w:rFonts w:ascii="Times New Roman" w:hAnsi="Times New Roman" w:cs="Times New Roman"/>
          <w:u w:val="single"/>
        </w:rPr>
        <w:t xml:space="preserve">any future tourism and hospitality activities </w:t>
      </w:r>
      <w:r w:rsidRPr="00512314">
        <w:rPr>
          <w:rFonts w:ascii="Times New Roman" w:hAnsi="Times New Roman" w:cs="Times New Roman"/>
        </w:rPr>
        <w:t xml:space="preserve">locally, regionally and internationally </w:t>
      </w:r>
      <w:r w:rsidRPr="00512314">
        <w:rPr>
          <w:rFonts w:ascii="Times New Roman" w:hAnsi="Times New Roman" w:cs="Times New Roman"/>
          <w:u w:val="single"/>
        </w:rPr>
        <w:t>that the trustees may</w:t>
      </w:r>
      <w:r w:rsidRPr="00512314">
        <w:rPr>
          <w:rFonts w:ascii="Times New Roman" w:hAnsi="Times New Roman" w:cs="Times New Roman"/>
        </w:rPr>
        <w:t xml:space="preserve"> from time to time </w:t>
      </w:r>
      <w:r w:rsidRPr="00512314">
        <w:rPr>
          <w:rFonts w:ascii="Times New Roman" w:hAnsi="Times New Roman" w:cs="Times New Roman"/>
          <w:u w:val="single"/>
        </w:rPr>
        <w:t>identify or approve</w:t>
      </w:r>
      <w:r w:rsidRPr="00512314">
        <w:rPr>
          <w:rFonts w:ascii="Times New Roman" w:hAnsi="Times New Roman" w:cs="Times New Roman"/>
        </w:rPr>
        <w:t>.” (emphasis added)</w:t>
      </w:r>
    </w:p>
    <w:p w:rsidR="00BD28C5" w:rsidRDefault="00BD28C5" w:rsidP="00BD28C5">
      <w:pPr>
        <w:spacing w:after="0" w:line="240" w:lineRule="auto"/>
        <w:ind w:left="720"/>
        <w:jc w:val="both"/>
        <w:rPr>
          <w:rFonts w:ascii="Times New Roman" w:hAnsi="Times New Roman" w:cs="Times New Roman"/>
          <w:sz w:val="24"/>
          <w:szCs w:val="24"/>
        </w:rPr>
      </w:pP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fact of the existence of the trust and its ability to own assets as is stated in the notarial deed of trust, nothing compelled the respondents to surrender the motor vehicles to Government as the applicant alleges. Government’s clear intention of establishing the trust was to allow it to:</w:t>
      </w:r>
    </w:p>
    <w:p w:rsidR="00BD28C5" w:rsidRDefault="00BD28C5" w:rsidP="00BD28C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receive and disburse funds in preparation of the conference;</w:t>
      </w:r>
    </w:p>
    <w:p w:rsidR="00BD28C5" w:rsidRDefault="00BD28C5" w:rsidP="00BD28C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remain in place after the conference— and</w:t>
      </w:r>
    </w:p>
    <w:p w:rsidR="00BD28C5" w:rsidRDefault="00BD28C5" w:rsidP="00BD28C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retain the residue of whatever donations it collected for the conference to serve as a reservoir for the trust’s pursuance of future activities which </w:t>
      </w:r>
      <w:r w:rsidR="00153A88">
        <w:rPr>
          <w:rFonts w:ascii="Times New Roman" w:hAnsi="Times New Roman" w:cs="Times New Roman"/>
          <w:sz w:val="24"/>
          <w:szCs w:val="24"/>
        </w:rPr>
        <w:t xml:space="preserve">are </w:t>
      </w:r>
      <w:r>
        <w:rPr>
          <w:rFonts w:ascii="Times New Roman" w:hAnsi="Times New Roman" w:cs="Times New Roman"/>
          <w:sz w:val="24"/>
          <w:szCs w:val="24"/>
        </w:rPr>
        <w:t>relate</w:t>
      </w:r>
      <w:r w:rsidR="00153A88">
        <w:rPr>
          <w:rFonts w:ascii="Times New Roman" w:hAnsi="Times New Roman" w:cs="Times New Roman"/>
          <w:sz w:val="24"/>
          <w:szCs w:val="24"/>
        </w:rPr>
        <w:t>d</w:t>
      </w:r>
      <w:r>
        <w:rPr>
          <w:rFonts w:ascii="Times New Roman" w:hAnsi="Times New Roman" w:cs="Times New Roman"/>
          <w:sz w:val="24"/>
          <w:szCs w:val="24"/>
        </w:rPr>
        <w:t xml:space="preserve"> to tourism and hospitality.</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in fact, never the intention of Government to dissolve the tru</w:t>
      </w:r>
      <w:r w:rsidR="00153A88">
        <w:rPr>
          <w:rFonts w:ascii="Times New Roman" w:hAnsi="Times New Roman" w:cs="Times New Roman"/>
          <w:sz w:val="24"/>
          <w:szCs w:val="24"/>
        </w:rPr>
        <w:t>st at the end of the conference</w:t>
      </w:r>
      <w:r w:rsidR="003673C5">
        <w:rPr>
          <w:rFonts w:ascii="Times New Roman" w:hAnsi="Times New Roman" w:cs="Times New Roman"/>
          <w:sz w:val="24"/>
          <w:szCs w:val="24"/>
        </w:rPr>
        <w:t>.</w:t>
      </w:r>
      <w:r w:rsidR="00153A88">
        <w:rPr>
          <w:rFonts w:ascii="Times New Roman" w:hAnsi="Times New Roman" w:cs="Times New Roman"/>
          <w:sz w:val="24"/>
          <w:szCs w:val="24"/>
        </w:rPr>
        <w:t xml:space="preserve"> </w:t>
      </w:r>
      <w:r w:rsidR="003673C5">
        <w:rPr>
          <w:rFonts w:ascii="Times New Roman" w:hAnsi="Times New Roman" w:cs="Times New Roman"/>
          <w:sz w:val="24"/>
          <w:szCs w:val="24"/>
        </w:rPr>
        <w:t>N</w:t>
      </w:r>
      <w:r w:rsidR="00153A88">
        <w:rPr>
          <w:rFonts w:ascii="Times New Roman" w:hAnsi="Times New Roman" w:cs="Times New Roman"/>
          <w:sz w:val="24"/>
          <w:szCs w:val="24"/>
        </w:rPr>
        <w:t xml:space="preserve">or was </w:t>
      </w:r>
      <w:r w:rsidR="003673C5">
        <w:rPr>
          <w:rFonts w:ascii="Times New Roman" w:hAnsi="Times New Roman" w:cs="Times New Roman"/>
          <w:sz w:val="24"/>
          <w:szCs w:val="24"/>
        </w:rPr>
        <w:t xml:space="preserve">it </w:t>
      </w:r>
      <w:r w:rsidR="00153A88">
        <w:rPr>
          <w:rFonts w:ascii="Times New Roman" w:hAnsi="Times New Roman" w:cs="Times New Roman"/>
          <w:sz w:val="24"/>
          <w:szCs w:val="24"/>
        </w:rPr>
        <w:t xml:space="preserve">its intention </w:t>
      </w:r>
      <w:r>
        <w:rPr>
          <w:rFonts w:ascii="Times New Roman" w:hAnsi="Times New Roman" w:cs="Times New Roman"/>
          <w:sz w:val="24"/>
          <w:szCs w:val="24"/>
        </w:rPr>
        <w:t xml:space="preserve">to have whatever donations it received in preparation of the conference to be </w:t>
      </w:r>
      <w:r w:rsidR="00DE75A1">
        <w:rPr>
          <w:rFonts w:ascii="Times New Roman" w:hAnsi="Times New Roman" w:cs="Times New Roman"/>
          <w:sz w:val="24"/>
          <w:szCs w:val="24"/>
        </w:rPr>
        <w:t>surrendered to Government after the event.</w:t>
      </w:r>
      <w:r w:rsidR="00EF72DB">
        <w:rPr>
          <w:rFonts w:ascii="Times New Roman" w:hAnsi="Times New Roman" w:cs="Times New Roman"/>
          <w:sz w:val="24"/>
          <w:szCs w:val="24"/>
        </w:rPr>
        <w:t xml:space="preserve"> It, </w:t>
      </w:r>
      <w:r w:rsidR="00153A88">
        <w:rPr>
          <w:rFonts w:ascii="Times New Roman" w:hAnsi="Times New Roman" w:cs="Times New Roman"/>
          <w:sz w:val="24"/>
          <w:szCs w:val="24"/>
        </w:rPr>
        <w:t>in fact</w:t>
      </w:r>
      <w:r w:rsidR="00DE75A1">
        <w:rPr>
          <w:rFonts w:ascii="Times New Roman" w:hAnsi="Times New Roman" w:cs="Times New Roman"/>
          <w:sz w:val="24"/>
          <w:szCs w:val="24"/>
        </w:rPr>
        <w:t xml:space="preserve"> appears to be the </w:t>
      </w:r>
      <w:r w:rsidR="00153A88">
        <w:rPr>
          <w:rFonts w:ascii="Times New Roman" w:hAnsi="Times New Roman" w:cs="Times New Roman"/>
          <w:sz w:val="24"/>
          <w:szCs w:val="24"/>
        </w:rPr>
        <w:t>intention o</w:t>
      </w:r>
      <w:r w:rsidR="00DE75A1">
        <w:rPr>
          <w:rFonts w:ascii="Times New Roman" w:hAnsi="Times New Roman" w:cs="Times New Roman"/>
          <w:sz w:val="24"/>
          <w:szCs w:val="24"/>
        </w:rPr>
        <w:t>f</w:t>
      </w:r>
      <w:r w:rsidR="00153A88">
        <w:rPr>
          <w:rFonts w:ascii="Times New Roman" w:hAnsi="Times New Roman" w:cs="Times New Roman"/>
          <w:sz w:val="24"/>
          <w:szCs w:val="24"/>
        </w:rPr>
        <w:t xml:space="preserve"> the applicant to strip the </w:t>
      </w:r>
      <w:r w:rsidR="003673C5">
        <w:rPr>
          <w:rFonts w:ascii="Times New Roman" w:hAnsi="Times New Roman" w:cs="Times New Roman"/>
          <w:sz w:val="24"/>
          <w:szCs w:val="24"/>
        </w:rPr>
        <w:t>trust</w:t>
      </w:r>
      <w:r w:rsidR="00153A88">
        <w:rPr>
          <w:rFonts w:ascii="Times New Roman" w:hAnsi="Times New Roman" w:cs="Times New Roman"/>
          <w:sz w:val="24"/>
          <w:szCs w:val="24"/>
        </w:rPr>
        <w:t xml:space="preserve"> of its motor vehicles. </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suit of the applicant makes litt</w:t>
      </w:r>
      <w:r w:rsidR="00153A88">
        <w:rPr>
          <w:rFonts w:ascii="Times New Roman" w:hAnsi="Times New Roman" w:cs="Times New Roman"/>
          <w:sz w:val="24"/>
          <w:szCs w:val="24"/>
        </w:rPr>
        <w:t xml:space="preserve">le, if any, sense when regard </w:t>
      </w:r>
      <w:r w:rsidR="00DE75A1">
        <w:rPr>
          <w:rFonts w:ascii="Times New Roman" w:hAnsi="Times New Roman" w:cs="Times New Roman"/>
          <w:sz w:val="24"/>
          <w:szCs w:val="24"/>
        </w:rPr>
        <w:t xml:space="preserve">is had </w:t>
      </w:r>
      <w:r>
        <w:rPr>
          <w:rFonts w:ascii="Times New Roman" w:hAnsi="Times New Roman" w:cs="Times New Roman"/>
          <w:sz w:val="24"/>
          <w:szCs w:val="24"/>
        </w:rPr>
        <w:t xml:space="preserve">to Government’s letter of 22 March 2013 as read with the contents of the trust deed. The application which seeks to render to Government what it does not intend </w:t>
      </w:r>
      <w:r w:rsidR="00DE75A1">
        <w:rPr>
          <w:rFonts w:ascii="Times New Roman" w:hAnsi="Times New Roman" w:cs="Times New Roman"/>
          <w:sz w:val="24"/>
          <w:szCs w:val="24"/>
        </w:rPr>
        <w:t xml:space="preserve">to receive </w:t>
      </w:r>
      <w:r>
        <w:rPr>
          <w:rFonts w:ascii="Times New Roman" w:hAnsi="Times New Roman" w:cs="Times New Roman"/>
          <w:sz w:val="24"/>
          <w:szCs w:val="24"/>
        </w:rPr>
        <w:t xml:space="preserve">is misplaced. </w:t>
      </w:r>
      <w:r w:rsidRPr="001E1C0E">
        <w:rPr>
          <w:rFonts w:ascii="Times New Roman" w:hAnsi="Times New Roman" w:cs="Times New Roman"/>
          <w:i/>
          <w:sz w:val="24"/>
          <w:szCs w:val="24"/>
        </w:rPr>
        <w:t>A fortiori</w:t>
      </w:r>
      <w:r>
        <w:rPr>
          <w:rFonts w:ascii="Times New Roman" w:hAnsi="Times New Roman" w:cs="Times New Roman"/>
          <w:i/>
          <w:sz w:val="24"/>
          <w:szCs w:val="24"/>
        </w:rPr>
        <w:t xml:space="preserve"> </w:t>
      </w:r>
      <w:r>
        <w:rPr>
          <w:rFonts w:ascii="Times New Roman" w:hAnsi="Times New Roman" w:cs="Times New Roman"/>
          <w:sz w:val="24"/>
          <w:szCs w:val="24"/>
        </w:rPr>
        <w:t xml:space="preserve">where </w:t>
      </w:r>
      <w:r w:rsidR="00153A88">
        <w:rPr>
          <w:rFonts w:ascii="Times New Roman" w:hAnsi="Times New Roman" w:cs="Times New Roman"/>
          <w:sz w:val="24"/>
          <w:szCs w:val="24"/>
        </w:rPr>
        <w:t>the appli</w:t>
      </w:r>
      <w:r w:rsidR="00220B9A">
        <w:rPr>
          <w:rFonts w:ascii="Times New Roman" w:hAnsi="Times New Roman" w:cs="Times New Roman"/>
          <w:sz w:val="24"/>
          <w:szCs w:val="24"/>
        </w:rPr>
        <w:t xml:space="preserve">cant produces no evidence which </w:t>
      </w:r>
      <w:r>
        <w:rPr>
          <w:rFonts w:ascii="Times New Roman" w:hAnsi="Times New Roman" w:cs="Times New Roman"/>
          <w:sz w:val="24"/>
          <w:szCs w:val="24"/>
        </w:rPr>
        <w:t>support</w:t>
      </w:r>
      <w:r w:rsidR="00220B9A">
        <w:rPr>
          <w:rFonts w:ascii="Times New Roman" w:hAnsi="Times New Roman" w:cs="Times New Roman"/>
          <w:sz w:val="24"/>
          <w:szCs w:val="24"/>
        </w:rPr>
        <w:t>s</w:t>
      </w:r>
      <w:r>
        <w:rPr>
          <w:rFonts w:ascii="Times New Roman" w:hAnsi="Times New Roman" w:cs="Times New Roman"/>
          <w:sz w:val="24"/>
          <w:szCs w:val="24"/>
        </w:rPr>
        <w:t xml:space="preserve"> the allegation that the respondents should have surrendered the four vehicles to Government.</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proceeded on the basis of an assumption which </w:t>
      </w:r>
      <w:r w:rsidR="00220B9A">
        <w:rPr>
          <w:rFonts w:ascii="Times New Roman" w:hAnsi="Times New Roman" w:cs="Times New Roman"/>
          <w:sz w:val="24"/>
          <w:szCs w:val="24"/>
        </w:rPr>
        <w:t>he</w:t>
      </w:r>
      <w:r>
        <w:rPr>
          <w:rFonts w:ascii="Times New Roman" w:hAnsi="Times New Roman" w:cs="Times New Roman"/>
          <w:sz w:val="24"/>
          <w:szCs w:val="24"/>
        </w:rPr>
        <w:t xml:space="preserve"> does not justify. </w:t>
      </w:r>
      <w:r w:rsidR="00220B9A">
        <w:rPr>
          <w:rFonts w:ascii="Times New Roman" w:hAnsi="Times New Roman" w:cs="Times New Roman"/>
          <w:sz w:val="24"/>
          <w:szCs w:val="24"/>
        </w:rPr>
        <w:t>He</w:t>
      </w:r>
      <w:r>
        <w:rPr>
          <w:rFonts w:ascii="Times New Roman" w:hAnsi="Times New Roman" w:cs="Times New Roman"/>
          <w:sz w:val="24"/>
          <w:szCs w:val="24"/>
        </w:rPr>
        <w:t xml:space="preserve"> went on to label the respondents as thieves whose alleged unwholesome conduct it could not prove. </w:t>
      </w:r>
      <w:r w:rsidR="00220B9A">
        <w:rPr>
          <w:rFonts w:ascii="Times New Roman" w:hAnsi="Times New Roman" w:cs="Times New Roman"/>
          <w:sz w:val="24"/>
          <w:szCs w:val="24"/>
        </w:rPr>
        <w:t>His</w:t>
      </w:r>
      <w:r>
        <w:rPr>
          <w:rFonts w:ascii="Times New Roman" w:hAnsi="Times New Roman" w:cs="Times New Roman"/>
          <w:sz w:val="24"/>
          <w:szCs w:val="24"/>
        </w:rPr>
        <w:t xml:space="preserve"> persistence with the suit in the absence of any element which points to any crime on the part of the respondents is </w:t>
      </w:r>
      <w:r w:rsidR="00220B9A">
        <w:rPr>
          <w:rFonts w:ascii="Times New Roman" w:hAnsi="Times New Roman" w:cs="Times New Roman"/>
          <w:sz w:val="24"/>
          <w:szCs w:val="24"/>
        </w:rPr>
        <w:t>unfortunate. It is</w:t>
      </w:r>
      <w:r>
        <w:rPr>
          <w:rFonts w:ascii="Times New Roman" w:hAnsi="Times New Roman" w:cs="Times New Roman"/>
          <w:sz w:val="24"/>
          <w:szCs w:val="24"/>
        </w:rPr>
        <w:t xml:space="preserve"> difficult to condone let alone accept.</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shows that, at some point in time, the applicant preferred against the respondents charges of theft of trust property as defined in s 113 of the Criminal Law (Codification &amp; Reform) Act [</w:t>
      </w:r>
      <w:r w:rsidRPr="00A27C58">
        <w:rPr>
          <w:rFonts w:ascii="Times New Roman" w:hAnsi="Times New Roman" w:cs="Times New Roman"/>
          <w:i/>
          <w:sz w:val="24"/>
          <w:szCs w:val="24"/>
        </w:rPr>
        <w:t>Chapter 9:23</w:t>
      </w:r>
      <w:r>
        <w:rPr>
          <w:rFonts w:ascii="Times New Roman" w:hAnsi="Times New Roman" w:cs="Times New Roman"/>
          <w:sz w:val="24"/>
          <w:szCs w:val="24"/>
        </w:rPr>
        <w:t>]. He, for reasons which were known to himself</w:t>
      </w:r>
      <w:r w:rsidR="00220B9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withdrew the charges as against each respondent. He, in my view, had no option but to </w:t>
      </w:r>
      <w:r w:rsidR="00DE75A1">
        <w:rPr>
          <w:rFonts w:ascii="Times New Roman" w:hAnsi="Times New Roman" w:cs="Times New Roman"/>
          <w:sz w:val="24"/>
          <w:szCs w:val="24"/>
        </w:rPr>
        <w:t>withdraw</w:t>
      </w:r>
      <w:r>
        <w:rPr>
          <w:rFonts w:ascii="Times New Roman" w:hAnsi="Times New Roman" w:cs="Times New Roman"/>
          <w:sz w:val="24"/>
          <w:szCs w:val="24"/>
        </w:rPr>
        <w:t xml:space="preserve"> as he wisely did. He could not continue with</w:t>
      </w:r>
      <w:r w:rsidR="00220B9A">
        <w:rPr>
          <w:rFonts w:ascii="Times New Roman" w:hAnsi="Times New Roman" w:cs="Times New Roman"/>
          <w:sz w:val="24"/>
          <w:szCs w:val="24"/>
        </w:rPr>
        <w:t xml:space="preserve"> prosecution of the respondents</w:t>
      </w:r>
      <w:r>
        <w:rPr>
          <w:rFonts w:ascii="Times New Roman" w:hAnsi="Times New Roman" w:cs="Times New Roman"/>
          <w:sz w:val="24"/>
          <w:szCs w:val="24"/>
        </w:rPr>
        <w:t xml:space="preserve"> </w:t>
      </w:r>
      <w:r w:rsidR="00220B9A">
        <w:rPr>
          <w:rFonts w:ascii="Times New Roman" w:hAnsi="Times New Roman" w:cs="Times New Roman"/>
          <w:sz w:val="24"/>
          <w:szCs w:val="24"/>
        </w:rPr>
        <w:t>w</w:t>
      </w:r>
      <w:r>
        <w:rPr>
          <w:rFonts w:ascii="Times New Roman" w:hAnsi="Times New Roman" w:cs="Times New Roman"/>
          <w:sz w:val="24"/>
          <w:szCs w:val="24"/>
        </w:rPr>
        <w:t xml:space="preserve">hen their conduct was/is not </w:t>
      </w:r>
      <w:r w:rsidRPr="009C27F3">
        <w:rPr>
          <w:rFonts w:ascii="Times New Roman" w:hAnsi="Times New Roman" w:cs="Times New Roman"/>
          <w:i/>
          <w:sz w:val="24"/>
          <w:szCs w:val="24"/>
        </w:rPr>
        <w:t>in sync</w:t>
      </w:r>
      <w:r>
        <w:rPr>
          <w:rFonts w:ascii="Times New Roman" w:hAnsi="Times New Roman" w:cs="Times New Roman"/>
          <w:sz w:val="24"/>
          <w:szCs w:val="24"/>
        </w:rPr>
        <w:t xml:space="preserve"> with the crime of theft or theft of trust property.</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it is evident, stole no one’s property. Their use of the vehicles after the conference is nowhere near the crime of theft or theft of trust property. They allowed the motor vehicles to remain registered in the name of the trust which owns them. Their conduct is not consistent with that of a thief. The elements of theft do not exist at all in what they did with the motor vehicles after the conference.</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observe</w:t>
      </w:r>
      <w:r w:rsidR="00DE75A1">
        <w:rPr>
          <w:rFonts w:ascii="Times New Roman" w:hAnsi="Times New Roman" w:cs="Times New Roman"/>
          <w:sz w:val="24"/>
          <w:szCs w:val="24"/>
        </w:rPr>
        <w:t>,</w:t>
      </w:r>
      <w:r>
        <w:rPr>
          <w:rFonts w:ascii="Times New Roman" w:hAnsi="Times New Roman" w:cs="Times New Roman"/>
          <w:sz w:val="24"/>
          <w:szCs w:val="24"/>
        </w:rPr>
        <w:t xml:space="preserve"> and reiterate</w:t>
      </w:r>
      <w:r w:rsidR="00DE75A1">
        <w:rPr>
          <w:rFonts w:ascii="Times New Roman" w:hAnsi="Times New Roman" w:cs="Times New Roman"/>
          <w:sz w:val="24"/>
          <w:szCs w:val="24"/>
        </w:rPr>
        <w:t>,</w:t>
      </w:r>
      <w:r>
        <w:rPr>
          <w:rFonts w:ascii="Times New Roman" w:hAnsi="Times New Roman" w:cs="Times New Roman"/>
          <w:sz w:val="24"/>
          <w:szCs w:val="24"/>
        </w:rPr>
        <w:t xml:space="preserve"> that the applicant’s greatest weakness is one of taking an assumption which he formulates in his mind and translating it into a fact wh</w:t>
      </w:r>
      <w:r w:rsidR="00DE75A1">
        <w:rPr>
          <w:rFonts w:ascii="Times New Roman" w:hAnsi="Times New Roman" w:cs="Times New Roman"/>
          <w:sz w:val="24"/>
          <w:szCs w:val="24"/>
        </w:rPr>
        <w:t>ich</w:t>
      </w:r>
      <w:r>
        <w:rPr>
          <w:rFonts w:ascii="Times New Roman" w:hAnsi="Times New Roman" w:cs="Times New Roman"/>
          <w:sz w:val="24"/>
          <w:szCs w:val="24"/>
        </w:rPr>
        <w:t xml:space="preserve"> it is not. He</w:t>
      </w:r>
      <w:r w:rsidR="00220B9A">
        <w:rPr>
          <w:rFonts w:ascii="Times New Roman" w:hAnsi="Times New Roman" w:cs="Times New Roman"/>
          <w:sz w:val="24"/>
          <w:szCs w:val="24"/>
        </w:rPr>
        <w:t>,</w:t>
      </w:r>
      <w:r>
        <w:rPr>
          <w:rFonts w:ascii="Times New Roman" w:hAnsi="Times New Roman" w:cs="Times New Roman"/>
          <w:sz w:val="24"/>
          <w:szCs w:val="24"/>
        </w:rPr>
        <w:t xml:space="preserve"> for instance, states in </w:t>
      </w:r>
      <w:r w:rsidR="00DE75A1">
        <w:rPr>
          <w:rFonts w:ascii="Times New Roman" w:hAnsi="Times New Roman" w:cs="Times New Roman"/>
          <w:sz w:val="24"/>
          <w:szCs w:val="24"/>
        </w:rPr>
        <w:t>para</w:t>
      </w:r>
      <w:r w:rsidR="00EF72DB">
        <w:rPr>
          <w:rFonts w:ascii="Times New Roman" w:hAnsi="Times New Roman" w:cs="Times New Roman"/>
          <w:sz w:val="24"/>
          <w:szCs w:val="24"/>
        </w:rPr>
        <w:t>graph</w:t>
      </w:r>
      <w:r w:rsidR="00DE75A1">
        <w:rPr>
          <w:rFonts w:ascii="Times New Roman" w:hAnsi="Times New Roman" w:cs="Times New Roman"/>
          <w:sz w:val="24"/>
          <w:szCs w:val="24"/>
        </w:rPr>
        <w:t xml:space="preserve"> </w:t>
      </w:r>
      <w:r>
        <w:rPr>
          <w:rFonts w:ascii="Times New Roman" w:hAnsi="Times New Roman" w:cs="Times New Roman"/>
          <w:sz w:val="24"/>
          <w:szCs w:val="24"/>
        </w:rPr>
        <w:t xml:space="preserve">18.2 of the founding affidavit that the second respondent sold the motor vehicle, ACU 3707, which had been allocated to her to the fifth respondent from whom he recovered it. He produces no evidence which supports his allegation. He, in fact, does not show that the second respondent sold her allocated vehicle </w:t>
      </w:r>
      <w:r w:rsidR="00220B9A">
        <w:rPr>
          <w:rFonts w:ascii="Times New Roman" w:hAnsi="Times New Roman" w:cs="Times New Roman"/>
          <w:sz w:val="24"/>
          <w:szCs w:val="24"/>
        </w:rPr>
        <w:t>to</w:t>
      </w:r>
      <w:r>
        <w:rPr>
          <w:rFonts w:ascii="Times New Roman" w:hAnsi="Times New Roman" w:cs="Times New Roman"/>
          <w:sz w:val="24"/>
          <w:szCs w:val="24"/>
        </w:rPr>
        <w:t xml:space="preserve"> the fifth respondent.</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vehicle was recovered from the fifth respondent does not prove that the second respondent sold it to him. That is a mere assumption which the applicant makes. I</w:t>
      </w:r>
      <w:r w:rsidR="00220B9A">
        <w:rPr>
          <w:rFonts w:ascii="Times New Roman" w:hAnsi="Times New Roman" w:cs="Times New Roman"/>
          <w:sz w:val="24"/>
          <w:szCs w:val="24"/>
        </w:rPr>
        <w:t>t</w:t>
      </w:r>
      <w:r>
        <w:rPr>
          <w:rFonts w:ascii="Times New Roman" w:hAnsi="Times New Roman" w:cs="Times New Roman"/>
          <w:sz w:val="24"/>
          <w:szCs w:val="24"/>
        </w:rPr>
        <w:t xml:space="preserve"> is an assumption which the fifth respondent re</w:t>
      </w:r>
      <w:r w:rsidR="00220B9A">
        <w:rPr>
          <w:rFonts w:ascii="Times New Roman" w:hAnsi="Times New Roman" w:cs="Times New Roman"/>
          <w:sz w:val="24"/>
          <w:szCs w:val="24"/>
        </w:rPr>
        <w:t>buts</w:t>
      </w:r>
      <w:r>
        <w:rPr>
          <w:rFonts w:ascii="Times New Roman" w:hAnsi="Times New Roman" w:cs="Times New Roman"/>
          <w:sz w:val="24"/>
          <w:szCs w:val="24"/>
        </w:rPr>
        <w:t xml:space="preserve"> when he states that he purchased the car from a garage</w:t>
      </w:r>
      <w:r w:rsidR="00220B9A">
        <w:rPr>
          <w:rFonts w:ascii="Times New Roman" w:hAnsi="Times New Roman" w:cs="Times New Roman"/>
          <w:sz w:val="24"/>
          <w:szCs w:val="24"/>
        </w:rPr>
        <w:t xml:space="preserve"> and not from the second respondent</w:t>
      </w:r>
      <w:r>
        <w:rPr>
          <w:rFonts w:ascii="Times New Roman" w:hAnsi="Times New Roman" w:cs="Times New Roman"/>
          <w:sz w:val="24"/>
          <w:szCs w:val="24"/>
        </w:rPr>
        <w:t>.</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does not tie the loose ends of his case as he should have done. He does not show that the second respondent requested the garage from which the fifth respondent purchased the car to sell it for her. All he does is to allege that the car which was allocated to the second respondent was rec</w:t>
      </w:r>
      <w:r w:rsidR="00220B9A">
        <w:rPr>
          <w:rFonts w:ascii="Times New Roman" w:hAnsi="Times New Roman" w:cs="Times New Roman"/>
          <w:sz w:val="24"/>
          <w:szCs w:val="24"/>
        </w:rPr>
        <w:t>overed</w:t>
      </w:r>
      <w:r>
        <w:rPr>
          <w:rFonts w:ascii="Times New Roman" w:hAnsi="Times New Roman" w:cs="Times New Roman"/>
          <w:sz w:val="24"/>
          <w:szCs w:val="24"/>
        </w:rPr>
        <w:t xml:space="preserve"> from the fifth respondent who purchased it and, therefore, the second respondent sold it to the fifth respondent. Th</w:t>
      </w:r>
      <w:r w:rsidR="00220B9A">
        <w:rPr>
          <w:rFonts w:ascii="Times New Roman" w:hAnsi="Times New Roman" w:cs="Times New Roman"/>
          <w:sz w:val="24"/>
          <w:szCs w:val="24"/>
        </w:rPr>
        <w:t>at</w:t>
      </w:r>
      <w:r>
        <w:rPr>
          <w:rFonts w:ascii="Times New Roman" w:hAnsi="Times New Roman" w:cs="Times New Roman"/>
          <w:sz w:val="24"/>
          <w:szCs w:val="24"/>
        </w:rPr>
        <w:t xml:space="preserve"> analysis is so flaw</w:t>
      </w:r>
      <w:r w:rsidR="00DE75A1">
        <w:rPr>
          <w:rFonts w:ascii="Times New Roman" w:hAnsi="Times New Roman" w:cs="Times New Roman"/>
          <w:sz w:val="24"/>
          <w:szCs w:val="24"/>
        </w:rPr>
        <w:t>ed</w:t>
      </w:r>
      <w:r>
        <w:rPr>
          <w:rFonts w:ascii="Times New Roman" w:hAnsi="Times New Roman" w:cs="Times New Roman"/>
          <w:sz w:val="24"/>
          <w:szCs w:val="24"/>
        </w:rPr>
        <w:t xml:space="preserve"> that it remains unconscionable.</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probability of the trust having surrendered the car to the garage to sell it for its own reasons remains totally unaddressed by the applicant. He produces no evidence at all from the garage which sol</w:t>
      </w:r>
      <w:r w:rsidR="00220B9A">
        <w:rPr>
          <w:rFonts w:ascii="Times New Roman" w:hAnsi="Times New Roman" w:cs="Times New Roman"/>
          <w:sz w:val="24"/>
          <w:szCs w:val="24"/>
        </w:rPr>
        <w:t>d</w:t>
      </w:r>
      <w:r>
        <w:rPr>
          <w:rFonts w:ascii="Times New Roman" w:hAnsi="Times New Roman" w:cs="Times New Roman"/>
          <w:sz w:val="24"/>
          <w:szCs w:val="24"/>
        </w:rPr>
        <w:t xml:space="preserve"> the car to the fifth respondent with a view to showing how the car found its way to it or the person who mandated it to sell the car which was/is registered in the name of the trust.</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fifth respondent states, correctly in my view, that he is an innocent purchaser who should not be adversely affected by the dispute of the applicant and the first four respondents. It is a fact that, when the motor vehicle was seized by the applicant, he moved th</w:t>
      </w:r>
      <w:r w:rsidR="00DE75A1">
        <w:rPr>
          <w:rFonts w:ascii="Times New Roman" w:hAnsi="Times New Roman" w:cs="Times New Roman"/>
          <w:sz w:val="24"/>
          <w:szCs w:val="24"/>
        </w:rPr>
        <w:t>e</w:t>
      </w:r>
      <w:r>
        <w:rPr>
          <w:rFonts w:ascii="Times New Roman" w:hAnsi="Times New Roman" w:cs="Times New Roman"/>
          <w:sz w:val="24"/>
          <w:szCs w:val="24"/>
        </w:rPr>
        <w:t xml:space="preserve"> court under HC 319/18 to order the garage which sold the car to him to refund him US$28 200 or to </w:t>
      </w:r>
      <w:r>
        <w:rPr>
          <w:rFonts w:ascii="Times New Roman" w:hAnsi="Times New Roman" w:cs="Times New Roman"/>
          <w:sz w:val="24"/>
          <w:szCs w:val="24"/>
        </w:rPr>
        <w:lastRenderedPageBreak/>
        <w:t>compensate him with a motor vehicle which was/is similar to the one which the applicant seized. His application in the mentioned regard succeeded.</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fifth respondent cannot</w:t>
      </w:r>
      <w:r w:rsidR="00220B9A">
        <w:rPr>
          <w:rFonts w:ascii="Times New Roman" w:hAnsi="Times New Roman" w:cs="Times New Roman"/>
          <w:sz w:val="24"/>
          <w:szCs w:val="24"/>
        </w:rPr>
        <w:t>,</w:t>
      </w:r>
      <w:r>
        <w:rPr>
          <w:rFonts w:ascii="Times New Roman" w:hAnsi="Times New Roman" w:cs="Times New Roman"/>
          <w:sz w:val="24"/>
          <w:szCs w:val="24"/>
        </w:rPr>
        <w:t xml:space="preserve"> in my view, suffer for the sins of others, if such exist. He, no doubt</w:t>
      </w:r>
      <w:r w:rsidR="00DE75A1">
        <w:rPr>
          <w:rFonts w:ascii="Times New Roman" w:hAnsi="Times New Roman" w:cs="Times New Roman"/>
          <w:sz w:val="24"/>
          <w:szCs w:val="24"/>
        </w:rPr>
        <w:t>,</w:t>
      </w:r>
      <w:r>
        <w:rPr>
          <w:rFonts w:ascii="Times New Roman" w:hAnsi="Times New Roman" w:cs="Times New Roman"/>
          <w:sz w:val="24"/>
          <w:szCs w:val="24"/>
        </w:rPr>
        <w:t xml:space="preserve"> is an innocent purchaser the conduct of which the court found reason to protect when it stated in </w:t>
      </w:r>
      <w:r w:rsidRPr="001216D3">
        <w:rPr>
          <w:rFonts w:ascii="Times New Roman" w:hAnsi="Times New Roman" w:cs="Times New Roman"/>
          <w:i/>
          <w:sz w:val="24"/>
          <w:szCs w:val="24"/>
        </w:rPr>
        <w:t>The National Directors of Public and Another</w:t>
      </w:r>
      <w:r>
        <w:rPr>
          <w:rFonts w:ascii="Times New Roman" w:hAnsi="Times New Roman" w:cs="Times New Roman"/>
          <w:sz w:val="24"/>
          <w:szCs w:val="24"/>
        </w:rPr>
        <w:t xml:space="preserve"> v </w:t>
      </w:r>
      <w:r w:rsidRPr="001216D3">
        <w:rPr>
          <w:rFonts w:ascii="Times New Roman" w:hAnsi="Times New Roman" w:cs="Times New Roman"/>
          <w:i/>
          <w:sz w:val="24"/>
          <w:szCs w:val="24"/>
        </w:rPr>
        <w:t>Yasien Mac Mohamed N.O and 3 others</w:t>
      </w:r>
      <w:r>
        <w:rPr>
          <w:rFonts w:ascii="Times New Roman" w:hAnsi="Times New Roman" w:cs="Times New Roman"/>
          <w:sz w:val="24"/>
          <w:szCs w:val="24"/>
        </w:rPr>
        <w:t xml:space="preserve"> CCT 44/02 that:</w:t>
      </w:r>
    </w:p>
    <w:p w:rsidR="00BD28C5" w:rsidRDefault="00BD28C5" w:rsidP="00BD28C5">
      <w:pPr>
        <w:spacing w:after="0" w:line="240" w:lineRule="auto"/>
        <w:ind w:left="720"/>
        <w:jc w:val="both"/>
        <w:rPr>
          <w:rFonts w:ascii="Times New Roman" w:hAnsi="Times New Roman" w:cs="Times New Roman"/>
        </w:rPr>
      </w:pPr>
      <w:r>
        <w:rPr>
          <w:rFonts w:ascii="Times New Roman" w:hAnsi="Times New Roman" w:cs="Times New Roman"/>
        </w:rPr>
        <w:t>“At the fo</w:t>
      </w:r>
      <w:r w:rsidR="00220B9A">
        <w:rPr>
          <w:rFonts w:ascii="Times New Roman" w:hAnsi="Times New Roman" w:cs="Times New Roman"/>
        </w:rPr>
        <w:t>rfeiture</w:t>
      </w:r>
      <w:r>
        <w:rPr>
          <w:rFonts w:ascii="Times New Roman" w:hAnsi="Times New Roman" w:cs="Times New Roman"/>
        </w:rPr>
        <w:t xml:space="preserve"> stage of the proceedings an owner can claim that he or she acquired an interest in the property in question </w:t>
      </w:r>
      <w:r w:rsidRPr="003B1C83">
        <w:rPr>
          <w:rFonts w:ascii="Times New Roman" w:hAnsi="Times New Roman" w:cs="Times New Roman"/>
          <w:u w:val="single"/>
        </w:rPr>
        <w:t>legally and for value</w:t>
      </w:r>
      <w:r>
        <w:rPr>
          <w:rFonts w:ascii="Times New Roman" w:hAnsi="Times New Roman" w:cs="Times New Roman"/>
        </w:rPr>
        <w:t xml:space="preserve"> and that he or she neither knew no</w:t>
      </w:r>
      <w:r w:rsidR="00220B9A">
        <w:rPr>
          <w:rFonts w:ascii="Times New Roman" w:hAnsi="Times New Roman" w:cs="Times New Roman"/>
        </w:rPr>
        <w:t>r</w:t>
      </w:r>
      <w:r>
        <w:rPr>
          <w:rFonts w:ascii="Times New Roman" w:hAnsi="Times New Roman" w:cs="Times New Roman"/>
        </w:rPr>
        <w:t xml:space="preserve"> had reasonable grounds to suspect that the </w:t>
      </w:r>
      <w:r w:rsidRPr="003B1C83">
        <w:rPr>
          <w:rFonts w:ascii="Times New Roman" w:hAnsi="Times New Roman" w:cs="Times New Roman"/>
          <w:u w:val="single"/>
        </w:rPr>
        <w:t>property constitute the proceeds of crime</w:t>
      </w:r>
      <w:r>
        <w:rPr>
          <w:rFonts w:ascii="Times New Roman" w:hAnsi="Times New Roman" w:cs="Times New Roman"/>
        </w:rPr>
        <w:t xml:space="preserve"> or had been an instrumentality in an offence.</w:t>
      </w:r>
      <w:r w:rsidR="00220B9A">
        <w:rPr>
          <w:rFonts w:ascii="Times New Roman" w:hAnsi="Times New Roman" w:cs="Times New Roman"/>
        </w:rPr>
        <w:t>”</w:t>
      </w:r>
      <w:r>
        <w:rPr>
          <w:rFonts w:ascii="Times New Roman" w:hAnsi="Times New Roman" w:cs="Times New Roman"/>
        </w:rPr>
        <w:t xml:space="preserve"> (emphasis added)</w:t>
      </w:r>
    </w:p>
    <w:p w:rsidR="00BD28C5" w:rsidRPr="00DF301F" w:rsidRDefault="00BD28C5" w:rsidP="00BD28C5">
      <w:pPr>
        <w:spacing w:after="0" w:line="240" w:lineRule="auto"/>
        <w:ind w:left="720"/>
        <w:jc w:val="both"/>
        <w:rPr>
          <w:rFonts w:ascii="Times New Roman" w:hAnsi="Times New Roman" w:cs="Times New Roman"/>
        </w:rPr>
      </w:pP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above-cited case is not binding on me, it is</w:t>
      </w:r>
      <w:r w:rsidR="00DE75A1">
        <w:rPr>
          <w:rFonts w:ascii="Times New Roman" w:hAnsi="Times New Roman" w:cs="Times New Roman"/>
          <w:sz w:val="24"/>
          <w:szCs w:val="24"/>
        </w:rPr>
        <w:t>,</w:t>
      </w:r>
      <w:r>
        <w:rPr>
          <w:rFonts w:ascii="Times New Roman" w:hAnsi="Times New Roman" w:cs="Times New Roman"/>
          <w:sz w:val="24"/>
          <w:szCs w:val="24"/>
        </w:rPr>
        <w:t xml:space="preserve"> however, of great persuasive value. It offers a clear guide for dealing with the circumstances of the fifth respondent who purchased the car legally and for value. His case is strengthened by the fact that the car which he bought does not constitute the proceeds of crime. Nor was it an instrumentality in any offence as the applicant seeks to allege.</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an objective analysis of the circumstances of this application</w:t>
      </w:r>
      <w:r w:rsidR="00220B9A">
        <w:rPr>
          <w:rFonts w:ascii="Times New Roman" w:hAnsi="Times New Roman" w:cs="Times New Roman"/>
          <w:sz w:val="24"/>
          <w:szCs w:val="24"/>
        </w:rPr>
        <w:t>,</w:t>
      </w:r>
      <w:r>
        <w:rPr>
          <w:rFonts w:ascii="Times New Roman" w:hAnsi="Times New Roman" w:cs="Times New Roman"/>
          <w:sz w:val="24"/>
          <w:szCs w:val="24"/>
        </w:rPr>
        <w:t xml:space="preserve"> therefore</w:t>
      </w:r>
      <w:r w:rsidR="00220B9A">
        <w:rPr>
          <w:rFonts w:ascii="Times New Roman" w:hAnsi="Times New Roman" w:cs="Times New Roman"/>
          <w:sz w:val="24"/>
          <w:szCs w:val="24"/>
        </w:rPr>
        <w:t>,</w:t>
      </w:r>
      <w:r>
        <w:rPr>
          <w:rFonts w:ascii="Times New Roman" w:hAnsi="Times New Roman" w:cs="Times New Roman"/>
          <w:sz w:val="24"/>
          <w:szCs w:val="24"/>
        </w:rPr>
        <w:t xml:space="preserve"> none of the respondents can be said to have committed any crime. The conduct of each of them is well above board. No element of any offence attaches to any of them. Their hands remain as white as snow. They are clean.</w:t>
      </w:r>
    </w:p>
    <w:p w:rsidR="00BD28C5" w:rsidRDefault="00BD28C5" w:rsidP="00BD28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failed to prove</w:t>
      </w:r>
      <w:r w:rsidR="000C2013">
        <w:rPr>
          <w:rFonts w:ascii="Times New Roman" w:hAnsi="Times New Roman" w:cs="Times New Roman"/>
          <w:sz w:val="24"/>
          <w:szCs w:val="24"/>
        </w:rPr>
        <w:t>,</w:t>
      </w:r>
      <w:r>
        <w:rPr>
          <w:rFonts w:ascii="Times New Roman" w:hAnsi="Times New Roman" w:cs="Times New Roman"/>
          <w:sz w:val="24"/>
          <w:szCs w:val="24"/>
        </w:rPr>
        <w:t xml:space="preserve"> </w:t>
      </w:r>
      <w:r w:rsidR="0003262A">
        <w:rPr>
          <w:rFonts w:ascii="Times New Roman" w:hAnsi="Times New Roman" w:cs="Times New Roman"/>
          <w:sz w:val="24"/>
          <w:szCs w:val="24"/>
        </w:rPr>
        <w:t>on a balance of probabilities</w:t>
      </w:r>
      <w:r w:rsidR="000C2013">
        <w:rPr>
          <w:rFonts w:ascii="Times New Roman" w:hAnsi="Times New Roman" w:cs="Times New Roman"/>
          <w:sz w:val="24"/>
          <w:szCs w:val="24"/>
        </w:rPr>
        <w:t>,</w:t>
      </w:r>
      <w:r w:rsidR="0003262A">
        <w:rPr>
          <w:rFonts w:ascii="Times New Roman" w:hAnsi="Times New Roman" w:cs="Times New Roman"/>
          <w:sz w:val="24"/>
          <w:szCs w:val="24"/>
        </w:rPr>
        <w:t xml:space="preserve"> </w:t>
      </w:r>
      <w:r>
        <w:rPr>
          <w:rFonts w:ascii="Times New Roman" w:hAnsi="Times New Roman" w:cs="Times New Roman"/>
          <w:sz w:val="24"/>
          <w:szCs w:val="24"/>
        </w:rPr>
        <w:t xml:space="preserve">the circumstances of the application which it </w:t>
      </w:r>
      <w:r w:rsidR="0003262A">
        <w:rPr>
          <w:rFonts w:ascii="Times New Roman" w:hAnsi="Times New Roman" w:cs="Times New Roman"/>
          <w:sz w:val="24"/>
          <w:szCs w:val="24"/>
        </w:rPr>
        <w:t>filed. The</w:t>
      </w:r>
      <w:r>
        <w:rPr>
          <w:rFonts w:ascii="Times New Roman" w:hAnsi="Times New Roman" w:cs="Times New Roman"/>
          <w:sz w:val="24"/>
          <w:szCs w:val="24"/>
        </w:rPr>
        <w:t xml:space="preserve"> application is, in the result</w:t>
      </w:r>
      <w:r w:rsidR="00220B9A">
        <w:rPr>
          <w:rFonts w:ascii="Times New Roman" w:hAnsi="Times New Roman" w:cs="Times New Roman"/>
          <w:sz w:val="24"/>
          <w:szCs w:val="24"/>
        </w:rPr>
        <w:t>,</w:t>
      </w:r>
      <w:r>
        <w:rPr>
          <w:rFonts w:ascii="Times New Roman" w:hAnsi="Times New Roman" w:cs="Times New Roman"/>
          <w:sz w:val="24"/>
          <w:szCs w:val="24"/>
        </w:rPr>
        <w:t xml:space="preserve"> dismissed with costs.</w:t>
      </w:r>
    </w:p>
    <w:p w:rsidR="00BD28C5" w:rsidRDefault="00BD28C5" w:rsidP="00BD28C5">
      <w:pPr>
        <w:spacing w:after="0" w:line="360" w:lineRule="auto"/>
        <w:jc w:val="both"/>
        <w:rPr>
          <w:rFonts w:ascii="Times New Roman" w:hAnsi="Times New Roman" w:cs="Times New Roman"/>
          <w:sz w:val="24"/>
          <w:szCs w:val="24"/>
        </w:rPr>
      </w:pPr>
    </w:p>
    <w:p w:rsidR="00BD28C5" w:rsidRDefault="00BD28C5" w:rsidP="00BD28C5">
      <w:pPr>
        <w:spacing w:after="0" w:line="360" w:lineRule="auto"/>
        <w:jc w:val="both"/>
        <w:rPr>
          <w:rFonts w:ascii="Times New Roman" w:hAnsi="Times New Roman" w:cs="Times New Roman"/>
          <w:sz w:val="24"/>
          <w:szCs w:val="24"/>
        </w:rPr>
      </w:pPr>
    </w:p>
    <w:p w:rsidR="003D1865" w:rsidRDefault="003D1865" w:rsidP="003D1865">
      <w:pPr>
        <w:spacing w:after="0" w:line="240" w:lineRule="auto"/>
        <w:jc w:val="both"/>
        <w:rPr>
          <w:rFonts w:ascii="Times New Roman" w:hAnsi="Times New Roman"/>
          <w:sz w:val="24"/>
          <w:szCs w:val="24"/>
        </w:rPr>
      </w:pPr>
      <w:r w:rsidRPr="00276C09">
        <w:rPr>
          <w:rFonts w:ascii="Times New Roman" w:hAnsi="Times New Roman"/>
          <w:i/>
          <w:sz w:val="24"/>
          <w:szCs w:val="24"/>
        </w:rPr>
        <w:t>National Prosecuting Authority</w:t>
      </w:r>
      <w:r>
        <w:rPr>
          <w:rFonts w:ascii="Times New Roman" w:hAnsi="Times New Roman"/>
          <w:sz w:val="24"/>
          <w:szCs w:val="24"/>
        </w:rPr>
        <w:t>, applicant’s legal practitioners</w:t>
      </w:r>
    </w:p>
    <w:p w:rsidR="00EE41B0" w:rsidRDefault="00EE41B0" w:rsidP="003D1865">
      <w:pPr>
        <w:spacing w:after="0" w:line="240" w:lineRule="auto"/>
        <w:jc w:val="both"/>
        <w:rPr>
          <w:rFonts w:ascii="Times New Roman" w:hAnsi="Times New Roman"/>
          <w:sz w:val="24"/>
          <w:szCs w:val="24"/>
        </w:rPr>
      </w:pPr>
      <w:r>
        <w:rPr>
          <w:rFonts w:ascii="Times New Roman" w:hAnsi="Times New Roman"/>
          <w:i/>
          <w:sz w:val="24"/>
          <w:szCs w:val="24"/>
        </w:rPr>
        <w:t xml:space="preserve">Muchengeti &amp; Company, </w:t>
      </w:r>
      <w:r>
        <w:rPr>
          <w:rFonts w:ascii="Times New Roman" w:hAnsi="Times New Roman"/>
          <w:sz w:val="24"/>
          <w:szCs w:val="24"/>
        </w:rPr>
        <w:t>1</w:t>
      </w:r>
      <w:r w:rsidRPr="00EE41B0">
        <w:rPr>
          <w:rFonts w:ascii="Times New Roman" w:hAnsi="Times New Roman"/>
          <w:sz w:val="24"/>
          <w:szCs w:val="24"/>
          <w:vertAlign w:val="superscript"/>
        </w:rPr>
        <w:t>st</w:t>
      </w:r>
      <w:r>
        <w:rPr>
          <w:rFonts w:ascii="Times New Roman" w:hAnsi="Times New Roman"/>
          <w:sz w:val="24"/>
          <w:szCs w:val="24"/>
        </w:rPr>
        <w:t xml:space="preserve"> respondent’s legal practitioners</w:t>
      </w:r>
    </w:p>
    <w:p w:rsidR="00EE41B0" w:rsidRPr="00EE41B0" w:rsidRDefault="00EE41B0" w:rsidP="003D1865">
      <w:pPr>
        <w:spacing w:after="0" w:line="240" w:lineRule="auto"/>
        <w:jc w:val="both"/>
        <w:rPr>
          <w:rFonts w:ascii="Times New Roman" w:hAnsi="Times New Roman"/>
          <w:sz w:val="24"/>
          <w:szCs w:val="24"/>
        </w:rPr>
      </w:pPr>
      <w:r w:rsidRPr="00EE41B0">
        <w:rPr>
          <w:rFonts w:ascii="Times New Roman" w:hAnsi="Times New Roman"/>
          <w:i/>
          <w:sz w:val="24"/>
          <w:szCs w:val="24"/>
        </w:rPr>
        <w:t>Mushoriwa Pasi Corporate Attorneys</w:t>
      </w:r>
      <w:r>
        <w:rPr>
          <w:rFonts w:ascii="Times New Roman" w:hAnsi="Times New Roman"/>
          <w:sz w:val="24"/>
          <w:szCs w:val="24"/>
        </w:rPr>
        <w:t>, 4</w:t>
      </w:r>
      <w:r w:rsidRPr="00EE41B0">
        <w:rPr>
          <w:rFonts w:ascii="Times New Roman" w:hAnsi="Times New Roman"/>
          <w:sz w:val="24"/>
          <w:szCs w:val="24"/>
          <w:vertAlign w:val="superscript"/>
        </w:rPr>
        <w:t>th</w:t>
      </w:r>
      <w:r>
        <w:rPr>
          <w:rFonts w:ascii="Times New Roman" w:hAnsi="Times New Roman"/>
          <w:sz w:val="24"/>
          <w:szCs w:val="24"/>
        </w:rPr>
        <w:t xml:space="preserve"> respondent’s legal practitioners</w:t>
      </w:r>
    </w:p>
    <w:p w:rsidR="00EE41B0" w:rsidRDefault="00EE41B0" w:rsidP="003D1865">
      <w:pPr>
        <w:spacing w:after="0" w:line="240" w:lineRule="auto"/>
        <w:jc w:val="both"/>
        <w:rPr>
          <w:rFonts w:ascii="Times New Roman" w:hAnsi="Times New Roman"/>
          <w:i/>
          <w:sz w:val="24"/>
          <w:szCs w:val="24"/>
        </w:rPr>
      </w:pPr>
      <w:r>
        <w:rPr>
          <w:rFonts w:ascii="Times New Roman" w:hAnsi="Times New Roman"/>
          <w:i/>
          <w:sz w:val="24"/>
          <w:szCs w:val="24"/>
        </w:rPr>
        <w:t xml:space="preserve">J Mambara &amp; Partners, </w:t>
      </w:r>
      <w:r w:rsidRPr="00220B9A">
        <w:rPr>
          <w:rFonts w:ascii="Times New Roman" w:hAnsi="Times New Roman"/>
          <w:sz w:val="24"/>
          <w:szCs w:val="24"/>
        </w:rPr>
        <w:t>5</w:t>
      </w:r>
      <w:r w:rsidRPr="00220B9A">
        <w:rPr>
          <w:rFonts w:ascii="Times New Roman" w:hAnsi="Times New Roman"/>
          <w:sz w:val="24"/>
          <w:szCs w:val="24"/>
          <w:vertAlign w:val="superscript"/>
        </w:rPr>
        <w:t>th</w:t>
      </w:r>
      <w:r w:rsidRPr="00220B9A">
        <w:rPr>
          <w:rFonts w:ascii="Times New Roman" w:hAnsi="Times New Roman"/>
          <w:sz w:val="24"/>
          <w:szCs w:val="24"/>
        </w:rPr>
        <w:t xml:space="preserve"> respondent’s legal practitioners </w:t>
      </w:r>
    </w:p>
    <w:p w:rsidR="003D1865" w:rsidRPr="002C6469" w:rsidRDefault="003D1865" w:rsidP="003D1865">
      <w:pPr>
        <w:spacing w:after="0" w:line="240" w:lineRule="auto"/>
        <w:jc w:val="both"/>
        <w:rPr>
          <w:rFonts w:ascii="Times New Roman" w:hAnsi="Times New Roman"/>
          <w:sz w:val="24"/>
          <w:szCs w:val="24"/>
        </w:rPr>
      </w:pPr>
      <w:r>
        <w:rPr>
          <w:rFonts w:ascii="Times New Roman" w:hAnsi="Times New Roman"/>
          <w:sz w:val="24"/>
          <w:szCs w:val="24"/>
        </w:rPr>
        <w:tab/>
      </w:r>
    </w:p>
    <w:p w:rsidR="003D1865" w:rsidRPr="00835432" w:rsidRDefault="003D1865" w:rsidP="00062340">
      <w:pPr>
        <w:pStyle w:val="NoSpacing"/>
        <w:rPr>
          <w:rFonts w:ascii="Times New Roman" w:hAnsi="Times New Roman"/>
        </w:rPr>
      </w:pPr>
    </w:p>
    <w:p w:rsidR="00BD28C5" w:rsidRPr="001E1C0E" w:rsidRDefault="00BD28C5" w:rsidP="00062340">
      <w:pPr>
        <w:spacing w:after="0" w:line="360" w:lineRule="auto"/>
        <w:jc w:val="both"/>
        <w:rPr>
          <w:rFonts w:ascii="Times New Roman" w:hAnsi="Times New Roman" w:cs="Times New Roman"/>
          <w:sz w:val="24"/>
          <w:szCs w:val="24"/>
        </w:rPr>
      </w:pPr>
    </w:p>
    <w:p w:rsidR="00BD28C5" w:rsidRDefault="00BD28C5" w:rsidP="00BD28C5">
      <w:pPr>
        <w:spacing w:after="0" w:line="240" w:lineRule="auto"/>
        <w:ind w:left="720"/>
        <w:jc w:val="both"/>
        <w:rPr>
          <w:rFonts w:ascii="Times New Roman" w:hAnsi="Times New Roman" w:cs="Times New Roman"/>
        </w:rPr>
      </w:pPr>
    </w:p>
    <w:p w:rsidR="00BD28C5" w:rsidRPr="00512314" w:rsidRDefault="00BD28C5" w:rsidP="00BD28C5">
      <w:pPr>
        <w:spacing w:after="0" w:line="240" w:lineRule="auto"/>
        <w:ind w:left="720"/>
        <w:jc w:val="both"/>
        <w:rPr>
          <w:rFonts w:ascii="Times New Roman" w:hAnsi="Times New Roman" w:cs="Times New Roman"/>
        </w:rPr>
      </w:pPr>
    </w:p>
    <w:p w:rsidR="007D20DD" w:rsidRPr="007D20DD" w:rsidRDefault="007D20DD" w:rsidP="007D20DD">
      <w:pPr>
        <w:spacing w:after="0" w:line="360" w:lineRule="auto"/>
        <w:jc w:val="both"/>
        <w:rPr>
          <w:rFonts w:ascii="Times New Roman" w:hAnsi="Times New Roman" w:cs="Times New Roman"/>
          <w:sz w:val="24"/>
          <w:szCs w:val="24"/>
          <w:lang w:val="en-GB"/>
        </w:rPr>
      </w:pPr>
      <w:bookmarkStart w:id="0" w:name="_GoBack"/>
      <w:bookmarkEnd w:id="0"/>
    </w:p>
    <w:sectPr w:rsidR="007D20DD" w:rsidRPr="007D20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0D9" w:rsidRDefault="006720D9" w:rsidP="00EB2C21">
      <w:pPr>
        <w:spacing w:after="0" w:line="240" w:lineRule="auto"/>
      </w:pPr>
      <w:r>
        <w:separator/>
      </w:r>
    </w:p>
  </w:endnote>
  <w:endnote w:type="continuationSeparator" w:id="0">
    <w:p w:rsidR="006720D9" w:rsidRDefault="006720D9"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0D9" w:rsidRDefault="006720D9" w:rsidP="00EB2C21">
      <w:pPr>
        <w:spacing w:after="0" w:line="240" w:lineRule="auto"/>
      </w:pPr>
      <w:r>
        <w:separator/>
      </w:r>
    </w:p>
  </w:footnote>
  <w:footnote w:type="continuationSeparator" w:id="0">
    <w:p w:rsidR="006720D9" w:rsidRDefault="006720D9"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CA7E15">
          <w:rPr>
            <w:noProof/>
          </w:rPr>
          <w:t>12</w:t>
        </w:r>
        <w:r>
          <w:rPr>
            <w:noProof/>
          </w:rPr>
          <w:fldChar w:fldCharType="end"/>
        </w:r>
      </w:p>
      <w:p w:rsidR="008072FB" w:rsidRDefault="00A43544">
        <w:pPr>
          <w:pStyle w:val="Header"/>
          <w:jc w:val="right"/>
          <w:rPr>
            <w:noProof/>
          </w:rPr>
        </w:pPr>
        <w:r>
          <w:rPr>
            <w:noProof/>
          </w:rPr>
          <w:t xml:space="preserve">HH </w:t>
        </w:r>
        <w:r w:rsidR="00DB1E1C">
          <w:rPr>
            <w:noProof/>
          </w:rPr>
          <w:t xml:space="preserve"> 120/21</w:t>
        </w:r>
      </w:p>
      <w:p w:rsidR="00EB2C21" w:rsidRDefault="00AB7CC6">
        <w:pPr>
          <w:pStyle w:val="Header"/>
          <w:jc w:val="right"/>
        </w:pPr>
        <w:r>
          <w:rPr>
            <w:noProof/>
          </w:rPr>
          <w:t xml:space="preserve">HC </w:t>
        </w:r>
        <w:r w:rsidR="00976DFE">
          <w:rPr>
            <w:noProof/>
          </w:rPr>
          <w:t>8663/19</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B01"/>
    <w:multiLevelType w:val="hybridMultilevel"/>
    <w:tmpl w:val="D80A8516"/>
    <w:lvl w:ilvl="0" w:tplc="622C98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0ED66613"/>
    <w:multiLevelType w:val="hybridMultilevel"/>
    <w:tmpl w:val="936C4432"/>
    <w:lvl w:ilvl="0" w:tplc="B3F67B52">
      <w:start w:val="1"/>
      <w:numFmt w:val="lowerLetter"/>
      <w:lvlText w:val="(%1)"/>
      <w:lvlJc w:val="left"/>
      <w:pPr>
        <w:ind w:left="1495" w:hanging="360"/>
      </w:pPr>
      <w:rPr>
        <w:rFonts w:hint="default"/>
      </w:rPr>
    </w:lvl>
    <w:lvl w:ilvl="1" w:tplc="30090019">
      <w:start w:val="1"/>
      <w:numFmt w:val="lowerLetter"/>
      <w:lvlText w:val="%2."/>
      <w:lvlJc w:val="left"/>
      <w:pPr>
        <w:ind w:left="2215" w:hanging="360"/>
      </w:pPr>
    </w:lvl>
    <w:lvl w:ilvl="2" w:tplc="3009001B">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3"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34370C"/>
    <w:multiLevelType w:val="hybridMultilevel"/>
    <w:tmpl w:val="986E4D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FBF7B40"/>
    <w:multiLevelType w:val="hybridMultilevel"/>
    <w:tmpl w:val="F370AA9A"/>
    <w:lvl w:ilvl="0" w:tplc="83D062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06963F6"/>
    <w:multiLevelType w:val="hybridMultilevel"/>
    <w:tmpl w:val="ED1ABC22"/>
    <w:lvl w:ilvl="0" w:tplc="12AEDA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1BC1C6D"/>
    <w:multiLevelType w:val="hybridMultilevel"/>
    <w:tmpl w:val="50AE9844"/>
    <w:lvl w:ilvl="0" w:tplc="90CEC6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C285AAD"/>
    <w:multiLevelType w:val="hybridMultilevel"/>
    <w:tmpl w:val="7E6ED232"/>
    <w:lvl w:ilvl="0" w:tplc="3F9EFF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59610C3"/>
    <w:multiLevelType w:val="hybridMultilevel"/>
    <w:tmpl w:val="2D4ABD78"/>
    <w:lvl w:ilvl="0" w:tplc="D05AB14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66E7097"/>
    <w:multiLevelType w:val="hybridMultilevel"/>
    <w:tmpl w:val="44A4ADE4"/>
    <w:lvl w:ilvl="0" w:tplc="13AE67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9" w15:restartNumberingAfterBreak="0">
    <w:nsid w:val="5B5F1689"/>
    <w:multiLevelType w:val="hybridMultilevel"/>
    <w:tmpl w:val="8E92F8CC"/>
    <w:lvl w:ilvl="0" w:tplc="11F64F2A">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1" w15:restartNumberingAfterBreak="0">
    <w:nsid w:val="698739EE"/>
    <w:multiLevelType w:val="hybridMultilevel"/>
    <w:tmpl w:val="36E6985E"/>
    <w:lvl w:ilvl="0" w:tplc="525AADF6">
      <w:start w:val="1"/>
      <w:numFmt w:val="lowerRoman"/>
      <w:lvlText w:val="(%1)"/>
      <w:lvlJc w:val="left"/>
      <w:pPr>
        <w:ind w:left="1430" w:hanging="72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2"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3"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24" w15:restartNumberingAfterBreak="0">
    <w:nsid w:val="6D24520D"/>
    <w:multiLevelType w:val="hybridMultilevel"/>
    <w:tmpl w:val="9784159A"/>
    <w:lvl w:ilvl="0" w:tplc="B9D816E4">
      <w:start w:val="19"/>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8"/>
  </w:num>
  <w:num w:numId="2">
    <w:abstractNumId w:val="15"/>
  </w:num>
  <w:num w:numId="3">
    <w:abstractNumId w:val="7"/>
  </w:num>
  <w:num w:numId="4">
    <w:abstractNumId w:val="23"/>
  </w:num>
  <w:num w:numId="5">
    <w:abstractNumId w:val="18"/>
  </w:num>
  <w:num w:numId="6">
    <w:abstractNumId w:val="22"/>
  </w:num>
  <w:num w:numId="7">
    <w:abstractNumId w:val="1"/>
  </w:num>
  <w:num w:numId="8">
    <w:abstractNumId w:val="20"/>
  </w:num>
  <w:num w:numId="9">
    <w:abstractNumId w:val="3"/>
  </w:num>
  <w:num w:numId="10">
    <w:abstractNumId w:val="12"/>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5"/>
  </w:num>
  <w:num w:numId="16">
    <w:abstractNumId w:val="16"/>
  </w:num>
  <w:num w:numId="17">
    <w:abstractNumId w:val="17"/>
  </w:num>
  <w:num w:numId="18">
    <w:abstractNumId w:val="19"/>
  </w:num>
  <w:num w:numId="19">
    <w:abstractNumId w:val="11"/>
  </w:num>
  <w:num w:numId="20">
    <w:abstractNumId w:val="0"/>
  </w:num>
  <w:num w:numId="21">
    <w:abstractNumId w:val="2"/>
  </w:num>
  <w:num w:numId="22">
    <w:abstractNumId w:val="21"/>
  </w:num>
  <w:num w:numId="23">
    <w:abstractNumId w:val="13"/>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3262A"/>
    <w:rsid w:val="000504A1"/>
    <w:rsid w:val="0005360C"/>
    <w:rsid w:val="000575F7"/>
    <w:rsid w:val="00062340"/>
    <w:rsid w:val="00075374"/>
    <w:rsid w:val="000816CE"/>
    <w:rsid w:val="000C2013"/>
    <w:rsid w:val="000D1DE4"/>
    <w:rsid w:val="000D6310"/>
    <w:rsid w:val="000F5711"/>
    <w:rsid w:val="001062A7"/>
    <w:rsid w:val="00111074"/>
    <w:rsid w:val="0011324F"/>
    <w:rsid w:val="00124B42"/>
    <w:rsid w:val="00126423"/>
    <w:rsid w:val="001313BB"/>
    <w:rsid w:val="00153A88"/>
    <w:rsid w:val="00187F63"/>
    <w:rsid w:val="001C4FC0"/>
    <w:rsid w:val="001D7219"/>
    <w:rsid w:val="001F2127"/>
    <w:rsid w:val="00201FD9"/>
    <w:rsid w:val="00220B9A"/>
    <w:rsid w:val="00241923"/>
    <w:rsid w:val="00246A0E"/>
    <w:rsid w:val="00252508"/>
    <w:rsid w:val="002572A9"/>
    <w:rsid w:val="002C578E"/>
    <w:rsid w:val="002F74E3"/>
    <w:rsid w:val="0031167C"/>
    <w:rsid w:val="00334ACA"/>
    <w:rsid w:val="0033615F"/>
    <w:rsid w:val="00344662"/>
    <w:rsid w:val="00351D24"/>
    <w:rsid w:val="003673C5"/>
    <w:rsid w:val="003839DA"/>
    <w:rsid w:val="003B67D0"/>
    <w:rsid w:val="003D1865"/>
    <w:rsid w:val="003E711B"/>
    <w:rsid w:val="00415255"/>
    <w:rsid w:val="004B6F64"/>
    <w:rsid w:val="004D2C9E"/>
    <w:rsid w:val="004D483C"/>
    <w:rsid w:val="004D63BF"/>
    <w:rsid w:val="004E7675"/>
    <w:rsid w:val="004F0437"/>
    <w:rsid w:val="00505191"/>
    <w:rsid w:val="00506687"/>
    <w:rsid w:val="00533A83"/>
    <w:rsid w:val="00536660"/>
    <w:rsid w:val="00563447"/>
    <w:rsid w:val="00566F3C"/>
    <w:rsid w:val="00567037"/>
    <w:rsid w:val="00590605"/>
    <w:rsid w:val="0059523A"/>
    <w:rsid w:val="005C64B7"/>
    <w:rsid w:val="005D1B9F"/>
    <w:rsid w:val="005F5EEB"/>
    <w:rsid w:val="0060695B"/>
    <w:rsid w:val="006720D9"/>
    <w:rsid w:val="0067508A"/>
    <w:rsid w:val="00692CCD"/>
    <w:rsid w:val="006C571B"/>
    <w:rsid w:val="006E59DE"/>
    <w:rsid w:val="00700ACD"/>
    <w:rsid w:val="00741EDC"/>
    <w:rsid w:val="007909F8"/>
    <w:rsid w:val="007D0737"/>
    <w:rsid w:val="007D20DD"/>
    <w:rsid w:val="008072FB"/>
    <w:rsid w:val="0082244A"/>
    <w:rsid w:val="008A5F71"/>
    <w:rsid w:val="008B668E"/>
    <w:rsid w:val="008B7D09"/>
    <w:rsid w:val="008D1ADA"/>
    <w:rsid w:val="008D6CE2"/>
    <w:rsid w:val="008E783D"/>
    <w:rsid w:val="008F20AF"/>
    <w:rsid w:val="00904A06"/>
    <w:rsid w:val="00912216"/>
    <w:rsid w:val="009316CC"/>
    <w:rsid w:val="00932FD8"/>
    <w:rsid w:val="00936341"/>
    <w:rsid w:val="00952460"/>
    <w:rsid w:val="00953B8E"/>
    <w:rsid w:val="009642BB"/>
    <w:rsid w:val="009667C9"/>
    <w:rsid w:val="00976DFE"/>
    <w:rsid w:val="009B3520"/>
    <w:rsid w:val="009E3EE5"/>
    <w:rsid w:val="00A14932"/>
    <w:rsid w:val="00A24D88"/>
    <w:rsid w:val="00A43544"/>
    <w:rsid w:val="00A51B9C"/>
    <w:rsid w:val="00A57947"/>
    <w:rsid w:val="00AB6CD5"/>
    <w:rsid w:val="00AB7CC6"/>
    <w:rsid w:val="00AC6BEF"/>
    <w:rsid w:val="00B21A35"/>
    <w:rsid w:val="00B2617A"/>
    <w:rsid w:val="00B32061"/>
    <w:rsid w:val="00B54EA7"/>
    <w:rsid w:val="00B67049"/>
    <w:rsid w:val="00BB5F0F"/>
    <w:rsid w:val="00BC0474"/>
    <w:rsid w:val="00BD08BE"/>
    <w:rsid w:val="00BD28C5"/>
    <w:rsid w:val="00C0329C"/>
    <w:rsid w:val="00C115C6"/>
    <w:rsid w:val="00C3170C"/>
    <w:rsid w:val="00C537AA"/>
    <w:rsid w:val="00C53D6D"/>
    <w:rsid w:val="00C564F4"/>
    <w:rsid w:val="00C577F0"/>
    <w:rsid w:val="00C9682C"/>
    <w:rsid w:val="00CA7E15"/>
    <w:rsid w:val="00CB6B9E"/>
    <w:rsid w:val="00CD0761"/>
    <w:rsid w:val="00CD1C0E"/>
    <w:rsid w:val="00CD6771"/>
    <w:rsid w:val="00CE396E"/>
    <w:rsid w:val="00CF2441"/>
    <w:rsid w:val="00D216DB"/>
    <w:rsid w:val="00D27D76"/>
    <w:rsid w:val="00D615A5"/>
    <w:rsid w:val="00D67423"/>
    <w:rsid w:val="00D935A2"/>
    <w:rsid w:val="00DA73A2"/>
    <w:rsid w:val="00DB1E1C"/>
    <w:rsid w:val="00DB2BED"/>
    <w:rsid w:val="00DD231B"/>
    <w:rsid w:val="00DE226E"/>
    <w:rsid w:val="00DE75A1"/>
    <w:rsid w:val="00DF0219"/>
    <w:rsid w:val="00DF71C5"/>
    <w:rsid w:val="00E05753"/>
    <w:rsid w:val="00E144D4"/>
    <w:rsid w:val="00E32C8D"/>
    <w:rsid w:val="00E550C9"/>
    <w:rsid w:val="00E82AD9"/>
    <w:rsid w:val="00EA1118"/>
    <w:rsid w:val="00EA5C4B"/>
    <w:rsid w:val="00EB2C21"/>
    <w:rsid w:val="00EC66DC"/>
    <w:rsid w:val="00ED3469"/>
    <w:rsid w:val="00EE41B0"/>
    <w:rsid w:val="00EF72DB"/>
    <w:rsid w:val="00F21167"/>
    <w:rsid w:val="00F26CE2"/>
    <w:rsid w:val="00F3743E"/>
    <w:rsid w:val="00F4036F"/>
    <w:rsid w:val="00F42462"/>
    <w:rsid w:val="00F46BD8"/>
    <w:rsid w:val="00F844C5"/>
    <w:rsid w:val="00F93EED"/>
    <w:rsid w:val="00FB601A"/>
    <w:rsid w:val="00FC1205"/>
    <w:rsid w:val="00FD62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BalloonText">
    <w:name w:val="Balloon Text"/>
    <w:basedOn w:val="Normal"/>
    <w:link w:val="BalloonTextChar"/>
    <w:uiPriority w:val="99"/>
    <w:semiHidden/>
    <w:unhideWhenUsed/>
    <w:rsid w:val="0060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5B"/>
    <w:rPr>
      <w:rFonts w:ascii="Segoe UI" w:hAnsi="Segoe UI" w:cs="Segoe UI"/>
      <w:sz w:val="18"/>
      <w:szCs w:val="18"/>
    </w:rPr>
  </w:style>
  <w:style w:type="paragraph" w:styleId="NoSpacing">
    <w:name w:val="No Spacing"/>
    <w:uiPriority w:val="1"/>
    <w:qFormat/>
    <w:rsid w:val="003D186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2021-03-18T12:26:00Z</cp:lastPrinted>
  <dcterms:created xsi:type="dcterms:W3CDTF">2021-03-18T13:01:00Z</dcterms:created>
  <dcterms:modified xsi:type="dcterms:W3CDTF">2021-03-18T13:01:00Z</dcterms:modified>
</cp:coreProperties>
</file>