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30EB8" w14:textId="755F2FD6" w:rsidR="00E551C2" w:rsidRDefault="00607C58" w:rsidP="00607C58">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PROMISE ZVAV</w:t>
      </w:r>
      <w:r w:rsidR="0040157A">
        <w:rPr>
          <w:rFonts w:ascii="Times New Roman" w:hAnsi="Times New Roman" w:cs="Times New Roman"/>
          <w:sz w:val="24"/>
          <w:szCs w:val="24"/>
          <w:lang w:val="en-US"/>
        </w:rPr>
        <w:t>A</w:t>
      </w:r>
      <w:r>
        <w:rPr>
          <w:rFonts w:ascii="Times New Roman" w:hAnsi="Times New Roman" w:cs="Times New Roman"/>
          <w:sz w:val="24"/>
          <w:szCs w:val="24"/>
          <w:lang w:val="en-US"/>
        </w:rPr>
        <w:t>HERA</w:t>
      </w:r>
    </w:p>
    <w:p w14:paraId="5E59D2FD" w14:textId="67E6530F" w:rsidR="00607C58" w:rsidRDefault="00607C58" w:rsidP="00607C58">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versus</w:t>
      </w:r>
      <w:proofErr w:type="gramEnd"/>
    </w:p>
    <w:p w14:paraId="4588BED2" w14:textId="4B1EDBC5" w:rsidR="00607C58" w:rsidRDefault="00607C58" w:rsidP="00607C5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SMART KANYAMA</w:t>
      </w:r>
    </w:p>
    <w:p w14:paraId="5D98D48C" w14:textId="6CDCCDEE" w:rsidR="00607C58" w:rsidRDefault="00607C58" w:rsidP="00607C58">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and</w:t>
      </w:r>
      <w:proofErr w:type="gramEnd"/>
    </w:p>
    <w:p w14:paraId="79E1F765" w14:textId="255B7BC8" w:rsidR="00607C58" w:rsidRDefault="00607C58" w:rsidP="00607C5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MINISTER OF NATIONAL HOUSING AND SOCIAL AMENITIES</w:t>
      </w:r>
    </w:p>
    <w:p w14:paraId="6DD5278F" w14:textId="761B5239" w:rsidR="00607C58" w:rsidRDefault="00607C58" w:rsidP="00607C58">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and</w:t>
      </w:r>
      <w:proofErr w:type="gramEnd"/>
    </w:p>
    <w:p w14:paraId="41A8719C" w14:textId="6130A606" w:rsidR="00607C58" w:rsidRDefault="00607C58" w:rsidP="00607C5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MINISTER OF LOCAL GOVERNMENT &amp; PUBLIC WORKS</w:t>
      </w:r>
    </w:p>
    <w:p w14:paraId="0A0D630F" w14:textId="77777777" w:rsidR="00607C58" w:rsidRDefault="00607C58" w:rsidP="00607C58">
      <w:pPr>
        <w:spacing w:after="0" w:line="240" w:lineRule="auto"/>
        <w:jc w:val="both"/>
        <w:rPr>
          <w:rFonts w:ascii="Times New Roman" w:hAnsi="Times New Roman" w:cs="Times New Roman"/>
          <w:sz w:val="24"/>
          <w:szCs w:val="24"/>
          <w:lang w:val="en-US"/>
        </w:rPr>
      </w:pPr>
    </w:p>
    <w:p w14:paraId="3E9DEC8C" w14:textId="77777777" w:rsidR="00607C58" w:rsidRDefault="00607C58" w:rsidP="00607C58">
      <w:pPr>
        <w:spacing w:after="0" w:line="240" w:lineRule="auto"/>
        <w:jc w:val="both"/>
        <w:rPr>
          <w:rFonts w:ascii="Times New Roman" w:hAnsi="Times New Roman" w:cs="Times New Roman"/>
          <w:sz w:val="24"/>
          <w:szCs w:val="24"/>
          <w:lang w:val="en-US"/>
        </w:rPr>
      </w:pPr>
    </w:p>
    <w:p w14:paraId="4B88963E" w14:textId="4BC9EC53" w:rsidR="00607C58" w:rsidRDefault="00607C58" w:rsidP="00607C5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1F8AB21" w14:textId="5F68B723" w:rsidR="00607C58" w:rsidRPr="00607C58" w:rsidRDefault="00607C58" w:rsidP="00607C58">
      <w:pPr>
        <w:spacing w:after="0" w:line="240" w:lineRule="auto"/>
        <w:jc w:val="both"/>
        <w:rPr>
          <w:rFonts w:ascii="Times New Roman" w:hAnsi="Times New Roman" w:cs="Times New Roman"/>
          <w:b/>
          <w:sz w:val="24"/>
          <w:szCs w:val="24"/>
          <w:lang w:val="en-US"/>
        </w:rPr>
      </w:pPr>
      <w:r w:rsidRPr="00607C58">
        <w:rPr>
          <w:rFonts w:ascii="Times New Roman" w:hAnsi="Times New Roman" w:cs="Times New Roman"/>
          <w:b/>
          <w:sz w:val="24"/>
          <w:szCs w:val="24"/>
          <w:lang w:val="en-US"/>
        </w:rPr>
        <w:t>CHITAPI J</w:t>
      </w:r>
    </w:p>
    <w:p w14:paraId="1C7C161A" w14:textId="0B71E220" w:rsidR="00607C58" w:rsidRDefault="00236309" w:rsidP="00607C5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 4 September 2025</w:t>
      </w:r>
    </w:p>
    <w:p w14:paraId="0013F417" w14:textId="77777777" w:rsidR="00607C58" w:rsidRDefault="00607C58" w:rsidP="00607C58">
      <w:pPr>
        <w:spacing w:after="0" w:line="240" w:lineRule="auto"/>
        <w:jc w:val="both"/>
        <w:rPr>
          <w:rFonts w:ascii="Times New Roman" w:hAnsi="Times New Roman" w:cs="Times New Roman"/>
          <w:sz w:val="24"/>
          <w:szCs w:val="24"/>
          <w:lang w:val="en-US"/>
        </w:rPr>
      </w:pPr>
    </w:p>
    <w:p w14:paraId="2E3F6C11" w14:textId="77777777" w:rsidR="00607C58" w:rsidRDefault="00607C58" w:rsidP="00607C58">
      <w:pPr>
        <w:spacing w:after="0" w:line="240" w:lineRule="auto"/>
        <w:jc w:val="both"/>
        <w:rPr>
          <w:rFonts w:ascii="Times New Roman" w:hAnsi="Times New Roman" w:cs="Times New Roman"/>
          <w:sz w:val="24"/>
          <w:szCs w:val="24"/>
          <w:lang w:val="en-US"/>
        </w:rPr>
      </w:pPr>
    </w:p>
    <w:p w14:paraId="5221A52E" w14:textId="1D8EB9CD" w:rsidR="00607C58" w:rsidRPr="00607C58" w:rsidRDefault="00607C58" w:rsidP="00607C58">
      <w:pPr>
        <w:spacing w:after="0" w:line="240" w:lineRule="auto"/>
        <w:jc w:val="both"/>
        <w:rPr>
          <w:rFonts w:ascii="Times New Roman" w:hAnsi="Times New Roman" w:cs="Times New Roman"/>
          <w:b/>
          <w:i/>
          <w:sz w:val="24"/>
          <w:szCs w:val="24"/>
          <w:lang w:val="en-US"/>
        </w:rPr>
      </w:pPr>
      <w:r w:rsidRPr="00607C58">
        <w:rPr>
          <w:rFonts w:ascii="Times New Roman" w:hAnsi="Times New Roman" w:cs="Times New Roman"/>
          <w:b/>
          <w:i/>
          <w:sz w:val="24"/>
          <w:szCs w:val="24"/>
          <w:lang w:val="en-US"/>
        </w:rPr>
        <w:t>Opposed Application</w:t>
      </w:r>
    </w:p>
    <w:p w14:paraId="657EEC57" w14:textId="77777777" w:rsidR="00607C58" w:rsidRDefault="00607C58" w:rsidP="00607C58">
      <w:pPr>
        <w:spacing w:after="0" w:line="240" w:lineRule="auto"/>
        <w:jc w:val="both"/>
        <w:rPr>
          <w:rFonts w:ascii="Times New Roman" w:hAnsi="Times New Roman" w:cs="Times New Roman"/>
          <w:sz w:val="24"/>
          <w:szCs w:val="24"/>
          <w:lang w:val="en-US"/>
        </w:rPr>
      </w:pPr>
    </w:p>
    <w:p w14:paraId="077AC12C" w14:textId="77777777" w:rsidR="00607C58" w:rsidRDefault="00607C58" w:rsidP="00607C58">
      <w:pPr>
        <w:spacing w:after="0" w:line="240" w:lineRule="auto"/>
        <w:jc w:val="both"/>
        <w:rPr>
          <w:rFonts w:ascii="Times New Roman" w:hAnsi="Times New Roman" w:cs="Times New Roman"/>
          <w:sz w:val="24"/>
          <w:szCs w:val="24"/>
          <w:lang w:val="en-US"/>
        </w:rPr>
      </w:pPr>
    </w:p>
    <w:p w14:paraId="0B516458" w14:textId="0C03CBBE" w:rsidR="00607C58" w:rsidRDefault="00607C58" w:rsidP="00607C58">
      <w:pPr>
        <w:spacing w:after="0" w:line="240" w:lineRule="auto"/>
        <w:jc w:val="both"/>
        <w:rPr>
          <w:rFonts w:ascii="Times New Roman" w:hAnsi="Times New Roman" w:cs="Times New Roman"/>
          <w:sz w:val="24"/>
          <w:szCs w:val="24"/>
          <w:lang w:val="en-US"/>
        </w:rPr>
      </w:pPr>
      <w:r w:rsidRPr="00607C58">
        <w:rPr>
          <w:rFonts w:ascii="Times New Roman" w:hAnsi="Times New Roman" w:cs="Times New Roman"/>
          <w:i/>
          <w:sz w:val="24"/>
          <w:szCs w:val="24"/>
          <w:lang w:val="en-US"/>
        </w:rPr>
        <w:t xml:space="preserve">L. </w:t>
      </w:r>
      <w:proofErr w:type="spellStart"/>
      <w:r w:rsidRPr="00607C58">
        <w:rPr>
          <w:rFonts w:ascii="Times New Roman" w:hAnsi="Times New Roman" w:cs="Times New Roman"/>
          <w:i/>
          <w:sz w:val="24"/>
          <w:szCs w:val="24"/>
          <w:lang w:val="en-US"/>
        </w:rPr>
        <w:t>Toindepi</w:t>
      </w:r>
      <w:proofErr w:type="spellEnd"/>
      <w:r>
        <w:rPr>
          <w:rFonts w:ascii="Times New Roman" w:hAnsi="Times New Roman" w:cs="Times New Roman"/>
          <w:sz w:val="24"/>
          <w:szCs w:val="24"/>
          <w:lang w:val="en-US"/>
        </w:rPr>
        <w:t>, for the applicant</w:t>
      </w:r>
    </w:p>
    <w:p w14:paraId="08ABF265" w14:textId="48EA161B" w:rsidR="00607C58" w:rsidRDefault="00607C58" w:rsidP="00607C58">
      <w:pPr>
        <w:spacing w:after="0" w:line="240" w:lineRule="auto"/>
        <w:jc w:val="both"/>
        <w:rPr>
          <w:rFonts w:ascii="Times New Roman" w:hAnsi="Times New Roman" w:cs="Times New Roman"/>
          <w:sz w:val="24"/>
          <w:szCs w:val="24"/>
          <w:lang w:val="en-US"/>
        </w:rPr>
      </w:pPr>
      <w:r w:rsidRPr="00607C58">
        <w:rPr>
          <w:rFonts w:ascii="Times New Roman" w:hAnsi="Times New Roman" w:cs="Times New Roman"/>
          <w:i/>
          <w:sz w:val="24"/>
          <w:szCs w:val="24"/>
          <w:lang w:val="en-US"/>
        </w:rPr>
        <w:t xml:space="preserve">J. </w:t>
      </w:r>
      <w:proofErr w:type="spellStart"/>
      <w:r w:rsidRPr="00607C58">
        <w:rPr>
          <w:rFonts w:ascii="Times New Roman" w:hAnsi="Times New Roman" w:cs="Times New Roman"/>
          <w:i/>
          <w:sz w:val="24"/>
          <w:szCs w:val="24"/>
          <w:lang w:val="en-US"/>
        </w:rPr>
        <w:t>Mavange</w:t>
      </w:r>
      <w:proofErr w:type="spellEnd"/>
      <w:r>
        <w:rPr>
          <w:rFonts w:ascii="Times New Roman" w:hAnsi="Times New Roman" w:cs="Times New Roman"/>
          <w:sz w:val="24"/>
          <w:szCs w:val="24"/>
          <w:lang w:val="en-US"/>
        </w:rPr>
        <w:t>, for the first respondent</w:t>
      </w:r>
    </w:p>
    <w:p w14:paraId="575EE392" w14:textId="77777777" w:rsidR="00607C58" w:rsidRDefault="00607C58" w:rsidP="00607C58">
      <w:pPr>
        <w:spacing w:after="0" w:line="240" w:lineRule="auto"/>
        <w:jc w:val="both"/>
        <w:rPr>
          <w:rFonts w:ascii="Times New Roman" w:hAnsi="Times New Roman" w:cs="Times New Roman"/>
          <w:sz w:val="24"/>
          <w:szCs w:val="24"/>
          <w:lang w:val="en-US"/>
        </w:rPr>
      </w:pPr>
    </w:p>
    <w:p w14:paraId="6E4D491A" w14:textId="77777777" w:rsidR="00607C58" w:rsidRDefault="00607C58" w:rsidP="00607C58">
      <w:pPr>
        <w:spacing w:after="0" w:line="240" w:lineRule="auto"/>
        <w:jc w:val="both"/>
        <w:rPr>
          <w:rFonts w:ascii="Times New Roman" w:hAnsi="Times New Roman" w:cs="Times New Roman"/>
          <w:sz w:val="24"/>
          <w:szCs w:val="24"/>
          <w:lang w:val="en-US"/>
        </w:rPr>
      </w:pPr>
    </w:p>
    <w:p w14:paraId="25FA6E52" w14:textId="1D31E450" w:rsidR="00607C58" w:rsidRDefault="00607C58" w:rsidP="00607C5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07C58">
        <w:rPr>
          <w:rFonts w:ascii="Times New Roman" w:hAnsi="Times New Roman" w:cs="Times New Roman"/>
          <w:sz w:val="24"/>
          <w:szCs w:val="24"/>
          <w:lang w:val="en-US"/>
        </w:rPr>
        <w:t>CHITAPI J</w:t>
      </w:r>
      <w:r>
        <w:rPr>
          <w:rFonts w:ascii="Times New Roman" w:hAnsi="Times New Roman" w:cs="Times New Roman"/>
          <w:sz w:val="24"/>
          <w:szCs w:val="24"/>
          <w:lang w:val="en-US"/>
        </w:rPr>
        <w:t>:</w:t>
      </w:r>
    </w:p>
    <w:p w14:paraId="1E107FE5" w14:textId="77777777" w:rsidR="00607C58" w:rsidRDefault="00607C58" w:rsidP="00607C58">
      <w:pPr>
        <w:spacing w:after="0" w:line="240" w:lineRule="auto"/>
        <w:jc w:val="both"/>
        <w:rPr>
          <w:rFonts w:ascii="Times New Roman" w:hAnsi="Times New Roman" w:cs="Times New Roman"/>
          <w:sz w:val="24"/>
          <w:szCs w:val="24"/>
          <w:lang w:val="en-US"/>
        </w:rPr>
      </w:pPr>
    </w:p>
    <w:p w14:paraId="7A073BD2" w14:textId="5874E714" w:rsidR="00607C58" w:rsidRDefault="00607C58" w:rsidP="00B3571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 seeks a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in terms of s 14 of the High Court Act [</w:t>
      </w:r>
      <w:r w:rsidRPr="00B35719">
        <w:rPr>
          <w:rFonts w:ascii="Times New Roman" w:hAnsi="Times New Roman" w:cs="Times New Roman"/>
          <w:i/>
          <w:sz w:val="24"/>
          <w:szCs w:val="24"/>
          <w:lang w:val="en-US"/>
        </w:rPr>
        <w:t>Chapter 7:06</w:t>
      </w:r>
      <w:r>
        <w:rPr>
          <w:rFonts w:ascii="Times New Roman" w:hAnsi="Times New Roman" w:cs="Times New Roman"/>
          <w:sz w:val="24"/>
          <w:szCs w:val="24"/>
          <w:lang w:val="en-US"/>
        </w:rPr>
        <w:t>]. The decla</w:t>
      </w:r>
      <w:r w:rsidR="0099472C">
        <w:rPr>
          <w:rFonts w:ascii="Times New Roman" w:hAnsi="Times New Roman" w:cs="Times New Roman"/>
          <w:sz w:val="24"/>
          <w:szCs w:val="24"/>
          <w:lang w:val="en-US"/>
        </w:rPr>
        <w:t>ra</w:t>
      </w:r>
      <w:r>
        <w:rPr>
          <w:rFonts w:ascii="Times New Roman" w:hAnsi="Times New Roman" w:cs="Times New Roman"/>
          <w:sz w:val="24"/>
          <w:szCs w:val="24"/>
          <w:lang w:val="en-US"/>
        </w:rPr>
        <w:t>tion sought by the applicant</w:t>
      </w:r>
      <w:r w:rsidR="0099472C">
        <w:rPr>
          <w:rFonts w:ascii="Times New Roman" w:hAnsi="Times New Roman" w:cs="Times New Roman"/>
          <w:sz w:val="24"/>
          <w:szCs w:val="24"/>
          <w:lang w:val="en-US"/>
        </w:rPr>
        <w:t xml:space="preserve"> was couched as follows:-</w:t>
      </w:r>
    </w:p>
    <w:p w14:paraId="28DA4424" w14:textId="3BA22159" w:rsidR="0099472C" w:rsidRPr="00B35719" w:rsidRDefault="0099472C" w:rsidP="00B35719">
      <w:pPr>
        <w:spacing w:after="0" w:line="240" w:lineRule="auto"/>
        <w:jc w:val="both"/>
        <w:rPr>
          <w:rFonts w:ascii="Times New Roman" w:hAnsi="Times New Roman" w:cs="Times New Roman"/>
          <w:szCs w:val="24"/>
          <w:lang w:val="en-US"/>
        </w:rPr>
      </w:pPr>
      <w:r w:rsidRPr="00B35719">
        <w:rPr>
          <w:rFonts w:ascii="Times New Roman" w:hAnsi="Times New Roman" w:cs="Times New Roman"/>
          <w:szCs w:val="24"/>
          <w:lang w:val="en-US"/>
        </w:rPr>
        <w:tab/>
        <w:t>“IT IS ORDERED THAT</w:t>
      </w:r>
    </w:p>
    <w:p w14:paraId="03206DC3" w14:textId="69A37AC1" w:rsidR="0099472C" w:rsidRPr="00B35719" w:rsidRDefault="0099472C" w:rsidP="00B35719">
      <w:pPr>
        <w:pStyle w:val="ListParagraph"/>
        <w:numPr>
          <w:ilvl w:val="0"/>
          <w:numId w:val="2"/>
        </w:numPr>
        <w:spacing w:after="0" w:line="240" w:lineRule="auto"/>
        <w:jc w:val="both"/>
        <w:rPr>
          <w:rFonts w:ascii="Times New Roman" w:hAnsi="Times New Roman" w:cs="Times New Roman"/>
          <w:szCs w:val="24"/>
          <w:lang w:val="en-US"/>
        </w:rPr>
      </w:pPr>
      <w:r w:rsidRPr="00B35719">
        <w:rPr>
          <w:rFonts w:ascii="Times New Roman" w:hAnsi="Times New Roman" w:cs="Times New Roman"/>
          <w:szCs w:val="24"/>
          <w:lang w:val="en-US"/>
        </w:rPr>
        <w:t xml:space="preserve">The application for a </w:t>
      </w:r>
      <w:proofErr w:type="spellStart"/>
      <w:r w:rsidRPr="00B35719">
        <w:rPr>
          <w:rFonts w:ascii="Times New Roman" w:hAnsi="Times New Roman" w:cs="Times New Roman"/>
          <w:szCs w:val="24"/>
          <w:lang w:val="en-US"/>
        </w:rPr>
        <w:t>declaratur</w:t>
      </w:r>
      <w:proofErr w:type="spellEnd"/>
      <w:r w:rsidRPr="00B35719">
        <w:rPr>
          <w:rFonts w:ascii="Times New Roman" w:hAnsi="Times New Roman" w:cs="Times New Roman"/>
          <w:szCs w:val="24"/>
          <w:lang w:val="en-US"/>
        </w:rPr>
        <w:t xml:space="preserve"> be and is hereby granted.</w:t>
      </w:r>
    </w:p>
    <w:p w14:paraId="481BB2B4" w14:textId="553F9C6D" w:rsidR="0099472C" w:rsidRPr="00B35719" w:rsidRDefault="0099472C" w:rsidP="00B35719">
      <w:pPr>
        <w:pStyle w:val="ListParagraph"/>
        <w:numPr>
          <w:ilvl w:val="0"/>
          <w:numId w:val="2"/>
        </w:numPr>
        <w:spacing w:after="0" w:line="240" w:lineRule="auto"/>
        <w:jc w:val="both"/>
        <w:rPr>
          <w:rFonts w:ascii="Times New Roman" w:hAnsi="Times New Roman" w:cs="Times New Roman"/>
          <w:szCs w:val="24"/>
          <w:lang w:val="en-US"/>
        </w:rPr>
      </w:pPr>
      <w:r w:rsidRPr="00B35719">
        <w:rPr>
          <w:rFonts w:ascii="Times New Roman" w:hAnsi="Times New Roman" w:cs="Times New Roman"/>
          <w:szCs w:val="24"/>
          <w:lang w:val="en-US"/>
        </w:rPr>
        <w:t xml:space="preserve">The purported allocation of stand 7219 </w:t>
      </w:r>
      <w:proofErr w:type="spellStart"/>
      <w:r w:rsidRPr="00B35719">
        <w:rPr>
          <w:rFonts w:ascii="Times New Roman" w:hAnsi="Times New Roman" w:cs="Times New Roman"/>
          <w:szCs w:val="24"/>
          <w:lang w:val="en-US"/>
        </w:rPr>
        <w:t>Dzivarasekwa</w:t>
      </w:r>
      <w:proofErr w:type="spellEnd"/>
      <w:r w:rsidRPr="00B35719">
        <w:rPr>
          <w:rFonts w:ascii="Times New Roman" w:hAnsi="Times New Roman" w:cs="Times New Roman"/>
          <w:szCs w:val="24"/>
          <w:lang w:val="en-US"/>
        </w:rPr>
        <w:t xml:space="preserve"> Extension, Harare, measuring 300 square </w:t>
      </w:r>
      <w:proofErr w:type="spellStart"/>
      <w:r w:rsidRPr="00B35719">
        <w:rPr>
          <w:rFonts w:ascii="Times New Roman" w:hAnsi="Times New Roman" w:cs="Times New Roman"/>
          <w:szCs w:val="24"/>
          <w:lang w:val="en-US"/>
        </w:rPr>
        <w:t>metres</w:t>
      </w:r>
      <w:proofErr w:type="spellEnd"/>
      <w:r w:rsidRPr="00B35719">
        <w:rPr>
          <w:rFonts w:ascii="Times New Roman" w:hAnsi="Times New Roman" w:cs="Times New Roman"/>
          <w:szCs w:val="24"/>
          <w:lang w:val="en-US"/>
        </w:rPr>
        <w:t xml:space="preserve"> to first respondent by the second and third respondents be and is hereby declared null and void and is hereby set aside.</w:t>
      </w:r>
    </w:p>
    <w:p w14:paraId="4B09E268" w14:textId="38744A83" w:rsidR="0099472C" w:rsidRPr="00B35719" w:rsidRDefault="0099472C" w:rsidP="00B35719">
      <w:pPr>
        <w:pStyle w:val="ListParagraph"/>
        <w:numPr>
          <w:ilvl w:val="0"/>
          <w:numId w:val="2"/>
        </w:numPr>
        <w:spacing w:after="0" w:line="240" w:lineRule="auto"/>
        <w:jc w:val="both"/>
        <w:rPr>
          <w:rFonts w:ascii="Times New Roman" w:hAnsi="Times New Roman" w:cs="Times New Roman"/>
          <w:szCs w:val="24"/>
          <w:lang w:val="en-US"/>
        </w:rPr>
      </w:pPr>
      <w:r w:rsidRPr="00B35719">
        <w:rPr>
          <w:rFonts w:ascii="Times New Roman" w:hAnsi="Times New Roman" w:cs="Times New Roman"/>
          <w:szCs w:val="24"/>
          <w:lang w:val="en-US"/>
        </w:rPr>
        <w:t xml:space="preserve">The applicant be and is hereby declared the lawful holder of the rights and interest in stand 7219 </w:t>
      </w:r>
      <w:proofErr w:type="spellStart"/>
      <w:r w:rsidRPr="00B35719">
        <w:rPr>
          <w:rFonts w:ascii="Times New Roman" w:hAnsi="Times New Roman" w:cs="Times New Roman"/>
          <w:szCs w:val="24"/>
          <w:lang w:val="en-US"/>
        </w:rPr>
        <w:t>Dzivarasekwa</w:t>
      </w:r>
      <w:proofErr w:type="spellEnd"/>
      <w:r w:rsidRPr="00B35719">
        <w:rPr>
          <w:rFonts w:ascii="Times New Roman" w:hAnsi="Times New Roman" w:cs="Times New Roman"/>
          <w:szCs w:val="24"/>
          <w:lang w:val="en-US"/>
        </w:rPr>
        <w:t xml:space="preserve"> Extension, Harare measuring 300 square </w:t>
      </w:r>
      <w:proofErr w:type="spellStart"/>
      <w:r w:rsidRPr="00B35719">
        <w:rPr>
          <w:rFonts w:ascii="Times New Roman" w:hAnsi="Times New Roman" w:cs="Times New Roman"/>
          <w:szCs w:val="24"/>
          <w:lang w:val="en-US"/>
        </w:rPr>
        <w:t>metres</w:t>
      </w:r>
      <w:proofErr w:type="spellEnd"/>
      <w:r w:rsidRPr="00B35719">
        <w:rPr>
          <w:rFonts w:ascii="Times New Roman" w:hAnsi="Times New Roman" w:cs="Times New Roman"/>
          <w:szCs w:val="24"/>
          <w:lang w:val="en-US"/>
        </w:rPr>
        <w:t xml:space="preserve"> in extent.</w:t>
      </w:r>
    </w:p>
    <w:p w14:paraId="237AC8C1" w14:textId="0CCB5127" w:rsidR="0099472C" w:rsidRPr="00B35719" w:rsidRDefault="0099472C" w:rsidP="00B35719">
      <w:pPr>
        <w:pStyle w:val="ListParagraph"/>
        <w:numPr>
          <w:ilvl w:val="0"/>
          <w:numId w:val="2"/>
        </w:numPr>
        <w:spacing w:line="240" w:lineRule="auto"/>
        <w:jc w:val="both"/>
        <w:rPr>
          <w:rFonts w:ascii="Times New Roman" w:hAnsi="Times New Roman" w:cs="Times New Roman"/>
          <w:szCs w:val="24"/>
          <w:lang w:val="en-US"/>
        </w:rPr>
      </w:pPr>
      <w:r w:rsidRPr="00B35719">
        <w:rPr>
          <w:rFonts w:ascii="Times New Roman" w:hAnsi="Times New Roman" w:cs="Times New Roman"/>
          <w:szCs w:val="24"/>
          <w:lang w:val="en-US"/>
        </w:rPr>
        <w:t>The first respondent shall pay costs of suit on a legal practitioner and client scale.”</w:t>
      </w:r>
    </w:p>
    <w:p w14:paraId="34138465" w14:textId="3D4EE70F" w:rsidR="00C93A63" w:rsidRDefault="0099472C" w:rsidP="00B3571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 is Promise </w:t>
      </w:r>
      <w:proofErr w:type="spellStart"/>
      <w:r>
        <w:rPr>
          <w:rFonts w:ascii="Times New Roman" w:hAnsi="Times New Roman" w:cs="Times New Roman"/>
          <w:sz w:val="24"/>
          <w:szCs w:val="24"/>
          <w:lang w:val="en-US"/>
        </w:rPr>
        <w:t>Zvavahera</w:t>
      </w:r>
      <w:proofErr w:type="spellEnd"/>
      <w:r>
        <w:rPr>
          <w:rFonts w:ascii="Times New Roman" w:hAnsi="Times New Roman" w:cs="Times New Roman"/>
          <w:sz w:val="24"/>
          <w:szCs w:val="24"/>
          <w:lang w:val="en-US"/>
        </w:rPr>
        <w:t xml:space="preserve"> and </w:t>
      </w:r>
      <w:r w:rsidR="00B54DF6">
        <w:rPr>
          <w:rFonts w:ascii="Times New Roman" w:hAnsi="Times New Roman" w:cs="Times New Roman"/>
          <w:sz w:val="24"/>
          <w:szCs w:val="24"/>
          <w:lang w:val="en-US"/>
        </w:rPr>
        <w:t>the</w:t>
      </w:r>
      <w:r>
        <w:rPr>
          <w:rFonts w:ascii="Times New Roman" w:hAnsi="Times New Roman" w:cs="Times New Roman"/>
          <w:sz w:val="24"/>
          <w:szCs w:val="24"/>
          <w:lang w:val="en-US"/>
        </w:rPr>
        <w:t xml:space="preserve"> first respondent is Smart </w:t>
      </w:r>
      <w:proofErr w:type="spellStart"/>
      <w:r>
        <w:rPr>
          <w:rFonts w:ascii="Times New Roman" w:hAnsi="Times New Roman" w:cs="Times New Roman"/>
          <w:sz w:val="24"/>
          <w:szCs w:val="24"/>
          <w:lang w:val="en-US"/>
        </w:rPr>
        <w:t>Kanyama</w:t>
      </w:r>
      <w:proofErr w:type="spellEnd"/>
      <w:r>
        <w:rPr>
          <w:rFonts w:ascii="Times New Roman" w:hAnsi="Times New Roman" w:cs="Times New Roman"/>
          <w:sz w:val="24"/>
          <w:szCs w:val="24"/>
          <w:lang w:val="en-US"/>
        </w:rPr>
        <w:t xml:space="preserve">, both adults of Harare, Zimbabwe. The second and third respondents are the Minister of National Housing and Social Amenities and the Minister of Local Government and Public Works respectively. The dispute between the parties concern disputed proprietary rights over the property called stand 7219 </w:t>
      </w:r>
      <w:proofErr w:type="spellStart"/>
      <w:r>
        <w:rPr>
          <w:rFonts w:ascii="Times New Roman" w:hAnsi="Times New Roman" w:cs="Times New Roman"/>
          <w:sz w:val="24"/>
          <w:szCs w:val="24"/>
          <w:lang w:val="en-US"/>
        </w:rPr>
        <w:t>Dzivarasekwa</w:t>
      </w:r>
      <w:proofErr w:type="spellEnd"/>
      <w:r>
        <w:rPr>
          <w:rFonts w:ascii="Times New Roman" w:hAnsi="Times New Roman" w:cs="Times New Roman"/>
          <w:sz w:val="24"/>
          <w:szCs w:val="24"/>
          <w:lang w:val="en-US"/>
        </w:rPr>
        <w:t xml:space="preserve"> Extension, Harare as more described in the draft order quoted above.</w:t>
      </w:r>
      <w:r w:rsidR="00C93A63">
        <w:rPr>
          <w:rFonts w:ascii="Times New Roman" w:hAnsi="Times New Roman" w:cs="Times New Roman"/>
          <w:sz w:val="24"/>
          <w:szCs w:val="24"/>
          <w:lang w:val="en-US"/>
        </w:rPr>
        <w:t xml:space="preserve"> The applicant claimed that the property was allocated to him in </w:t>
      </w:r>
      <w:r w:rsidR="00B54DF6">
        <w:rPr>
          <w:rFonts w:ascii="Times New Roman" w:hAnsi="Times New Roman" w:cs="Times New Roman"/>
          <w:sz w:val="24"/>
          <w:szCs w:val="24"/>
          <w:lang w:val="en-US"/>
        </w:rPr>
        <w:t>201</w:t>
      </w:r>
      <w:r w:rsidR="00C93A63">
        <w:rPr>
          <w:rFonts w:ascii="Times New Roman" w:hAnsi="Times New Roman" w:cs="Times New Roman"/>
          <w:sz w:val="24"/>
          <w:szCs w:val="24"/>
          <w:lang w:val="en-US"/>
        </w:rPr>
        <w:t>1 at a time that he was employed by the Ministry of Environment and Natural Resources Management under a housing reallocation scheme which was put in place to benefit civil servants. The</w:t>
      </w:r>
      <w:r w:rsidR="007B2876">
        <w:rPr>
          <w:rFonts w:ascii="Times New Roman" w:hAnsi="Times New Roman" w:cs="Times New Roman"/>
          <w:sz w:val="24"/>
          <w:szCs w:val="24"/>
          <w:lang w:val="en-US"/>
        </w:rPr>
        <w:t xml:space="preserve"> applicant attached as annexure to the founding affidavit a letter written by </w:t>
      </w:r>
      <w:r w:rsidR="00B54DF6">
        <w:rPr>
          <w:rFonts w:ascii="Times New Roman" w:hAnsi="Times New Roman" w:cs="Times New Roman"/>
          <w:sz w:val="24"/>
          <w:szCs w:val="24"/>
          <w:lang w:val="en-US"/>
        </w:rPr>
        <w:t xml:space="preserve">the </w:t>
      </w:r>
      <w:r w:rsidR="007B2876">
        <w:rPr>
          <w:rFonts w:ascii="Times New Roman" w:hAnsi="Times New Roman" w:cs="Times New Roman"/>
          <w:sz w:val="24"/>
          <w:szCs w:val="24"/>
          <w:lang w:val="en-US"/>
        </w:rPr>
        <w:t xml:space="preserve">Housing Officer in </w:t>
      </w:r>
      <w:r w:rsidR="00B54DF6">
        <w:rPr>
          <w:rFonts w:ascii="Times New Roman" w:hAnsi="Times New Roman" w:cs="Times New Roman"/>
          <w:sz w:val="24"/>
          <w:szCs w:val="24"/>
          <w:lang w:val="en-US"/>
        </w:rPr>
        <w:t xml:space="preserve">the </w:t>
      </w:r>
      <w:r w:rsidR="007B2876">
        <w:rPr>
          <w:rFonts w:ascii="Times New Roman" w:hAnsi="Times New Roman" w:cs="Times New Roman"/>
          <w:sz w:val="24"/>
          <w:szCs w:val="24"/>
          <w:lang w:val="en-US"/>
        </w:rPr>
        <w:t xml:space="preserve">Ministry of National </w:t>
      </w:r>
      <w:r w:rsidR="0061528A">
        <w:rPr>
          <w:rFonts w:ascii="Times New Roman" w:hAnsi="Times New Roman" w:cs="Times New Roman"/>
          <w:sz w:val="24"/>
          <w:szCs w:val="24"/>
          <w:lang w:val="en-US"/>
        </w:rPr>
        <w:t xml:space="preserve">Housing and Social Amenities, A </w:t>
      </w:r>
      <w:proofErr w:type="spellStart"/>
      <w:r w:rsidR="0061528A">
        <w:rPr>
          <w:rFonts w:ascii="Times New Roman" w:hAnsi="Times New Roman" w:cs="Times New Roman"/>
          <w:sz w:val="24"/>
          <w:szCs w:val="24"/>
          <w:lang w:val="en-US"/>
        </w:rPr>
        <w:t>Chitawa</w:t>
      </w:r>
      <w:proofErr w:type="spellEnd"/>
      <w:r w:rsidR="0061528A">
        <w:rPr>
          <w:rFonts w:ascii="Times New Roman" w:hAnsi="Times New Roman" w:cs="Times New Roman"/>
          <w:sz w:val="24"/>
          <w:szCs w:val="24"/>
          <w:lang w:val="en-US"/>
        </w:rPr>
        <w:t xml:space="preserve"> </w:t>
      </w:r>
      <w:r w:rsidR="0061528A">
        <w:rPr>
          <w:rFonts w:ascii="Times New Roman" w:hAnsi="Times New Roman" w:cs="Times New Roman"/>
          <w:sz w:val="24"/>
          <w:szCs w:val="24"/>
          <w:lang w:val="en-US"/>
        </w:rPr>
        <w:lastRenderedPageBreak/>
        <w:t>addressed to what is addressed as FUND ACCOUNT. The letter dated 26 September 2011 read as follows:</w:t>
      </w:r>
    </w:p>
    <w:p w14:paraId="6A9B3781" w14:textId="76ED2E3A" w:rsidR="0061528A" w:rsidRPr="00B35719" w:rsidRDefault="0061528A" w:rsidP="00B35719">
      <w:pPr>
        <w:spacing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 xml:space="preserve">“Please allow ZVAVAHERA PROMISE to pay administration fees $100 for stand number 7219 </w:t>
      </w:r>
      <w:proofErr w:type="spellStart"/>
      <w:r w:rsidRPr="00B35719">
        <w:rPr>
          <w:rFonts w:ascii="Times New Roman" w:hAnsi="Times New Roman" w:cs="Times New Roman"/>
          <w:szCs w:val="24"/>
          <w:lang w:val="en-US"/>
        </w:rPr>
        <w:t>Dzivarasekwa</w:t>
      </w:r>
      <w:proofErr w:type="spellEnd"/>
      <w:r w:rsidRPr="00B35719">
        <w:rPr>
          <w:rFonts w:ascii="Times New Roman" w:hAnsi="Times New Roman" w:cs="Times New Roman"/>
          <w:szCs w:val="24"/>
          <w:lang w:val="en-US"/>
        </w:rPr>
        <w:t xml:space="preserve"> Extension Phase 2. He/she was allocated stand under the re – allocation </w:t>
      </w:r>
      <w:proofErr w:type="spellStart"/>
      <w:r w:rsidRPr="00B35719">
        <w:rPr>
          <w:rFonts w:ascii="Times New Roman" w:hAnsi="Times New Roman" w:cs="Times New Roman"/>
          <w:szCs w:val="24"/>
          <w:lang w:val="en-US"/>
        </w:rPr>
        <w:t>programme</w:t>
      </w:r>
      <w:proofErr w:type="spellEnd"/>
      <w:r w:rsidRPr="00B35719">
        <w:rPr>
          <w:rFonts w:ascii="Times New Roman" w:hAnsi="Times New Roman" w:cs="Times New Roman"/>
          <w:szCs w:val="24"/>
          <w:lang w:val="en-US"/>
        </w:rPr>
        <w:t>”</w:t>
      </w:r>
    </w:p>
    <w:p w14:paraId="04135957" w14:textId="67CB9371" w:rsidR="0061528A" w:rsidRDefault="0061528A"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attached copy of a deposi</w:t>
      </w:r>
      <w:r w:rsidR="00B54DF6">
        <w:rPr>
          <w:rFonts w:ascii="Times New Roman" w:hAnsi="Times New Roman" w:cs="Times New Roman"/>
          <w:sz w:val="24"/>
          <w:szCs w:val="24"/>
          <w:lang w:val="en-US"/>
        </w:rPr>
        <w:t>t slip showing a deposit of $10</w:t>
      </w:r>
      <w:r>
        <w:rPr>
          <w:rFonts w:ascii="Times New Roman" w:hAnsi="Times New Roman" w:cs="Times New Roman"/>
          <w:sz w:val="24"/>
          <w:szCs w:val="24"/>
          <w:lang w:val="en-US"/>
        </w:rPr>
        <w:t xml:space="preserve">0 made to the credit of Ministry of National Housing </w:t>
      </w:r>
      <w:proofErr w:type="spellStart"/>
      <w:r>
        <w:rPr>
          <w:rFonts w:ascii="Times New Roman" w:hAnsi="Times New Roman" w:cs="Times New Roman"/>
          <w:sz w:val="24"/>
          <w:szCs w:val="24"/>
          <w:lang w:val="en-US"/>
        </w:rPr>
        <w:t>Dzivarasekwa</w:t>
      </w:r>
      <w:proofErr w:type="spellEnd"/>
      <w:r>
        <w:rPr>
          <w:rFonts w:ascii="Times New Roman" w:hAnsi="Times New Roman" w:cs="Times New Roman"/>
          <w:sz w:val="24"/>
          <w:szCs w:val="24"/>
          <w:lang w:val="en-US"/>
        </w:rPr>
        <w:t xml:space="preserve"> Extension and the applicants name also endorsed thereon.</w:t>
      </w:r>
    </w:p>
    <w:p w14:paraId="3B3422F4" w14:textId="681C08F6" w:rsidR="0061528A" w:rsidRDefault="0061528A" w:rsidP="00B3571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averred that he did not immediately develop the property because of lack of funds. He averred that in 2011 the first respondent offered to purchase the property from the applicant. The applicant turned down the offer, so he stated. The applicant averred that he was served with a court application No. HC 6306/23 in which the first respondent was claiming ownership to the stand. The applicant consulted his legal practitioners who by letter dated 2 October 2023 sought clarification from the Ministry of National Housing and Social Amenities on the correct ownership of the disputed stand. By letter dated 12 October 2023 the Ministry concerned responded as follows:</w:t>
      </w:r>
    </w:p>
    <w:p w14:paraId="1690B636" w14:textId="4C0CC40E" w:rsidR="0061528A" w:rsidRPr="00B35719" w:rsidRDefault="0061528A" w:rsidP="00B35719">
      <w:pPr>
        <w:spacing w:after="0" w:line="36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 xml:space="preserve">Re: </w:t>
      </w:r>
      <w:r w:rsidRPr="00B35719">
        <w:rPr>
          <w:rFonts w:ascii="Times New Roman" w:hAnsi="Times New Roman" w:cs="Times New Roman"/>
          <w:b/>
          <w:szCs w:val="24"/>
          <w:lang w:val="en-US"/>
        </w:rPr>
        <w:t>HC 6306/23 SMART KANYAM v PROMISE ZVAVAHERA AND 2 OTHERS</w:t>
      </w:r>
    </w:p>
    <w:p w14:paraId="20CA2401" w14:textId="23433570" w:rsidR="0061528A" w:rsidRPr="00B35719" w:rsidRDefault="0061528A" w:rsidP="00B35719">
      <w:pPr>
        <w:spacing w:after="0"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“Reference is made to your letter dated 2 October 2023 on the above captioned matter.</w:t>
      </w:r>
    </w:p>
    <w:p w14:paraId="68A529D8" w14:textId="75B34103" w:rsidR="0061528A" w:rsidRPr="00B35719" w:rsidRDefault="0061528A" w:rsidP="00B35719">
      <w:pPr>
        <w:spacing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 xml:space="preserve">We can confirm that </w:t>
      </w:r>
      <w:proofErr w:type="spellStart"/>
      <w:r w:rsidRPr="00B35719">
        <w:rPr>
          <w:rFonts w:ascii="Times New Roman" w:hAnsi="Times New Roman" w:cs="Times New Roman"/>
          <w:szCs w:val="24"/>
          <w:lang w:val="en-US"/>
        </w:rPr>
        <w:t>Mr</w:t>
      </w:r>
      <w:proofErr w:type="spellEnd"/>
      <w:r w:rsidRPr="00B35719">
        <w:rPr>
          <w:rFonts w:ascii="Times New Roman" w:hAnsi="Times New Roman" w:cs="Times New Roman"/>
          <w:szCs w:val="24"/>
          <w:lang w:val="en-US"/>
        </w:rPr>
        <w:t xml:space="preserve"> Promise </w:t>
      </w:r>
      <w:proofErr w:type="spellStart"/>
      <w:r w:rsidRPr="00B35719">
        <w:rPr>
          <w:rFonts w:ascii="Times New Roman" w:hAnsi="Times New Roman" w:cs="Times New Roman"/>
          <w:szCs w:val="24"/>
          <w:lang w:val="en-US"/>
        </w:rPr>
        <w:t>Zvavahera</w:t>
      </w:r>
      <w:proofErr w:type="spellEnd"/>
      <w:r w:rsidRPr="00B35719">
        <w:rPr>
          <w:rFonts w:ascii="Times New Roman" w:hAnsi="Times New Roman" w:cs="Times New Roman"/>
          <w:szCs w:val="24"/>
          <w:lang w:val="en-US"/>
        </w:rPr>
        <w:t xml:space="preserve"> is the legal </w:t>
      </w:r>
      <w:proofErr w:type="spellStart"/>
      <w:r w:rsidRPr="00B35719">
        <w:rPr>
          <w:rFonts w:ascii="Times New Roman" w:hAnsi="Times New Roman" w:cs="Times New Roman"/>
          <w:szCs w:val="24"/>
          <w:lang w:val="en-US"/>
        </w:rPr>
        <w:t>allottee</w:t>
      </w:r>
      <w:proofErr w:type="spellEnd"/>
      <w:r w:rsidRPr="00B35719">
        <w:rPr>
          <w:rFonts w:ascii="Times New Roman" w:hAnsi="Times New Roman" w:cs="Times New Roman"/>
          <w:szCs w:val="24"/>
          <w:lang w:val="en-US"/>
        </w:rPr>
        <w:t xml:space="preserve"> of stand number 7219 </w:t>
      </w:r>
      <w:proofErr w:type="spellStart"/>
      <w:r w:rsidRPr="00B35719">
        <w:rPr>
          <w:rFonts w:ascii="Times New Roman" w:hAnsi="Times New Roman" w:cs="Times New Roman"/>
          <w:szCs w:val="24"/>
          <w:lang w:val="en-US"/>
        </w:rPr>
        <w:t>Dzivarasekwa</w:t>
      </w:r>
      <w:proofErr w:type="spellEnd"/>
      <w:r w:rsidRPr="00B35719">
        <w:rPr>
          <w:rFonts w:ascii="Times New Roman" w:hAnsi="Times New Roman" w:cs="Times New Roman"/>
          <w:szCs w:val="24"/>
          <w:lang w:val="en-US"/>
        </w:rPr>
        <w:t xml:space="preserve"> Extension, Harare.”</w:t>
      </w:r>
    </w:p>
    <w:p w14:paraId="78D214EF" w14:textId="6DD7FD67" w:rsidR="0061528A" w:rsidRDefault="0061528A" w:rsidP="00B3571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 also attached an affidavit filed by the second respondent herein in case No. 6306/23 aforesaid. It is noted that the same parties herein were the parties cited in case </w:t>
      </w:r>
      <w:proofErr w:type="gramStart"/>
      <w:r>
        <w:rPr>
          <w:rFonts w:ascii="Times New Roman" w:hAnsi="Times New Roman" w:cs="Times New Roman"/>
          <w:sz w:val="24"/>
          <w:szCs w:val="24"/>
          <w:lang w:val="en-US"/>
        </w:rPr>
        <w:t>No</w:t>
      </w:r>
      <w:proofErr w:type="gramEnd"/>
      <w:r>
        <w:rPr>
          <w:rFonts w:ascii="Times New Roman" w:hAnsi="Times New Roman" w:cs="Times New Roman"/>
          <w:sz w:val="24"/>
          <w:szCs w:val="24"/>
          <w:lang w:val="en-US"/>
        </w:rPr>
        <w:t>. HC 6306/23 save that the first respondent herein</w:t>
      </w:r>
      <w:r w:rsidR="00237B82">
        <w:rPr>
          <w:rFonts w:ascii="Times New Roman" w:hAnsi="Times New Roman" w:cs="Times New Roman"/>
          <w:sz w:val="24"/>
          <w:szCs w:val="24"/>
          <w:lang w:val="en-US"/>
        </w:rPr>
        <w:t xml:space="preserve"> was the applicant. The affidavit aforesaid was deposed to by the Acting Permanent Secretary of the second respondent. He stated in para 3 of the affidavit as follows in relation to the disputed stand;</w:t>
      </w:r>
    </w:p>
    <w:p w14:paraId="355736A4" w14:textId="37796C60" w:rsidR="00237B82" w:rsidRPr="00B35719" w:rsidRDefault="00237B82" w:rsidP="00B35719">
      <w:pPr>
        <w:spacing w:after="0" w:line="240" w:lineRule="auto"/>
        <w:ind w:left="720"/>
        <w:jc w:val="both"/>
        <w:rPr>
          <w:rFonts w:ascii="Times New Roman" w:hAnsi="Times New Roman" w:cs="Times New Roman"/>
          <w:b/>
          <w:szCs w:val="24"/>
          <w:u w:val="single"/>
          <w:lang w:val="en-US"/>
        </w:rPr>
      </w:pPr>
      <w:r w:rsidRPr="00B35719">
        <w:rPr>
          <w:rFonts w:ascii="Times New Roman" w:hAnsi="Times New Roman" w:cs="Times New Roman"/>
          <w:szCs w:val="24"/>
          <w:lang w:val="en-US"/>
        </w:rPr>
        <w:t>“</w:t>
      </w:r>
      <w:r w:rsidRPr="00B35719">
        <w:rPr>
          <w:rFonts w:ascii="Times New Roman" w:hAnsi="Times New Roman" w:cs="Times New Roman"/>
          <w:b/>
          <w:szCs w:val="24"/>
          <w:u w:val="single"/>
          <w:lang w:val="en-US"/>
        </w:rPr>
        <w:t>Ad para 8 – 25</w:t>
      </w:r>
    </w:p>
    <w:p w14:paraId="54A21478" w14:textId="7B904F2F" w:rsidR="00237B82" w:rsidRPr="00B35719" w:rsidRDefault="00237B82" w:rsidP="00B35719">
      <w:pPr>
        <w:spacing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 xml:space="preserve">3. According to Ministry records, the stand in question, stand 7219, </w:t>
      </w:r>
      <w:proofErr w:type="spellStart"/>
      <w:r w:rsidRPr="00B35719">
        <w:rPr>
          <w:rFonts w:ascii="Times New Roman" w:hAnsi="Times New Roman" w:cs="Times New Roman"/>
          <w:szCs w:val="24"/>
          <w:lang w:val="en-US"/>
        </w:rPr>
        <w:t>Dzivarasekwa</w:t>
      </w:r>
      <w:proofErr w:type="spellEnd"/>
      <w:r w:rsidRPr="00B35719">
        <w:rPr>
          <w:rFonts w:ascii="Times New Roman" w:hAnsi="Times New Roman" w:cs="Times New Roman"/>
          <w:szCs w:val="24"/>
          <w:lang w:val="en-US"/>
        </w:rPr>
        <w:t xml:space="preserve"> Extension, Harare, was allocated to the first respondent of record, Promise </w:t>
      </w:r>
      <w:proofErr w:type="spellStart"/>
      <w:r w:rsidRPr="00B35719">
        <w:rPr>
          <w:rFonts w:ascii="Times New Roman" w:hAnsi="Times New Roman" w:cs="Times New Roman"/>
          <w:szCs w:val="24"/>
          <w:lang w:val="en-US"/>
        </w:rPr>
        <w:t>Zvavahera</w:t>
      </w:r>
      <w:proofErr w:type="spellEnd"/>
      <w:r w:rsidRPr="00B35719">
        <w:rPr>
          <w:rFonts w:ascii="Times New Roman" w:hAnsi="Times New Roman" w:cs="Times New Roman"/>
          <w:szCs w:val="24"/>
          <w:lang w:val="en-US"/>
        </w:rPr>
        <w:t xml:space="preserve">. See Annexure “A” being an extract of the membership list for </w:t>
      </w:r>
      <w:proofErr w:type="spellStart"/>
      <w:r w:rsidRPr="00B35719">
        <w:rPr>
          <w:rFonts w:ascii="Times New Roman" w:hAnsi="Times New Roman" w:cs="Times New Roman"/>
          <w:szCs w:val="24"/>
          <w:lang w:val="en-US"/>
        </w:rPr>
        <w:t>Dzivarasekwa</w:t>
      </w:r>
      <w:proofErr w:type="spellEnd"/>
      <w:r w:rsidRPr="00B35719">
        <w:rPr>
          <w:rFonts w:ascii="Times New Roman" w:hAnsi="Times New Roman" w:cs="Times New Roman"/>
          <w:szCs w:val="24"/>
          <w:lang w:val="en-US"/>
        </w:rPr>
        <w:t xml:space="preserve"> stands Phase 2.”</w:t>
      </w:r>
    </w:p>
    <w:p w14:paraId="6A3AC1DF" w14:textId="723706D0" w:rsidR="00237B82" w:rsidRDefault="00237B82"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To the affidavit was attached a list of the </w:t>
      </w:r>
      <w:proofErr w:type="spellStart"/>
      <w:r>
        <w:rPr>
          <w:rFonts w:ascii="Times New Roman" w:hAnsi="Times New Roman" w:cs="Times New Roman"/>
          <w:sz w:val="24"/>
          <w:szCs w:val="24"/>
          <w:lang w:val="en-US"/>
        </w:rPr>
        <w:t>allottees</w:t>
      </w:r>
      <w:proofErr w:type="spellEnd"/>
      <w:r>
        <w:rPr>
          <w:rFonts w:ascii="Times New Roman" w:hAnsi="Times New Roman" w:cs="Times New Roman"/>
          <w:sz w:val="24"/>
          <w:szCs w:val="24"/>
          <w:lang w:val="en-US"/>
        </w:rPr>
        <w:t xml:space="preserve"> of the scheme. The first respondent is not listed as an </w:t>
      </w:r>
      <w:proofErr w:type="spellStart"/>
      <w:r>
        <w:rPr>
          <w:rFonts w:ascii="Times New Roman" w:hAnsi="Times New Roman" w:cs="Times New Roman"/>
          <w:sz w:val="24"/>
          <w:szCs w:val="24"/>
          <w:lang w:val="en-US"/>
        </w:rPr>
        <w:t>allottee</w:t>
      </w:r>
      <w:proofErr w:type="spellEnd"/>
      <w:r>
        <w:rPr>
          <w:rFonts w:ascii="Times New Roman" w:hAnsi="Times New Roman" w:cs="Times New Roman"/>
          <w:sz w:val="24"/>
          <w:szCs w:val="24"/>
          <w:lang w:val="en-US"/>
        </w:rPr>
        <w:t xml:space="preserve">. The applicant is listed as the </w:t>
      </w:r>
      <w:proofErr w:type="spellStart"/>
      <w:r>
        <w:rPr>
          <w:rFonts w:ascii="Times New Roman" w:hAnsi="Times New Roman" w:cs="Times New Roman"/>
          <w:sz w:val="24"/>
          <w:szCs w:val="24"/>
          <w:lang w:val="en-US"/>
        </w:rPr>
        <w:t>allottee</w:t>
      </w:r>
      <w:proofErr w:type="spellEnd"/>
      <w:r>
        <w:rPr>
          <w:rFonts w:ascii="Times New Roman" w:hAnsi="Times New Roman" w:cs="Times New Roman"/>
          <w:sz w:val="24"/>
          <w:szCs w:val="24"/>
          <w:lang w:val="en-US"/>
        </w:rPr>
        <w:t xml:space="preserve"> to stand 7219.</w:t>
      </w:r>
    </w:p>
    <w:p w14:paraId="440D5246" w14:textId="07E45655" w:rsidR="00237B82" w:rsidRDefault="00237B82"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For the record case </w:t>
      </w:r>
      <w:proofErr w:type="gramStart"/>
      <w:r>
        <w:rPr>
          <w:rFonts w:ascii="Times New Roman" w:hAnsi="Times New Roman" w:cs="Times New Roman"/>
          <w:sz w:val="24"/>
          <w:szCs w:val="24"/>
          <w:lang w:val="en-US"/>
        </w:rPr>
        <w:t>No</w:t>
      </w:r>
      <w:proofErr w:type="gramEnd"/>
      <w:r>
        <w:rPr>
          <w:rFonts w:ascii="Times New Roman" w:hAnsi="Times New Roman" w:cs="Times New Roman"/>
          <w:sz w:val="24"/>
          <w:szCs w:val="24"/>
          <w:lang w:val="en-US"/>
        </w:rPr>
        <w:t xml:space="preserve">. HC 6306/23 was not proceeded with. It was listed for hearing before me on 16 February 2024. The application was withdrawn with costs by the first respondent for nullity in that he invalidly cited the second respondent therein as the </w:t>
      </w:r>
      <w:r>
        <w:rPr>
          <w:rFonts w:ascii="Times New Roman" w:hAnsi="Times New Roman" w:cs="Times New Roman"/>
          <w:sz w:val="24"/>
          <w:szCs w:val="24"/>
          <w:lang w:val="en-US"/>
        </w:rPr>
        <w:lastRenderedPageBreak/>
        <w:t xml:space="preserve">“Ministry” and not the Minister, an elementary error committed occasionally by the underscoring legal practitioner. The matter was not subsequently brought back to court. The first respondent opposed the application. He took a point in </w:t>
      </w:r>
      <w:proofErr w:type="spellStart"/>
      <w:r>
        <w:rPr>
          <w:rFonts w:ascii="Times New Roman" w:hAnsi="Times New Roman" w:cs="Times New Roman"/>
          <w:sz w:val="24"/>
          <w:szCs w:val="24"/>
          <w:lang w:val="en-US"/>
        </w:rPr>
        <w:t>limine</w:t>
      </w:r>
      <w:proofErr w:type="spellEnd"/>
      <w:r>
        <w:rPr>
          <w:rFonts w:ascii="Times New Roman" w:hAnsi="Times New Roman" w:cs="Times New Roman"/>
          <w:sz w:val="24"/>
          <w:szCs w:val="24"/>
          <w:lang w:val="en-US"/>
        </w:rPr>
        <w:t xml:space="preserve"> of prescription. He averred that the cause of action arose in 2011 when the applicant was purportedly allocated the property. The first respondent claimed to have been allocated the property by the second and third respondents in 2000 and that he had constructed a foundation and box for an 8 roomed house of which three rooms were completed in 2002. He claimed to have taken possession and occupation of the property for nine (9) years in 2011 when the allocation of the property to the applicant was made. The first respondent claimed that the applicant’s right to redress in the court prescribed in 2014, after the lapse of three (3) years. He averred that the applicant had filed this application fourteen years after the event.</w:t>
      </w:r>
      <w:r w:rsidR="009F5653">
        <w:rPr>
          <w:rFonts w:ascii="Times New Roman" w:hAnsi="Times New Roman" w:cs="Times New Roman"/>
          <w:sz w:val="24"/>
          <w:szCs w:val="24"/>
          <w:lang w:val="en-US"/>
        </w:rPr>
        <w:t xml:space="preserve"> The first respondent averred that the applicant was aware that the first respondent </w:t>
      </w:r>
      <w:r w:rsidR="00B54DF6">
        <w:rPr>
          <w:rFonts w:ascii="Times New Roman" w:hAnsi="Times New Roman" w:cs="Times New Roman"/>
          <w:sz w:val="24"/>
          <w:szCs w:val="24"/>
          <w:lang w:val="en-US"/>
        </w:rPr>
        <w:t xml:space="preserve">was </w:t>
      </w:r>
      <w:r w:rsidR="009F5653">
        <w:rPr>
          <w:rFonts w:ascii="Times New Roman" w:hAnsi="Times New Roman" w:cs="Times New Roman"/>
          <w:sz w:val="24"/>
          <w:szCs w:val="24"/>
          <w:lang w:val="en-US"/>
        </w:rPr>
        <w:t>in occupation of the property because the two engaged in 2011 over the property ownership.</w:t>
      </w:r>
    </w:p>
    <w:p w14:paraId="5562E9C6" w14:textId="04760468" w:rsidR="009F5653" w:rsidRDefault="009F5653"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responded also averred that the applicant delivered bricks to the property in 2017 and again raised the issue of his ownership which the first respondent disputed. He contended that since he was in occupation of the property, the applicant should have applied to court for the declaration of ownership within three years of 2017.</w:t>
      </w:r>
    </w:p>
    <w:p w14:paraId="75096509" w14:textId="1E670F95" w:rsidR="009F5653" w:rsidRDefault="009F5653"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respondent also averred that the court should dismiss the appli</w:t>
      </w:r>
      <w:r w:rsidR="00B54DF6">
        <w:rPr>
          <w:rFonts w:ascii="Times New Roman" w:hAnsi="Times New Roman" w:cs="Times New Roman"/>
          <w:sz w:val="24"/>
          <w:szCs w:val="24"/>
          <w:lang w:val="en-US"/>
        </w:rPr>
        <w:t>c</w:t>
      </w:r>
      <w:r w:rsidR="006A7A77">
        <w:rPr>
          <w:rFonts w:ascii="Times New Roman" w:hAnsi="Times New Roman" w:cs="Times New Roman"/>
          <w:sz w:val="24"/>
          <w:szCs w:val="24"/>
          <w:lang w:val="en-US"/>
        </w:rPr>
        <w:t>ation because the applicant lied</w:t>
      </w:r>
      <w:r>
        <w:rPr>
          <w:rFonts w:ascii="Times New Roman" w:hAnsi="Times New Roman" w:cs="Times New Roman"/>
          <w:sz w:val="24"/>
          <w:szCs w:val="24"/>
          <w:lang w:val="en-US"/>
        </w:rPr>
        <w:t xml:space="preserve"> in his affidavit. The alleged lies were firstly the allegation that the first respondent offered to buy the property from the applicant in 2011 and secondly in not disclosing that the first respondent was already in possession of the property in 2011 when the property as allocated to the applicant. Thirdly was that the applicant lied that he became aware of the first respondent claim to the property after being served with court application case No. HC 6306/23</w:t>
      </w:r>
      <w:r w:rsidR="00B54DF6">
        <w:rPr>
          <w:rFonts w:ascii="Times New Roman" w:hAnsi="Times New Roman" w:cs="Times New Roman"/>
          <w:sz w:val="24"/>
          <w:szCs w:val="24"/>
          <w:lang w:val="en-US"/>
        </w:rPr>
        <w:t xml:space="preserve"> yet the dispute </w:t>
      </w:r>
      <w:proofErr w:type="gramStart"/>
      <w:r w:rsidR="00B54DF6">
        <w:rPr>
          <w:rFonts w:ascii="Times New Roman" w:hAnsi="Times New Roman" w:cs="Times New Roman"/>
          <w:sz w:val="24"/>
          <w:szCs w:val="24"/>
          <w:lang w:val="en-US"/>
        </w:rPr>
        <w:t>was</w:t>
      </w:r>
      <w:proofErr w:type="gramEnd"/>
      <w:r w:rsidR="00B54DF6">
        <w:rPr>
          <w:rFonts w:ascii="Times New Roman" w:hAnsi="Times New Roman" w:cs="Times New Roman"/>
          <w:sz w:val="24"/>
          <w:szCs w:val="24"/>
          <w:lang w:val="en-US"/>
        </w:rPr>
        <w:t xml:space="preserve"> always there</w:t>
      </w:r>
      <w:r>
        <w:rPr>
          <w:rFonts w:ascii="Times New Roman" w:hAnsi="Times New Roman" w:cs="Times New Roman"/>
          <w:sz w:val="24"/>
          <w:szCs w:val="24"/>
          <w:lang w:val="en-US"/>
        </w:rPr>
        <w:t xml:space="preserve"> since 2011. The applicant averred that deliberate falsehoods </w:t>
      </w:r>
      <w:proofErr w:type="spellStart"/>
      <w:r>
        <w:rPr>
          <w:rFonts w:ascii="Times New Roman" w:hAnsi="Times New Roman" w:cs="Times New Roman"/>
          <w:sz w:val="24"/>
          <w:szCs w:val="24"/>
          <w:lang w:val="en-US"/>
        </w:rPr>
        <w:t>unsuit</w:t>
      </w:r>
      <w:proofErr w:type="spellEnd"/>
      <w:r>
        <w:rPr>
          <w:rFonts w:ascii="Times New Roman" w:hAnsi="Times New Roman" w:cs="Times New Roman"/>
          <w:sz w:val="24"/>
          <w:szCs w:val="24"/>
          <w:lang w:val="en-US"/>
        </w:rPr>
        <w:t xml:space="preserve"> an applicant to seek relief and that the applicant’s claim should be dismissed on that basis.</w:t>
      </w:r>
    </w:p>
    <w:p w14:paraId="0D89B9CE" w14:textId="6FA82AFD" w:rsidR="009F5653" w:rsidRDefault="009F5653"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merits </w:t>
      </w:r>
      <w:r w:rsidR="00B54DF6">
        <w:rPr>
          <w:rFonts w:ascii="Times New Roman" w:hAnsi="Times New Roman" w:cs="Times New Roman"/>
          <w:sz w:val="24"/>
          <w:szCs w:val="24"/>
          <w:lang w:val="en-US"/>
        </w:rPr>
        <w:t>t</w:t>
      </w:r>
      <w:r>
        <w:rPr>
          <w:rFonts w:ascii="Times New Roman" w:hAnsi="Times New Roman" w:cs="Times New Roman"/>
          <w:sz w:val="24"/>
          <w:szCs w:val="24"/>
          <w:lang w:val="en-US"/>
        </w:rPr>
        <w:t xml:space="preserve">he first respondent averred that he was the first </w:t>
      </w:r>
      <w:proofErr w:type="spellStart"/>
      <w:r>
        <w:rPr>
          <w:rFonts w:ascii="Times New Roman" w:hAnsi="Times New Roman" w:cs="Times New Roman"/>
          <w:sz w:val="24"/>
          <w:szCs w:val="24"/>
          <w:lang w:val="en-US"/>
        </w:rPr>
        <w:t>allottee</w:t>
      </w:r>
      <w:proofErr w:type="spellEnd"/>
      <w:r>
        <w:rPr>
          <w:rFonts w:ascii="Times New Roman" w:hAnsi="Times New Roman" w:cs="Times New Roman"/>
          <w:sz w:val="24"/>
          <w:szCs w:val="24"/>
          <w:lang w:val="en-US"/>
        </w:rPr>
        <w:t xml:space="preserve"> of the property since his allo</w:t>
      </w:r>
      <w:r w:rsidR="00B54DF6">
        <w:rPr>
          <w:rFonts w:ascii="Times New Roman" w:hAnsi="Times New Roman" w:cs="Times New Roman"/>
          <w:sz w:val="24"/>
          <w:szCs w:val="24"/>
          <w:lang w:val="en-US"/>
        </w:rPr>
        <w:t>cation</w:t>
      </w:r>
      <w:r w:rsidR="00F31CB2">
        <w:rPr>
          <w:rFonts w:ascii="Times New Roman" w:hAnsi="Times New Roman" w:cs="Times New Roman"/>
          <w:sz w:val="24"/>
          <w:szCs w:val="24"/>
          <w:lang w:val="en-US"/>
        </w:rPr>
        <w:t xml:space="preserve"> of the property in 2000 by the second respondent pre – dated that of the applicant and that he occupied the property by 2002 after constructing an incomplete house thereat. He also averred that the letter produced by the applicant written by the housing officer as quoted </w:t>
      </w:r>
      <w:r w:rsidR="00F31CB2" w:rsidRPr="00B35719">
        <w:rPr>
          <w:rFonts w:ascii="Times New Roman" w:hAnsi="Times New Roman" w:cs="Times New Roman"/>
          <w:i/>
          <w:sz w:val="24"/>
          <w:szCs w:val="24"/>
          <w:lang w:val="en-US"/>
        </w:rPr>
        <w:t>supra</w:t>
      </w:r>
      <w:r w:rsidR="00F31CB2">
        <w:rPr>
          <w:rFonts w:ascii="Times New Roman" w:hAnsi="Times New Roman" w:cs="Times New Roman"/>
          <w:sz w:val="24"/>
          <w:szCs w:val="24"/>
          <w:lang w:val="en-US"/>
        </w:rPr>
        <w:t xml:space="preserve"> was not an allocation letter.</w:t>
      </w:r>
    </w:p>
    <w:p w14:paraId="72A6E0C4" w14:textId="72C85756" w:rsidR="00F31CB2" w:rsidRDefault="00F31CB2" w:rsidP="00B3571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For his part the first respondent produced as annexure C to his opposing affidavit, a letter confirming the allocation of the property to him to which was attached an application </w:t>
      </w:r>
      <w:r>
        <w:rPr>
          <w:rFonts w:ascii="Times New Roman" w:hAnsi="Times New Roman" w:cs="Times New Roman"/>
          <w:sz w:val="24"/>
          <w:szCs w:val="24"/>
          <w:lang w:val="en-US"/>
        </w:rPr>
        <w:lastRenderedPageBreak/>
        <w:t>form signed by the applicant on 22 April 2000 which outlined conditions of allocation of the property. Notably para 3 of the letter provided that:-</w:t>
      </w:r>
    </w:p>
    <w:p w14:paraId="373B235C" w14:textId="3A7FD0C9" w:rsidR="00F31CB2" w:rsidRPr="00B35719" w:rsidRDefault="00F31CB2" w:rsidP="00B35719">
      <w:pPr>
        <w:spacing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“3. If the Ministry has started building on your stand you will be advised of the value of the improvements once valuation exercise is completed. You should therefore not proceed to complete the structure before you are informed of the cost of improvements and sign the agreement with the Ministry.”</w:t>
      </w:r>
    </w:p>
    <w:p w14:paraId="54797706" w14:textId="32968EDF" w:rsidR="00F31CB2" w:rsidRDefault="00F31CB2"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clear therefore that it was envisaged that there would be executed a sale agreement of the property between the first respondent and The Ministry con</w:t>
      </w:r>
      <w:r w:rsidR="00B54DF6">
        <w:rPr>
          <w:rFonts w:ascii="Times New Roman" w:hAnsi="Times New Roman" w:cs="Times New Roman"/>
          <w:sz w:val="24"/>
          <w:szCs w:val="24"/>
          <w:lang w:val="en-US"/>
        </w:rPr>
        <w:t>cerned.</w:t>
      </w:r>
      <w:r>
        <w:rPr>
          <w:rFonts w:ascii="Times New Roman" w:hAnsi="Times New Roman" w:cs="Times New Roman"/>
          <w:sz w:val="24"/>
          <w:szCs w:val="24"/>
          <w:lang w:val="en-US"/>
        </w:rPr>
        <w:t xml:space="preserve"> Neither the applicant nor the first respondents have produced a sale agreement. The respondents did not file any papers in opposition of the application. Their non-participation is not helpful.</w:t>
      </w:r>
    </w:p>
    <w:p w14:paraId="32F10F72" w14:textId="2B30C295" w:rsidR="00F31CB2" w:rsidRDefault="00F31CB2"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conditions of the allocation are set out in para 3 of the Start Paying </w:t>
      </w:r>
      <w:proofErr w:type="gramStart"/>
      <w:r>
        <w:rPr>
          <w:rFonts w:ascii="Times New Roman" w:hAnsi="Times New Roman" w:cs="Times New Roman"/>
          <w:sz w:val="24"/>
          <w:szCs w:val="24"/>
          <w:lang w:val="en-US"/>
        </w:rPr>
        <w:t>For</w:t>
      </w:r>
      <w:proofErr w:type="gramEnd"/>
      <w:r>
        <w:rPr>
          <w:rFonts w:ascii="Times New Roman" w:hAnsi="Times New Roman" w:cs="Times New Roman"/>
          <w:sz w:val="24"/>
          <w:szCs w:val="24"/>
          <w:lang w:val="en-US"/>
        </w:rPr>
        <w:t xml:space="preserve"> Your House Scheme which is the scheme under which the first respondent purports to have been allocated the stand in dispute. Notably the allocation referred to by the first respondent was a pre – allocation and payments made were pre – allocation payments to be held in the Housing Committee Funds. Houses w</w:t>
      </w:r>
      <w:r w:rsidR="00B54DF6">
        <w:rPr>
          <w:rFonts w:ascii="Times New Roman" w:hAnsi="Times New Roman" w:cs="Times New Roman"/>
          <w:sz w:val="24"/>
          <w:szCs w:val="24"/>
          <w:lang w:val="en-US"/>
        </w:rPr>
        <w:t>ere to be built with allocation</w:t>
      </w:r>
      <w:r>
        <w:rPr>
          <w:rFonts w:ascii="Times New Roman" w:hAnsi="Times New Roman" w:cs="Times New Roman"/>
          <w:sz w:val="24"/>
          <w:szCs w:val="24"/>
          <w:lang w:val="en-US"/>
        </w:rPr>
        <w:t xml:space="preserve"> of completed houses being based on priority informed by who would have made large deposits and were up to date with monthly installments. The houses to be allocated on completion were to be constructed by the Ministry concerned. The first respondent attached a receipt for payment of $100.00 made on 28 April 2000 to the Ministry. No further evidence of any other payment was provided by the applicant.</w:t>
      </w:r>
    </w:p>
    <w:p w14:paraId="758979BF" w14:textId="54EA951F" w:rsidR="00772039" w:rsidRDefault="00772039"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and the first respondent cla</w:t>
      </w:r>
      <w:r w:rsidR="00B54DF6">
        <w:rPr>
          <w:rFonts w:ascii="Times New Roman" w:hAnsi="Times New Roman" w:cs="Times New Roman"/>
          <w:sz w:val="24"/>
          <w:szCs w:val="24"/>
          <w:lang w:val="en-US"/>
        </w:rPr>
        <w:t>i</w:t>
      </w:r>
      <w:r>
        <w:rPr>
          <w:rFonts w:ascii="Times New Roman" w:hAnsi="Times New Roman" w:cs="Times New Roman"/>
          <w:sz w:val="24"/>
          <w:szCs w:val="24"/>
          <w:lang w:val="en-US"/>
        </w:rPr>
        <w:t xml:space="preserve">ms to the property are adverse to each other. At the hearing the </w:t>
      </w:r>
      <w:proofErr w:type="gramStart"/>
      <w:r>
        <w:rPr>
          <w:rFonts w:ascii="Times New Roman" w:hAnsi="Times New Roman" w:cs="Times New Roman"/>
          <w:sz w:val="24"/>
          <w:szCs w:val="24"/>
          <w:lang w:val="en-US"/>
        </w:rPr>
        <w:t>parties</w:t>
      </w:r>
      <w:proofErr w:type="gramEnd"/>
      <w:r>
        <w:rPr>
          <w:rFonts w:ascii="Times New Roman" w:hAnsi="Times New Roman" w:cs="Times New Roman"/>
          <w:sz w:val="24"/>
          <w:szCs w:val="24"/>
          <w:lang w:val="en-US"/>
        </w:rPr>
        <w:t xml:space="preserve"> legal practitioners indicated that they stood by their heads of argument. Both legal practitioners addressed the issue of prescription in the main. The first respondent maintained the position that the applicant’s cause of action as pleaded by him arose in 2011 when he became aware of the first respondent’s occupancy and possession of the stand. It was submitted </w:t>
      </w:r>
      <w:r w:rsidR="00B54DF6">
        <w:rPr>
          <w:rFonts w:ascii="Times New Roman" w:hAnsi="Times New Roman" w:cs="Times New Roman"/>
          <w:sz w:val="24"/>
          <w:szCs w:val="24"/>
          <w:lang w:val="en-US"/>
        </w:rPr>
        <w:t xml:space="preserve">that </w:t>
      </w:r>
      <w:r>
        <w:rPr>
          <w:rFonts w:ascii="Times New Roman" w:hAnsi="Times New Roman" w:cs="Times New Roman"/>
          <w:sz w:val="24"/>
          <w:szCs w:val="24"/>
          <w:lang w:val="en-US"/>
        </w:rPr>
        <w:t>the claim prescribed in 2014. The first respondent’s counsel submitted that the applicant’s claim was a debt which prescribed after three years. Reliance was placed upon s 15(d) of the Prescription Act [</w:t>
      </w:r>
      <w:r w:rsidRPr="00B35719">
        <w:rPr>
          <w:rFonts w:ascii="Times New Roman" w:hAnsi="Times New Roman" w:cs="Times New Roman"/>
          <w:i/>
          <w:sz w:val="24"/>
          <w:szCs w:val="24"/>
          <w:lang w:val="en-US"/>
        </w:rPr>
        <w:t>Chapter 8:11</w:t>
      </w:r>
      <w:r>
        <w:rPr>
          <w:rFonts w:ascii="Times New Roman" w:hAnsi="Times New Roman" w:cs="Times New Roman"/>
          <w:sz w:val="24"/>
          <w:szCs w:val="24"/>
          <w:lang w:val="en-US"/>
        </w:rPr>
        <w:t>].</w:t>
      </w:r>
    </w:p>
    <w:p w14:paraId="3E4CB4E6" w14:textId="397A8B3D" w:rsidR="00772039" w:rsidRDefault="00772039" w:rsidP="00B3571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noted that s 2 of the Prescription Act reads as follows in defining a debt:</w:t>
      </w:r>
    </w:p>
    <w:p w14:paraId="70362B60" w14:textId="4890B799" w:rsidR="00772039" w:rsidRPr="00B35719" w:rsidRDefault="00772039" w:rsidP="00B35719">
      <w:pPr>
        <w:spacing w:after="0" w:line="240" w:lineRule="auto"/>
        <w:jc w:val="both"/>
        <w:rPr>
          <w:rFonts w:ascii="Times New Roman" w:hAnsi="Times New Roman" w:cs="Times New Roman"/>
          <w:szCs w:val="24"/>
          <w:lang w:val="en-US"/>
        </w:rPr>
      </w:pPr>
      <w:r>
        <w:rPr>
          <w:rFonts w:ascii="Times New Roman" w:hAnsi="Times New Roman" w:cs="Times New Roman"/>
          <w:sz w:val="24"/>
          <w:szCs w:val="24"/>
          <w:lang w:val="en-US"/>
        </w:rPr>
        <w:tab/>
      </w:r>
      <w:r w:rsidRPr="00B35719">
        <w:rPr>
          <w:rFonts w:ascii="Times New Roman" w:hAnsi="Times New Roman" w:cs="Times New Roman"/>
          <w:szCs w:val="24"/>
          <w:lang w:val="en-US"/>
        </w:rPr>
        <w:t>“In this Act –</w:t>
      </w:r>
    </w:p>
    <w:p w14:paraId="72E03E26" w14:textId="44E1790F" w:rsidR="00772039" w:rsidRPr="00B35719" w:rsidRDefault="00772039" w:rsidP="00B35719">
      <w:pPr>
        <w:spacing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w:t>
      </w:r>
      <w:proofErr w:type="gramStart"/>
      <w:r w:rsidRPr="00B35719">
        <w:rPr>
          <w:rFonts w:ascii="Times New Roman" w:hAnsi="Times New Roman" w:cs="Times New Roman"/>
          <w:szCs w:val="24"/>
          <w:lang w:val="en-US"/>
        </w:rPr>
        <w:t>debt</w:t>
      </w:r>
      <w:proofErr w:type="gramEnd"/>
      <w:r w:rsidRPr="00B35719">
        <w:rPr>
          <w:rFonts w:ascii="Times New Roman" w:hAnsi="Times New Roman" w:cs="Times New Roman"/>
          <w:szCs w:val="24"/>
          <w:lang w:val="en-US"/>
        </w:rPr>
        <w:t>”, without limiting the meaning of the term includes anything which may sued for or claimed by reason of an obligation arising from statute, contract, delict or otherwise.”</w:t>
      </w:r>
    </w:p>
    <w:p w14:paraId="18EE11E3" w14:textId="670CC2B7" w:rsidR="00772039" w:rsidRPr="00B35719" w:rsidRDefault="00772039" w:rsidP="00B35719">
      <w:pPr>
        <w:spacing w:line="240" w:lineRule="auto"/>
        <w:ind w:left="720"/>
        <w:jc w:val="both"/>
        <w:rPr>
          <w:rFonts w:ascii="Times New Roman" w:hAnsi="Times New Roman" w:cs="Times New Roman"/>
          <w:sz w:val="24"/>
          <w:szCs w:val="24"/>
          <w:lang w:val="en-US"/>
        </w:rPr>
      </w:pPr>
      <w:r w:rsidRPr="00B35719">
        <w:rPr>
          <w:rFonts w:ascii="Times New Roman" w:hAnsi="Times New Roman" w:cs="Times New Roman"/>
          <w:sz w:val="24"/>
          <w:szCs w:val="24"/>
          <w:lang w:val="en-US"/>
        </w:rPr>
        <w:t>S 15(d) provides as follows:</w:t>
      </w:r>
    </w:p>
    <w:p w14:paraId="6F96CE1B" w14:textId="54943B69" w:rsidR="00772039" w:rsidRPr="00B35719" w:rsidRDefault="00772039" w:rsidP="00B35719">
      <w:pPr>
        <w:spacing w:after="0"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“The period of prescription of a debt shall be</w:t>
      </w:r>
    </w:p>
    <w:p w14:paraId="7AFCF01B" w14:textId="736FC591" w:rsidR="00772039" w:rsidRPr="00B35719" w:rsidRDefault="00772039" w:rsidP="00B35719">
      <w:pPr>
        <w:spacing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lastRenderedPageBreak/>
        <w:t xml:space="preserve">(d) </w:t>
      </w:r>
      <w:proofErr w:type="gramStart"/>
      <w:r w:rsidRPr="00B35719">
        <w:rPr>
          <w:rFonts w:ascii="Times New Roman" w:hAnsi="Times New Roman" w:cs="Times New Roman"/>
          <w:szCs w:val="24"/>
          <w:lang w:val="en-US"/>
        </w:rPr>
        <w:t>except</w:t>
      </w:r>
      <w:proofErr w:type="gramEnd"/>
      <w:r w:rsidRPr="00B35719">
        <w:rPr>
          <w:rFonts w:ascii="Times New Roman" w:hAnsi="Times New Roman" w:cs="Times New Roman"/>
          <w:szCs w:val="24"/>
          <w:lang w:val="en-US"/>
        </w:rPr>
        <w:t xml:space="preserve"> where any enactment provides otherwise, three years in the case of any other debt.”</w:t>
      </w:r>
    </w:p>
    <w:p w14:paraId="741A88D9" w14:textId="0FF47CF1" w:rsidR="00772039" w:rsidRDefault="00772039"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respondent submitted that the applicant sat on his laurels since 2011 and should have his claim declared prescribed and not suited to be heard by the court. The first respondent submitted that the maxim “</w:t>
      </w:r>
      <w:proofErr w:type="spellStart"/>
      <w:r w:rsidRPr="00B35719">
        <w:rPr>
          <w:rFonts w:ascii="Times New Roman" w:hAnsi="Times New Roman" w:cs="Times New Roman"/>
          <w:i/>
          <w:sz w:val="24"/>
          <w:szCs w:val="24"/>
          <w:lang w:val="en-US"/>
        </w:rPr>
        <w:t>vigilantilous</w:t>
      </w:r>
      <w:proofErr w:type="spellEnd"/>
      <w:r w:rsidRPr="00B35719">
        <w:rPr>
          <w:rFonts w:ascii="Times New Roman" w:hAnsi="Times New Roman" w:cs="Times New Roman"/>
          <w:i/>
          <w:sz w:val="24"/>
          <w:szCs w:val="24"/>
          <w:lang w:val="en-US"/>
        </w:rPr>
        <w:t xml:space="preserve"> non </w:t>
      </w:r>
      <w:proofErr w:type="spellStart"/>
      <w:r w:rsidRPr="00B35719">
        <w:rPr>
          <w:rFonts w:ascii="Times New Roman" w:hAnsi="Times New Roman" w:cs="Times New Roman"/>
          <w:i/>
          <w:sz w:val="24"/>
          <w:szCs w:val="24"/>
          <w:lang w:val="en-US"/>
        </w:rPr>
        <w:t>dormientibus</w:t>
      </w:r>
      <w:proofErr w:type="spellEnd"/>
      <w:r w:rsidRPr="00B35719">
        <w:rPr>
          <w:rFonts w:ascii="Times New Roman" w:hAnsi="Times New Roman" w:cs="Times New Roman"/>
          <w:i/>
          <w:sz w:val="24"/>
          <w:szCs w:val="24"/>
          <w:lang w:val="en-US"/>
        </w:rPr>
        <w:t xml:space="preserve"> </w:t>
      </w:r>
      <w:proofErr w:type="spellStart"/>
      <w:r w:rsidRPr="00B35719">
        <w:rPr>
          <w:rFonts w:ascii="Times New Roman" w:hAnsi="Times New Roman" w:cs="Times New Roman"/>
          <w:i/>
          <w:sz w:val="24"/>
          <w:szCs w:val="24"/>
          <w:lang w:val="en-US"/>
        </w:rPr>
        <w:t>jura</w:t>
      </w:r>
      <w:proofErr w:type="spellEnd"/>
      <w:r w:rsidRPr="00B35719">
        <w:rPr>
          <w:rFonts w:ascii="Times New Roman" w:hAnsi="Times New Roman" w:cs="Times New Roman"/>
          <w:i/>
          <w:sz w:val="24"/>
          <w:szCs w:val="24"/>
          <w:lang w:val="en-US"/>
        </w:rPr>
        <w:t xml:space="preserve"> </w:t>
      </w:r>
      <w:proofErr w:type="spellStart"/>
      <w:r w:rsidRPr="00B35719">
        <w:rPr>
          <w:rFonts w:ascii="Times New Roman" w:hAnsi="Times New Roman" w:cs="Times New Roman"/>
          <w:i/>
          <w:sz w:val="24"/>
          <w:szCs w:val="24"/>
          <w:lang w:val="en-US"/>
        </w:rPr>
        <w:t>subvenium</w:t>
      </w:r>
      <w:proofErr w:type="spellEnd"/>
      <w:r>
        <w:rPr>
          <w:rFonts w:ascii="Times New Roman" w:hAnsi="Times New Roman" w:cs="Times New Roman"/>
          <w:sz w:val="24"/>
          <w:szCs w:val="24"/>
          <w:lang w:val="en-US"/>
        </w:rPr>
        <w:t xml:space="preserve">” (the </w:t>
      </w:r>
      <w:r w:rsidR="00B54DF6">
        <w:rPr>
          <w:rFonts w:ascii="Times New Roman" w:hAnsi="Times New Roman" w:cs="Times New Roman"/>
          <w:sz w:val="24"/>
          <w:szCs w:val="24"/>
          <w:lang w:val="en-US"/>
        </w:rPr>
        <w:t>law asserts the vigilant and not</w:t>
      </w:r>
      <w:r>
        <w:rPr>
          <w:rFonts w:ascii="Times New Roman" w:hAnsi="Times New Roman" w:cs="Times New Roman"/>
          <w:sz w:val="24"/>
          <w:szCs w:val="24"/>
          <w:lang w:val="en-US"/>
        </w:rPr>
        <w:t xml:space="preserve"> the sluggard) as noted by the Supreme Court in the case of </w:t>
      </w:r>
      <w:proofErr w:type="spellStart"/>
      <w:r w:rsidRPr="00B35719">
        <w:rPr>
          <w:rFonts w:ascii="Times New Roman" w:hAnsi="Times New Roman" w:cs="Times New Roman"/>
          <w:i/>
          <w:sz w:val="24"/>
          <w:szCs w:val="24"/>
          <w:lang w:val="en-US"/>
        </w:rPr>
        <w:t>Chimunda</w:t>
      </w:r>
      <w:proofErr w:type="spellEnd"/>
      <w:r w:rsidRPr="00B35719">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v </w:t>
      </w:r>
      <w:proofErr w:type="spellStart"/>
      <w:r w:rsidRPr="00B35719">
        <w:rPr>
          <w:rFonts w:ascii="Times New Roman" w:hAnsi="Times New Roman" w:cs="Times New Roman"/>
          <w:i/>
          <w:sz w:val="24"/>
          <w:szCs w:val="24"/>
          <w:lang w:val="en-US"/>
        </w:rPr>
        <w:t>Zimuto</w:t>
      </w:r>
      <w:proofErr w:type="spellEnd"/>
      <w:r w:rsidRPr="00B35719">
        <w:rPr>
          <w:rFonts w:ascii="Times New Roman" w:hAnsi="Times New Roman" w:cs="Times New Roman"/>
          <w:i/>
          <w:sz w:val="24"/>
          <w:szCs w:val="24"/>
          <w:lang w:val="en-US"/>
        </w:rPr>
        <w:t xml:space="preserve"> &amp; Anor</w:t>
      </w:r>
      <w:r>
        <w:rPr>
          <w:rFonts w:ascii="Times New Roman" w:hAnsi="Times New Roman" w:cs="Times New Roman"/>
          <w:sz w:val="24"/>
          <w:szCs w:val="24"/>
          <w:lang w:val="en-US"/>
        </w:rPr>
        <w:t xml:space="preserve"> SC 76/2014 was applicable in the case. See also </w:t>
      </w:r>
      <w:r w:rsidRPr="00B35719">
        <w:rPr>
          <w:rFonts w:ascii="Times New Roman" w:hAnsi="Times New Roman" w:cs="Times New Roman"/>
          <w:i/>
          <w:sz w:val="24"/>
          <w:szCs w:val="24"/>
          <w:lang w:val="en-US"/>
        </w:rPr>
        <w:t>Ndebele</w:t>
      </w:r>
      <w:r>
        <w:rPr>
          <w:rFonts w:ascii="Times New Roman" w:hAnsi="Times New Roman" w:cs="Times New Roman"/>
          <w:sz w:val="24"/>
          <w:szCs w:val="24"/>
          <w:lang w:val="en-US"/>
        </w:rPr>
        <w:t xml:space="preserve"> v </w:t>
      </w:r>
      <w:proofErr w:type="spellStart"/>
      <w:r w:rsidRPr="00B35719">
        <w:rPr>
          <w:rFonts w:ascii="Times New Roman" w:hAnsi="Times New Roman" w:cs="Times New Roman"/>
          <w:i/>
          <w:sz w:val="24"/>
          <w:szCs w:val="24"/>
          <w:lang w:val="en-US"/>
        </w:rPr>
        <w:t>Ncube</w:t>
      </w:r>
      <w:proofErr w:type="spellEnd"/>
      <w:r w:rsidRPr="00B35719">
        <w:rPr>
          <w:rFonts w:ascii="Times New Roman" w:hAnsi="Times New Roman" w:cs="Times New Roman"/>
          <w:i/>
          <w:sz w:val="24"/>
          <w:szCs w:val="24"/>
          <w:lang w:val="en-US"/>
        </w:rPr>
        <w:t xml:space="preserve"> </w:t>
      </w:r>
      <w:r>
        <w:rPr>
          <w:rFonts w:ascii="Times New Roman" w:hAnsi="Times New Roman" w:cs="Times New Roman"/>
          <w:sz w:val="24"/>
          <w:szCs w:val="24"/>
          <w:lang w:val="en-US"/>
        </w:rPr>
        <w:t>1992(1) ZLR 288.</w:t>
      </w:r>
    </w:p>
    <w:p w14:paraId="20817C84" w14:textId="5789E358" w:rsidR="00772039" w:rsidRDefault="00772039" w:rsidP="00B3571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applicant’s counsel took the position that a claim which seeks a declaratory order does not prescribe. Reliance was placed on the judgment of </w:t>
      </w:r>
      <w:proofErr w:type="spellStart"/>
      <w:r w:rsidRPr="00B35719">
        <w:rPr>
          <w:rFonts w:ascii="Times New Roman" w:hAnsi="Times New Roman" w:cs="Times New Roman"/>
          <w:smallCaps/>
          <w:sz w:val="24"/>
          <w:szCs w:val="24"/>
          <w:lang w:val="en-US"/>
        </w:rPr>
        <w:t>Ndou</w:t>
      </w:r>
      <w:proofErr w:type="spellEnd"/>
      <w:r w:rsidRPr="00B35719">
        <w:rPr>
          <w:rFonts w:ascii="Times New Roman" w:hAnsi="Times New Roman" w:cs="Times New Roman"/>
          <w:smallCaps/>
          <w:sz w:val="24"/>
          <w:szCs w:val="24"/>
          <w:lang w:val="en-US"/>
        </w:rPr>
        <w:t xml:space="preserve"> J</w:t>
      </w:r>
      <w:r>
        <w:rPr>
          <w:rFonts w:ascii="Times New Roman" w:hAnsi="Times New Roman" w:cs="Times New Roman"/>
          <w:sz w:val="24"/>
          <w:szCs w:val="24"/>
          <w:lang w:val="en-US"/>
        </w:rPr>
        <w:t xml:space="preserve"> in </w:t>
      </w:r>
      <w:proofErr w:type="spellStart"/>
      <w:r w:rsidRPr="00B35719">
        <w:rPr>
          <w:rFonts w:ascii="Times New Roman" w:hAnsi="Times New Roman" w:cs="Times New Roman"/>
          <w:i/>
          <w:sz w:val="24"/>
          <w:szCs w:val="24"/>
          <w:lang w:val="en-US"/>
        </w:rPr>
        <w:t>Ndlovu</w:t>
      </w:r>
      <w:proofErr w:type="spellEnd"/>
      <w:r w:rsidRPr="00B35719">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v </w:t>
      </w:r>
      <w:proofErr w:type="spellStart"/>
      <w:r w:rsidRPr="00B35719">
        <w:rPr>
          <w:rFonts w:ascii="Times New Roman" w:hAnsi="Times New Roman" w:cs="Times New Roman"/>
          <w:i/>
          <w:sz w:val="24"/>
          <w:szCs w:val="24"/>
          <w:lang w:val="en-US"/>
        </w:rPr>
        <w:t>Ndlovu</w:t>
      </w:r>
      <w:proofErr w:type="spellEnd"/>
      <w:r w:rsidRPr="00B35719">
        <w:rPr>
          <w:rFonts w:ascii="Times New Roman" w:hAnsi="Times New Roman" w:cs="Times New Roman"/>
          <w:i/>
          <w:sz w:val="24"/>
          <w:szCs w:val="24"/>
          <w:lang w:val="en-US"/>
        </w:rPr>
        <w:t xml:space="preserve"> &amp; Anor</w:t>
      </w:r>
      <w:r>
        <w:rPr>
          <w:rFonts w:ascii="Times New Roman" w:hAnsi="Times New Roman" w:cs="Times New Roman"/>
          <w:sz w:val="24"/>
          <w:szCs w:val="24"/>
          <w:lang w:val="en-US"/>
        </w:rPr>
        <w:t xml:space="preserve"> 2013 (1) ZLR 11 (4) wherein it is stated by the learned judge</w:t>
      </w:r>
      <w:r w:rsidR="00D3330E">
        <w:rPr>
          <w:rFonts w:ascii="Times New Roman" w:hAnsi="Times New Roman" w:cs="Times New Roman"/>
          <w:sz w:val="24"/>
          <w:szCs w:val="24"/>
          <w:lang w:val="en-US"/>
        </w:rPr>
        <w:t>:</w:t>
      </w:r>
    </w:p>
    <w:p w14:paraId="5FE3981C" w14:textId="380BD0BF" w:rsidR="00D3330E" w:rsidRPr="00B35719" w:rsidRDefault="00D3330E" w:rsidP="00B35719">
      <w:pPr>
        <w:spacing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 xml:space="preserve">“_ _ </w:t>
      </w:r>
      <w:proofErr w:type="gramStart"/>
      <w:r w:rsidRPr="00B35719">
        <w:rPr>
          <w:rFonts w:ascii="Times New Roman" w:hAnsi="Times New Roman" w:cs="Times New Roman"/>
          <w:szCs w:val="24"/>
          <w:lang w:val="en-US"/>
        </w:rPr>
        <w:t>It</w:t>
      </w:r>
      <w:proofErr w:type="gramEnd"/>
      <w:r w:rsidRPr="00B35719">
        <w:rPr>
          <w:rFonts w:ascii="Times New Roman" w:hAnsi="Times New Roman" w:cs="Times New Roman"/>
          <w:szCs w:val="24"/>
          <w:lang w:val="en-US"/>
        </w:rPr>
        <w:t xml:space="preserve"> is clear from the pleadings that the plaintiff’s claim is for a declaratory order premised on the fact that the general power of attorney used in selling his house was forged and therefore a nullity. In s 2 of the Act a debt is defined as follows:</w:t>
      </w:r>
    </w:p>
    <w:p w14:paraId="3853F598" w14:textId="6CA54CC4" w:rsidR="00D3330E" w:rsidRPr="00B35719" w:rsidRDefault="00D3330E" w:rsidP="00B35719">
      <w:pPr>
        <w:spacing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w:t>
      </w:r>
      <w:proofErr w:type="gramStart"/>
      <w:r w:rsidRPr="00B35719">
        <w:rPr>
          <w:rFonts w:ascii="Times New Roman" w:hAnsi="Times New Roman" w:cs="Times New Roman"/>
          <w:szCs w:val="24"/>
          <w:lang w:val="en-US"/>
        </w:rPr>
        <w:t>debt</w:t>
      </w:r>
      <w:proofErr w:type="gramEnd"/>
      <w:r w:rsidRPr="00B35719">
        <w:rPr>
          <w:rFonts w:ascii="Times New Roman" w:hAnsi="Times New Roman" w:cs="Times New Roman"/>
          <w:szCs w:val="24"/>
          <w:lang w:val="en-US"/>
        </w:rPr>
        <w:t xml:space="preserve"> without limiting the meaning of the term, includes anything which may be sued for or claimed by reason of an obligation arising from statute</w:t>
      </w:r>
      <w:r w:rsidR="00B35719" w:rsidRPr="00B35719">
        <w:rPr>
          <w:rFonts w:ascii="Times New Roman" w:hAnsi="Times New Roman" w:cs="Times New Roman"/>
          <w:szCs w:val="24"/>
          <w:lang w:val="en-US"/>
        </w:rPr>
        <w:t xml:space="preserve"> contract, delict or otherwise;</w:t>
      </w:r>
    </w:p>
    <w:p w14:paraId="1CB1C142" w14:textId="56908249" w:rsidR="00D3330E" w:rsidRPr="00B35719" w:rsidRDefault="00D3330E" w:rsidP="00B35719">
      <w:pPr>
        <w:spacing w:line="240" w:lineRule="auto"/>
        <w:ind w:left="720"/>
        <w:jc w:val="both"/>
        <w:rPr>
          <w:rFonts w:ascii="Times New Roman" w:hAnsi="Times New Roman" w:cs="Times New Roman"/>
          <w:szCs w:val="24"/>
          <w:lang w:val="en-US"/>
        </w:rPr>
      </w:pPr>
      <w:r w:rsidRPr="00B35719">
        <w:rPr>
          <w:rFonts w:ascii="Times New Roman" w:hAnsi="Times New Roman" w:cs="Times New Roman"/>
          <w:szCs w:val="24"/>
          <w:lang w:val="en-US"/>
        </w:rPr>
        <w:t>The point</w:t>
      </w:r>
      <w:r w:rsidR="00B54DF6">
        <w:rPr>
          <w:rFonts w:ascii="Times New Roman" w:hAnsi="Times New Roman" w:cs="Times New Roman"/>
          <w:szCs w:val="24"/>
          <w:lang w:val="en-US"/>
        </w:rPr>
        <w:t xml:space="preserve"> worth not</w:t>
      </w:r>
      <w:r w:rsidRPr="00B35719">
        <w:rPr>
          <w:rFonts w:ascii="Times New Roman" w:hAnsi="Times New Roman" w:cs="Times New Roman"/>
          <w:szCs w:val="24"/>
          <w:lang w:val="en-US"/>
        </w:rPr>
        <w:t>ing in this definition of “debt” is that the suit or claim must be by reason of obligation on the part of the debtor arising from one of the stated basis. In my view a declaratory order is a remedy to secure the public interest of certainty or correct legal position.</w:t>
      </w:r>
      <w:r w:rsidR="00B54DF6">
        <w:rPr>
          <w:rFonts w:ascii="Times New Roman" w:hAnsi="Times New Roman" w:cs="Times New Roman"/>
          <w:szCs w:val="24"/>
          <w:lang w:val="en-US"/>
        </w:rPr>
        <w:t xml:space="preserve"> Such a remedy cannot prescribe</w:t>
      </w:r>
      <w:r w:rsidRPr="00B35719">
        <w:rPr>
          <w:rFonts w:ascii="Times New Roman" w:hAnsi="Times New Roman" w:cs="Times New Roman"/>
          <w:szCs w:val="24"/>
          <w:lang w:val="en-US"/>
        </w:rPr>
        <w:t xml:space="preserve"> </w:t>
      </w:r>
      <w:proofErr w:type="spellStart"/>
      <w:r w:rsidRPr="00B35719">
        <w:rPr>
          <w:rFonts w:ascii="Times New Roman" w:hAnsi="Times New Roman" w:cs="Times New Roman"/>
          <w:i/>
          <w:szCs w:val="24"/>
          <w:lang w:val="en-US"/>
        </w:rPr>
        <w:t>Oerfel</w:t>
      </w:r>
      <w:proofErr w:type="spellEnd"/>
      <w:r w:rsidRPr="00B35719">
        <w:rPr>
          <w:rFonts w:ascii="Times New Roman" w:hAnsi="Times New Roman" w:cs="Times New Roman"/>
          <w:i/>
          <w:szCs w:val="24"/>
          <w:lang w:val="en-US"/>
        </w:rPr>
        <w:t xml:space="preserve"> and Others NNO</w:t>
      </w:r>
      <w:r w:rsidRPr="00B35719">
        <w:rPr>
          <w:rFonts w:ascii="Times New Roman" w:hAnsi="Times New Roman" w:cs="Times New Roman"/>
          <w:szCs w:val="24"/>
          <w:lang w:val="en-US"/>
        </w:rPr>
        <w:t xml:space="preserve"> v </w:t>
      </w:r>
      <w:r w:rsidRPr="00B35719">
        <w:rPr>
          <w:rFonts w:ascii="Times New Roman" w:hAnsi="Times New Roman" w:cs="Times New Roman"/>
          <w:i/>
          <w:szCs w:val="24"/>
          <w:lang w:val="en-US"/>
        </w:rPr>
        <w:t>Director of Local Government</w:t>
      </w:r>
      <w:r w:rsidRPr="00B35719">
        <w:rPr>
          <w:rFonts w:ascii="Times New Roman" w:hAnsi="Times New Roman" w:cs="Times New Roman"/>
          <w:szCs w:val="24"/>
          <w:lang w:val="en-US"/>
        </w:rPr>
        <w:t xml:space="preserve"> 1981 (2) SA 477 (E) at 492.”</w:t>
      </w:r>
    </w:p>
    <w:p w14:paraId="78D94D55" w14:textId="2B01FFE0" w:rsidR="00D3330E" w:rsidRDefault="00B35719" w:rsidP="001E554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3330E">
        <w:rPr>
          <w:rFonts w:ascii="Times New Roman" w:hAnsi="Times New Roman" w:cs="Times New Roman"/>
          <w:sz w:val="24"/>
          <w:szCs w:val="24"/>
          <w:lang w:val="en-US"/>
        </w:rPr>
        <w:t>In view of the parties</w:t>
      </w:r>
      <w:r w:rsidR="00B54DF6">
        <w:rPr>
          <w:rFonts w:ascii="Times New Roman" w:hAnsi="Times New Roman" w:cs="Times New Roman"/>
          <w:sz w:val="24"/>
          <w:szCs w:val="24"/>
          <w:lang w:val="en-US"/>
        </w:rPr>
        <w:t>’</w:t>
      </w:r>
      <w:r w:rsidR="00D3330E">
        <w:rPr>
          <w:rFonts w:ascii="Times New Roman" w:hAnsi="Times New Roman" w:cs="Times New Roman"/>
          <w:sz w:val="24"/>
          <w:szCs w:val="24"/>
          <w:lang w:val="en-US"/>
        </w:rPr>
        <w:t xml:space="preserve"> opposed positions on the issue of whether a </w:t>
      </w:r>
      <w:proofErr w:type="spellStart"/>
      <w:r w:rsidR="00D3330E">
        <w:rPr>
          <w:rFonts w:ascii="Times New Roman" w:hAnsi="Times New Roman" w:cs="Times New Roman"/>
          <w:sz w:val="24"/>
          <w:szCs w:val="24"/>
          <w:lang w:val="en-US"/>
        </w:rPr>
        <w:t>declaratur</w:t>
      </w:r>
      <w:proofErr w:type="spellEnd"/>
      <w:r w:rsidR="00D3330E">
        <w:rPr>
          <w:rFonts w:ascii="Times New Roman" w:hAnsi="Times New Roman" w:cs="Times New Roman"/>
          <w:sz w:val="24"/>
          <w:szCs w:val="24"/>
          <w:lang w:val="en-US"/>
        </w:rPr>
        <w:t xml:space="preserve"> as envisaged in s 14 of the High Court Act, prescribes, the court invited counsel to consider the </w:t>
      </w:r>
      <w:r w:rsidR="00D3330E" w:rsidRPr="00B35719">
        <w:rPr>
          <w:rFonts w:ascii="Times New Roman" w:hAnsi="Times New Roman" w:cs="Times New Roman"/>
          <w:i/>
          <w:sz w:val="24"/>
          <w:szCs w:val="24"/>
          <w:lang w:val="en-US"/>
        </w:rPr>
        <w:t xml:space="preserve">dicta </w:t>
      </w:r>
      <w:r w:rsidR="00D3330E">
        <w:rPr>
          <w:rFonts w:ascii="Times New Roman" w:hAnsi="Times New Roman" w:cs="Times New Roman"/>
          <w:sz w:val="24"/>
          <w:szCs w:val="24"/>
          <w:lang w:val="en-US"/>
        </w:rPr>
        <w:t xml:space="preserve">in the cause of </w:t>
      </w:r>
      <w:r w:rsidR="00D3330E" w:rsidRPr="00B35719">
        <w:rPr>
          <w:rFonts w:ascii="Times New Roman" w:hAnsi="Times New Roman" w:cs="Times New Roman"/>
          <w:i/>
          <w:sz w:val="24"/>
          <w:szCs w:val="24"/>
          <w:lang w:val="en-US"/>
        </w:rPr>
        <w:t xml:space="preserve">John </w:t>
      </w:r>
      <w:proofErr w:type="spellStart"/>
      <w:r w:rsidR="00D3330E" w:rsidRPr="00B35719">
        <w:rPr>
          <w:rFonts w:ascii="Times New Roman" w:hAnsi="Times New Roman" w:cs="Times New Roman"/>
          <w:i/>
          <w:sz w:val="24"/>
          <w:szCs w:val="24"/>
          <w:lang w:val="en-US"/>
        </w:rPr>
        <w:t>Conradie</w:t>
      </w:r>
      <w:proofErr w:type="spellEnd"/>
      <w:r w:rsidR="00D3330E" w:rsidRPr="00B35719">
        <w:rPr>
          <w:rFonts w:ascii="Times New Roman" w:hAnsi="Times New Roman" w:cs="Times New Roman"/>
          <w:i/>
          <w:sz w:val="24"/>
          <w:szCs w:val="24"/>
          <w:lang w:val="en-US"/>
        </w:rPr>
        <w:t xml:space="preserve"> Trust</w:t>
      </w:r>
      <w:r w:rsidR="00D3330E">
        <w:rPr>
          <w:rFonts w:ascii="Times New Roman" w:hAnsi="Times New Roman" w:cs="Times New Roman"/>
          <w:sz w:val="24"/>
          <w:szCs w:val="24"/>
          <w:lang w:val="en-US"/>
        </w:rPr>
        <w:t xml:space="preserve"> v </w:t>
      </w:r>
      <w:r w:rsidR="00D3330E" w:rsidRPr="00B35719">
        <w:rPr>
          <w:rFonts w:ascii="Times New Roman" w:hAnsi="Times New Roman" w:cs="Times New Roman"/>
          <w:i/>
          <w:sz w:val="24"/>
          <w:szCs w:val="24"/>
          <w:lang w:val="en-US"/>
        </w:rPr>
        <w:t xml:space="preserve">The Education of </w:t>
      </w:r>
      <w:proofErr w:type="spellStart"/>
      <w:r w:rsidR="00D3330E" w:rsidRPr="00B35719">
        <w:rPr>
          <w:rFonts w:ascii="Times New Roman" w:hAnsi="Times New Roman" w:cs="Times New Roman"/>
          <w:i/>
          <w:sz w:val="24"/>
          <w:szCs w:val="24"/>
          <w:lang w:val="en-US"/>
        </w:rPr>
        <w:t>Kushanda</w:t>
      </w:r>
      <w:proofErr w:type="spellEnd"/>
      <w:r w:rsidR="00D3330E" w:rsidRPr="00B35719">
        <w:rPr>
          <w:rFonts w:ascii="Times New Roman" w:hAnsi="Times New Roman" w:cs="Times New Roman"/>
          <w:i/>
          <w:sz w:val="24"/>
          <w:szCs w:val="24"/>
          <w:lang w:val="en-US"/>
        </w:rPr>
        <w:t xml:space="preserve"> Pre – School Trust &amp; 3 </w:t>
      </w:r>
      <w:proofErr w:type="spellStart"/>
      <w:r w:rsidR="00D3330E" w:rsidRPr="00B35719">
        <w:rPr>
          <w:rFonts w:ascii="Times New Roman" w:hAnsi="Times New Roman" w:cs="Times New Roman"/>
          <w:i/>
          <w:sz w:val="24"/>
          <w:szCs w:val="24"/>
          <w:lang w:val="en-US"/>
        </w:rPr>
        <w:t>Ors</w:t>
      </w:r>
      <w:proofErr w:type="spellEnd"/>
      <w:r w:rsidR="00D3330E">
        <w:rPr>
          <w:rFonts w:ascii="Times New Roman" w:hAnsi="Times New Roman" w:cs="Times New Roman"/>
          <w:sz w:val="24"/>
          <w:szCs w:val="24"/>
          <w:lang w:val="en-US"/>
        </w:rPr>
        <w:t xml:space="preserve"> SC 12/17 wherein </w:t>
      </w:r>
      <w:proofErr w:type="spellStart"/>
      <w:r w:rsidR="00D3330E" w:rsidRPr="00B35719">
        <w:rPr>
          <w:rFonts w:ascii="Times New Roman" w:hAnsi="Times New Roman" w:cs="Times New Roman"/>
          <w:smallCaps/>
          <w:sz w:val="24"/>
          <w:szCs w:val="24"/>
          <w:lang w:val="en-US"/>
        </w:rPr>
        <w:t>Bhunu</w:t>
      </w:r>
      <w:proofErr w:type="spellEnd"/>
      <w:r w:rsidR="00D3330E" w:rsidRPr="00B35719">
        <w:rPr>
          <w:rFonts w:ascii="Times New Roman" w:hAnsi="Times New Roman" w:cs="Times New Roman"/>
          <w:smallCaps/>
          <w:sz w:val="24"/>
          <w:szCs w:val="24"/>
          <w:lang w:val="en-US"/>
        </w:rPr>
        <w:t xml:space="preserve"> JA</w:t>
      </w:r>
      <w:r w:rsidR="00D3330E">
        <w:rPr>
          <w:rFonts w:ascii="Times New Roman" w:hAnsi="Times New Roman" w:cs="Times New Roman"/>
          <w:sz w:val="24"/>
          <w:szCs w:val="24"/>
          <w:lang w:val="en-US"/>
        </w:rPr>
        <w:t xml:space="preserve"> had this to say on prescription on page 5 – 6 of the cyclostyled judgment. The case concerned an application for condonation of late noting of appeal and extension of time of appeal against a judgment of the High Court in which that court dismissed the applicant’s claim to vindicate a property on the basis that the claim had prescribed;</w:t>
      </w:r>
    </w:p>
    <w:p w14:paraId="6CAF0512" w14:textId="77777777" w:rsidR="001E5546" w:rsidRDefault="00D3330E" w:rsidP="001E5546">
      <w:pPr>
        <w:spacing w:line="240" w:lineRule="auto"/>
        <w:ind w:left="720"/>
        <w:jc w:val="both"/>
        <w:rPr>
          <w:rFonts w:ascii="Times New Roman" w:hAnsi="Times New Roman" w:cs="Times New Roman"/>
          <w:szCs w:val="24"/>
          <w:lang w:val="en-US"/>
        </w:rPr>
      </w:pPr>
      <w:r w:rsidRPr="001E5546">
        <w:rPr>
          <w:rFonts w:ascii="Times New Roman" w:hAnsi="Times New Roman" w:cs="Times New Roman"/>
          <w:szCs w:val="24"/>
          <w:lang w:val="en-US"/>
        </w:rPr>
        <w:t xml:space="preserve">“The phrase anything which may be sued for </w:t>
      </w:r>
      <w:r w:rsidR="00E4451A" w:rsidRPr="001E5546">
        <w:rPr>
          <w:rFonts w:ascii="Times New Roman" w:hAnsi="Times New Roman" w:cs="Times New Roman"/>
          <w:szCs w:val="24"/>
          <w:lang w:val="en-US"/>
        </w:rPr>
        <w:t xml:space="preserve">gives the term debt a very wide meaning synonymous with cause of action as observed by </w:t>
      </w:r>
      <w:r w:rsidR="00E4451A" w:rsidRPr="001E5546">
        <w:rPr>
          <w:rFonts w:ascii="Times New Roman" w:hAnsi="Times New Roman" w:cs="Times New Roman"/>
          <w:smallCaps/>
          <w:szCs w:val="24"/>
          <w:lang w:val="en-US"/>
        </w:rPr>
        <w:t>Greenland J</w:t>
      </w:r>
      <w:r w:rsidR="00E4451A" w:rsidRPr="001E5546">
        <w:rPr>
          <w:rFonts w:ascii="Times New Roman" w:hAnsi="Times New Roman" w:cs="Times New Roman"/>
          <w:szCs w:val="24"/>
          <w:lang w:val="en-US"/>
        </w:rPr>
        <w:t xml:space="preserve"> in </w:t>
      </w:r>
      <w:r w:rsidR="00E4451A" w:rsidRPr="001E5546">
        <w:rPr>
          <w:rFonts w:ascii="Times New Roman" w:hAnsi="Times New Roman" w:cs="Times New Roman"/>
          <w:i/>
          <w:szCs w:val="24"/>
          <w:lang w:val="en-US"/>
        </w:rPr>
        <w:t>Denton</w:t>
      </w:r>
      <w:r w:rsidR="00E4451A" w:rsidRPr="001E5546">
        <w:rPr>
          <w:rFonts w:ascii="Times New Roman" w:hAnsi="Times New Roman" w:cs="Times New Roman"/>
          <w:szCs w:val="24"/>
          <w:lang w:val="en-US"/>
        </w:rPr>
        <w:t xml:space="preserve"> v </w:t>
      </w:r>
      <w:r w:rsidR="00E4451A" w:rsidRPr="001E5546">
        <w:rPr>
          <w:rFonts w:ascii="Times New Roman" w:hAnsi="Times New Roman" w:cs="Times New Roman"/>
          <w:i/>
          <w:szCs w:val="24"/>
          <w:lang w:val="en-US"/>
        </w:rPr>
        <w:t>Director of Customs &amp; Excise</w:t>
      </w:r>
      <w:r w:rsidR="00E4451A" w:rsidRPr="001E5546">
        <w:rPr>
          <w:rFonts w:ascii="Times New Roman" w:hAnsi="Times New Roman" w:cs="Times New Roman"/>
          <w:szCs w:val="24"/>
          <w:lang w:val="en-US"/>
        </w:rPr>
        <w:t xml:space="preserve"> 1989 (3) ZLR 41 at 48. In that case the learned judge had occasion to remark that:-</w:t>
      </w:r>
    </w:p>
    <w:p w14:paraId="464E0042" w14:textId="11628325" w:rsidR="00E4451A" w:rsidRPr="001E5546" w:rsidRDefault="00E4451A" w:rsidP="001E5546">
      <w:pPr>
        <w:spacing w:line="240" w:lineRule="auto"/>
        <w:ind w:left="720"/>
        <w:jc w:val="both"/>
        <w:rPr>
          <w:rFonts w:ascii="Times New Roman" w:hAnsi="Times New Roman" w:cs="Times New Roman"/>
          <w:szCs w:val="24"/>
          <w:lang w:val="en-US"/>
        </w:rPr>
      </w:pPr>
      <w:r w:rsidRPr="001E5546">
        <w:rPr>
          <w:rFonts w:ascii="Times New Roman" w:hAnsi="Times New Roman" w:cs="Times New Roman"/>
          <w:szCs w:val="24"/>
          <w:lang w:val="en-US"/>
        </w:rPr>
        <w:t xml:space="preserve"> “Note that the word ‘debt’ used in this Act (Prescription Act) and the words “cause thereof” used in s 178(4) of the Customs and Excise Act </w:t>
      </w:r>
      <w:proofErr w:type="gramStart"/>
      <w:r w:rsidRPr="001E5546">
        <w:rPr>
          <w:rFonts w:ascii="Times New Roman" w:hAnsi="Times New Roman" w:cs="Times New Roman"/>
          <w:szCs w:val="24"/>
          <w:lang w:val="en-US"/>
        </w:rPr>
        <w:t>mean</w:t>
      </w:r>
      <w:proofErr w:type="gramEnd"/>
      <w:r w:rsidRPr="001E5546">
        <w:rPr>
          <w:rFonts w:ascii="Times New Roman" w:hAnsi="Times New Roman" w:cs="Times New Roman"/>
          <w:szCs w:val="24"/>
          <w:lang w:val="en-US"/>
        </w:rPr>
        <w:t xml:space="preserve"> the same thing. This is because of the wide meaning of ‘debt’ as set out in the former”</w:t>
      </w:r>
    </w:p>
    <w:p w14:paraId="3ECC61BE" w14:textId="15C06DCC" w:rsidR="00E4451A" w:rsidRPr="001E5546" w:rsidRDefault="00E4451A" w:rsidP="001E5546">
      <w:pPr>
        <w:spacing w:line="240" w:lineRule="auto"/>
        <w:ind w:left="720"/>
        <w:jc w:val="both"/>
        <w:rPr>
          <w:rFonts w:ascii="Times New Roman" w:hAnsi="Times New Roman" w:cs="Times New Roman"/>
          <w:szCs w:val="24"/>
          <w:lang w:val="en-US"/>
        </w:rPr>
      </w:pPr>
      <w:r w:rsidRPr="001E5546">
        <w:rPr>
          <w:rFonts w:ascii="Times New Roman" w:hAnsi="Times New Roman" w:cs="Times New Roman"/>
          <w:szCs w:val="24"/>
          <w:lang w:val="en-US"/>
        </w:rPr>
        <w:t xml:space="preserve">Since the applicant is suing the third respondent for vindication, its suit falls squarely within the ambit of anything which may be sued for. What this means is that a claim for vindication </w:t>
      </w:r>
      <w:r w:rsidRPr="001E5546">
        <w:rPr>
          <w:rFonts w:ascii="Times New Roman" w:hAnsi="Times New Roman" w:cs="Times New Roman"/>
          <w:szCs w:val="24"/>
          <w:lang w:val="en-US"/>
        </w:rPr>
        <w:lastRenderedPageBreak/>
        <w:t>of property amounts to a claim for a debt in terms of the Prescription Act. It therefore follows as a matter of common sense that the applicant’s suit being a claim for vindication in legal parlance is a debt which is subject to prescription in terms of the Act.</w:t>
      </w:r>
    </w:p>
    <w:p w14:paraId="1240D5AC" w14:textId="20167D1F" w:rsidR="00E4451A" w:rsidRPr="001E5546" w:rsidRDefault="00E4451A" w:rsidP="001E5546">
      <w:pPr>
        <w:spacing w:line="240" w:lineRule="auto"/>
        <w:ind w:left="720"/>
        <w:jc w:val="both"/>
        <w:rPr>
          <w:rFonts w:ascii="Times New Roman" w:hAnsi="Times New Roman" w:cs="Times New Roman"/>
          <w:szCs w:val="24"/>
          <w:lang w:val="en-US"/>
        </w:rPr>
      </w:pPr>
      <w:r w:rsidRPr="001E5546">
        <w:rPr>
          <w:rFonts w:ascii="Times New Roman" w:hAnsi="Times New Roman" w:cs="Times New Roman"/>
          <w:szCs w:val="24"/>
          <w:lang w:val="en-US"/>
        </w:rPr>
        <w:t>Once prescription has run its course it deprives the aggrieved party of the remedy or relief</w:t>
      </w:r>
      <w:r w:rsidR="004F1399" w:rsidRPr="001E5546">
        <w:rPr>
          <w:rFonts w:ascii="Times New Roman" w:hAnsi="Times New Roman" w:cs="Times New Roman"/>
          <w:szCs w:val="24"/>
          <w:lang w:val="en-US"/>
        </w:rPr>
        <w:t xml:space="preserve"> </w:t>
      </w:r>
      <w:r w:rsidRPr="001E5546">
        <w:rPr>
          <w:rFonts w:ascii="Times New Roman" w:hAnsi="Times New Roman" w:cs="Times New Roman"/>
          <w:szCs w:val="24"/>
          <w:lang w:val="en-US"/>
        </w:rPr>
        <w:t>sought regardless of whether or not one has a valid claim on the merits. Thus an owner forfeits his right to vindicate his property once prescription</w:t>
      </w:r>
      <w:r w:rsidR="00D631E9" w:rsidRPr="001E5546">
        <w:rPr>
          <w:rFonts w:ascii="Times New Roman" w:hAnsi="Times New Roman" w:cs="Times New Roman"/>
          <w:szCs w:val="24"/>
          <w:lang w:val="en-US"/>
        </w:rPr>
        <w:t xml:space="preserve"> has run its full course as happened in this case. The nature of the </w:t>
      </w:r>
      <w:proofErr w:type="spellStart"/>
      <w:r w:rsidR="00D631E9" w:rsidRPr="001E5546">
        <w:rPr>
          <w:rFonts w:ascii="Times New Roman" w:hAnsi="Times New Roman" w:cs="Times New Roman"/>
          <w:szCs w:val="24"/>
          <w:lang w:val="en-US"/>
        </w:rPr>
        <w:t>defence</w:t>
      </w:r>
      <w:proofErr w:type="spellEnd"/>
      <w:r w:rsidR="00D631E9" w:rsidRPr="001E5546">
        <w:rPr>
          <w:rFonts w:ascii="Times New Roman" w:hAnsi="Times New Roman" w:cs="Times New Roman"/>
          <w:szCs w:val="24"/>
          <w:lang w:val="en-US"/>
        </w:rPr>
        <w:t xml:space="preserve"> is that it even allows a litigant at fault to keep his ill-gotten gains.” (</w:t>
      </w:r>
      <w:proofErr w:type="gramStart"/>
      <w:r w:rsidR="00D631E9" w:rsidRPr="001E5546">
        <w:rPr>
          <w:rFonts w:ascii="Times New Roman" w:hAnsi="Times New Roman" w:cs="Times New Roman"/>
          <w:szCs w:val="24"/>
          <w:lang w:val="en-US"/>
        </w:rPr>
        <w:t>own</w:t>
      </w:r>
      <w:proofErr w:type="gramEnd"/>
      <w:r w:rsidR="00D631E9" w:rsidRPr="001E5546">
        <w:rPr>
          <w:rFonts w:ascii="Times New Roman" w:hAnsi="Times New Roman" w:cs="Times New Roman"/>
          <w:szCs w:val="24"/>
          <w:lang w:val="en-US"/>
        </w:rPr>
        <w:t xml:space="preserve"> emphasis)</w:t>
      </w:r>
    </w:p>
    <w:p w14:paraId="19CAC6FC" w14:textId="60502565" w:rsidR="00D631E9" w:rsidRDefault="00D631E9"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respondent’s counsel contended that the remedy of a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as sought in this case fell within the ambit of the </w:t>
      </w:r>
      <w:r w:rsidRPr="00B35719">
        <w:rPr>
          <w:rFonts w:ascii="Times New Roman" w:hAnsi="Times New Roman" w:cs="Times New Roman"/>
          <w:i/>
          <w:sz w:val="24"/>
          <w:szCs w:val="24"/>
          <w:lang w:val="en-US"/>
        </w:rPr>
        <w:t>dicta</w:t>
      </w:r>
      <w:r>
        <w:rPr>
          <w:rFonts w:ascii="Times New Roman" w:hAnsi="Times New Roman" w:cs="Times New Roman"/>
          <w:sz w:val="24"/>
          <w:szCs w:val="24"/>
          <w:lang w:val="en-US"/>
        </w:rPr>
        <w:t xml:space="preserve"> in the </w:t>
      </w:r>
      <w:proofErr w:type="spellStart"/>
      <w:r>
        <w:rPr>
          <w:rFonts w:ascii="Times New Roman" w:hAnsi="Times New Roman" w:cs="Times New Roman"/>
          <w:sz w:val="24"/>
          <w:szCs w:val="24"/>
          <w:lang w:val="en-US"/>
        </w:rPr>
        <w:t>Conradie</w:t>
      </w:r>
      <w:proofErr w:type="spellEnd"/>
      <w:r>
        <w:rPr>
          <w:rFonts w:ascii="Times New Roman" w:hAnsi="Times New Roman" w:cs="Times New Roman"/>
          <w:sz w:val="24"/>
          <w:szCs w:val="24"/>
          <w:lang w:val="en-US"/>
        </w:rPr>
        <w:t xml:space="preserve"> case as quoted. Counsel submitted that the applicant ought to have indicated his rights within three years from 2011.</w:t>
      </w:r>
    </w:p>
    <w:p w14:paraId="40A04A53" w14:textId="29F31FDC" w:rsidR="00D631E9" w:rsidRDefault="00D631E9"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applicant’s counsel countered that a distinction should be drawn between vindicatory relief and a declaratory order. It was submitted that a vindicatory order related to ownership claims whilst a declaration sets out a correct legal position in relation to disputed rights.</w:t>
      </w:r>
    </w:p>
    <w:p w14:paraId="25AE4754" w14:textId="53860CED" w:rsidR="00D631E9" w:rsidRDefault="00D631E9" w:rsidP="001E554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 reading of s 14 of the High Court gives an insight into the purpose of a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as envisaged there. It reads:</w:t>
      </w:r>
    </w:p>
    <w:p w14:paraId="58AAC3FA" w14:textId="69752982" w:rsidR="00D631E9" w:rsidRPr="001E5546" w:rsidRDefault="00D631E9" w:rsidP="001E5546">
      <w:pPr>
        <w:spacing w:line="240" w:lineRule="auto"/>
        <w:ind w:left="720"/>
        <w:jc w:val="both"/>
        <w:rPr>
          <w:rFonts w:ascii="Times New Roman" w:hAnsi="Times New Roman" w:cs="Times New Roman"/>
          <w:szCs w:val="24"/>
          <w:lang w:val="en-US"/>
        </w:rPr>
      </w:pPr>
      <w:r w:rsidRPr="001E5546">
        <w:rPr>
          <w:rFonts w:ascii="Times New Roman" w:hAnsi="Times New Roman" w:cs="Times New Roman"/>
          <w:szCs w:val="24"/>
          <w:lang w:val="en-US"/>
        </w:rPr>
        <w:t>“The High Court may in its discretion at the instance of any interested person enquire into and determine any existing, future or contingent right or obligation, notwithstanding that such person cannot claim any relief consequential upon such determination.”</w:t>
      </w:r>
    </w:p>
    <w:p w14:paraId="4EC65317" w14:textId="50ECC591" w:rsidR="00D631E9" w:rsidRDefault="00D631E9"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my view prescription as a </w:t>
      </w:r>
      <w:proofErr w:type="spellStart"/>
      <w:r>
        <w:rPr>
          <w:rFonts w:ascii="Times New Roman" w:hAnsi="Times New Roman" w:cs="Times New Roman"/>
          <w:sz w:val="24"/>
          <w:szCs w:val="24"/>
          <w:lang w:val="en-US"/>
        </w:rPr>
        <w:t>defence</w:t>
      </w:r>
      <w:proofErr w:type="spellEnd"/>
      <w:r>
        <w:rPr>
          <w:rFonts w:ascii="Times New Roman" w:hAnsi="Times New Roman" w:cs="Times New Roman"/>
          <w:sz w:val="24"/>
          <w:szCs w:val="24"/>
          <w:lang w:val="en-US"/>
        </w:rPr>
        <w:t xml:space="preserve"> cannot b</w:t>
      </w:r>
      <w:r w:rsidR="001B01D3">
        <w:rPr>
          <w:rFonts w:ascii="Times New Roman" w:hAnsi="Times New Roman" w:cs="Times New Roman"/>
          <w:sz w:val="24"/>
          <w:szCs w:val="24"/>
          <w:lang w:val="en-US"/>
        </w:rPr>
        <w:t xml:space="preserve">ar the court from enquiring upon a correct legal position or status upon a given set of facts. Whether or not consequential relief is available is a related but distinct enquiry. It is the issue of consequential relief which is subject to prescription. The consequential relief is the one which involves the determination enforcement of rights and obligations. For example the court can issue a </w:t>
      </w:r>
      <w:proofErr w:type="spellStart"/>
      <w:r w:rsidR="001B01D3">
        <w:rPr>
          <w:rFonts w:ascii="Times New Roman" w:hAnsi="Times New Roman" w:cs="Times New Roman"/>
          <w:sz w:val="24"/>
          <w:szCs w:val="24"/>
          <w:lang w:val="en-US"/>
        </w:rPr>
        <w:t>declaratur</w:t>
      </w:r>
      <w:proofErr w:type="spellEnd"/>
      <w:r w:rsidR="001B01D3">
        <w:rPr>
          <w:rFonts w:ascii="Times New Roman" w:hAnsi="Times New Roman" w:cs="Times New Roman"/>
          <w:sz w:val="24"/>
          <w:szCs w:val="24"/>
          <w:lang w:val="en-US"/>
        </w:rPr>
        <w:t xml:space="preserve"> that a sale agreement is fraudulent but despite such declaration the party who has sought the declaration may still fail to then be granted a vindicatory order of the basis of prescription where the occupier of the premises successfully pleads prescription. Thus</w:t>
      </w:r>
      <w:r w:rsidR="00B54DF6">
        <w:rPr>
          <w:rFonts w:ascii="Times New Roman" w:hAnsi="Times New Roman" w:cs="Times New Roman"/>
          <w:sz w:val="24"/>
          <w:szCs w:val="24"/>
          <w:lang w:val="en-US"/>
        </w:rPr>
        <w:t>,</w:t>
      </w:r>
      <w:r w:rsidR="001B01D3">
        <w:rPr>
          <w:rFonts w:ascii="Times New Roman" w:hAnsi="Times New Roman" w:cs="Times New Roman"/>
          <w:sz w:val="24"/>
          <w:szCs w:val="24"/>
          <w:lang w:val="en-US"/>
        </w:rPr>
        <w:t xml:space="preserve"> whilst as noted in the </w:t>
      </w:r>
      <w:proofErr w:type="spellStart"/>
      <w:r w:rsidR="001B01D3">
        <w:rPr>
          <w:rFonts w:ascii="Times New Roman" w:hAnsi="Times New Roman" w:cs="Times New Roman"/>
          <w:sz w:val="24"/>
          <w:szCs w:val="24"/>
          <w:lang w:val="en-US"/>
        </w:rPr>
        <w:t>Conradie</w:t>
      </w:r>
      <w:proofErr w:type="spellEnd"/>
      <w:r w:rsidR="001B01D3">
        <w:rPr>
          <w:rFonts w:ascii="Times New Roman" w:hAnsi="Times New Roman" w:cs="Times New Roman"/>
          <w:sz w:val="24"/>
          <w:szCs w:val="24"/>
          <w:lang w:val="en-US"/>
        </w:rPr>
        <w:t xml:space="preserve"> case that the </w:t>
      </w:r>
      <w:proofErr w:type="spellStart"/>
      <w:r w:rsidR="001B01D3">
        <w:rPr>
          <w:rFonts w:ascii="Times New Roman" w:hAnsi="Times New Roman" w:cs="Times New Roman"/>
          <w:sz w:val="24"/>
          <w:szCs w:val="24"/>
          <w:lang w:val="en-US"/>
        </w:rPr>
        <w:t>defence</w:t>
      </w:r>
      <w:proofErr w:type="spellEnd"/>
      <w:r w:rsidR="001B01D3">
        <w:rPr>
          <w:rFonts w:ascii="Times New Roman" w:hAnsi="Times New Roman" w:cs="Times New Roman"/>
          <w:sz w:val="24"/>
          <w:szCs w:val="24"/>
          <w:lang w:val="en-US"/>
        </w:rPr>
        <w:t xml:space="preserve"> allows a litigant at fault to k</w:t>
      </w:r>
      <w:r w:rsidR="00B54DF6">
        <w:rPr>
          <w:rFonts w:ascii="Times New Roman" w:hAnsi="Times New Roman" w:cs="Times New Roman"/>
          <w:sz w:val="24"/>
          <w:szCs w:val="24"/>
          <w:lang w:val="en-US"/>
        </w:rPr>
        <w:t>eep ill-gotten gains is arguably</w:t>
      </w:r>
      <w:r w:rsidR="001B01D3">
        <w:rPr>
          <w:rFonts w:ascii="Times New Roman" w:hAnsi="Times New Roman" w:cs="Times New Roman"/>
          <w:sz w:val="24"/>
          <w:szCs w:val="24"/>
          <w:lang w:val="en-US"/>
        </w:rPr>
        <w:t xml:space="preserve"> correct</w:t>
      </w:r>
      <w:r w:rsidR="00B54DF6">
        <w:rPr>
          <w:rFonts w:ascii="Times New Roman" w:hAnsi="Times New Roman" w:cs="Times New Roman"/>
          <w:sz w:val="24"/>
          <w:szCs w:val="24"/>
          <w:lang w:val="en-US"/>
        </w:rPr>
        <w:t>,</w:t>
      </w:r>
      <w:r w:rsidR="001B01D3">
        <w:rPr>
          <w:rFonts w:ascii="Times New Roman" w:hAnsi="Times New Roman" w:cs="Times New Roman"/>
          <w:sz w:val="24"/>
          <w:szCs w:val="24"/>
          <w:lang w:val="en-US"/>
        </w:rPr>
        <w:t xml:space="preserve"> it must be noted that other branches of the law like the criminal law may still be invoked to ensure as a matter of public policy and good </w:t>
      </w:r>
      <w:r w:rsidR="00B54DF6">
        <w:rPr>
          <w:rFonts w:ascii="Times New Roman" w:hAnsi="Times New Roman" w:cs="Times New Roman"/>
          <w:sz w:val="24"/>
          <w:szCs w:val="24"/>
          <w:lang w:val="en-US"/>
        </w:rPr>
        <w:t xml:space="preserve">will that the conduct to which prescription applies may </w:t>
      </w:r>
      <w:r w:rsidR="001B01D3">
        <w:rPr>
          <w:rFonts w:ascii="Times New Roman" w:hAnsi="Times New Roman" w:cs="Times New Roman"/>
          <w:sz w:val="24"/>
          <w:szCs w:val="24"/>
          <w:lang w:val="en-US"/>
        </w:rPr>
        <w:t>still be subject to prosecution and the criminal law provides sanctions which ensure that in cases where the ill-gotten gains arise from conduct which is criminal the law provides for recovery of the ill-gotten gains which are then given to the person who may lawfully possess them or be forfeited to the state.</w:t>
      </w:r>
    </w:p>
    <w:p w14:paraId="3B70FCDE" w14:textId="3ADE4EF1" w:rsidR="001B01D3" w:rsidRDefault="001B01D3"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The position I take therefore is that the </w:t>
      </w:r>
      <w:proofErr w:type="spellStart"/>
      <w:r>
        <w:rPr>
          <w:rFonts w:ascii="Times New Roman" w:hAnsi="Times New Roman" w:cs="Times New Roman"/>
          <w:sz w:val="24"/>
          <w:szCs w:val="24"/>
          <w:lang w:val="en-US"/>
        </w:rPr>
        <w:t>Conradie</w:t>
      </w:r>
      <w:proofErr w:type="spellEnd"/>
      <w:r>
        <w:rPr>
          <w:rFonts w:ascii="Times New Roman" w:hAnsi="Times New Roman" w:cs="Times New Roman"/>
          <w:sz w:val="24"/>
          <w:szCs w:val="24"/>
          <w:lang w:val="en-US"/>
        </w:rPr>
        <w:t xml:space="preserve"> case is authority that a vindicatory claim is subject to prescription. The case is not a blanket authority that a claim for a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sought in terms of s 14 of the High Court Act is subject to prescription. There are several judgements of this court which hold opposite positions on the issue of whether a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prescribes. The Supreme Court will need to put the matter to rest and answer the simple question “Is the relief of a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as provided for in s 14 of the High Court Act lapse.”</w:t>
      </w:r>
    </w:p>
    <w:p w14:paraId="7D875268" w14:textId="26642CC9" w:rsidR="001B01D3" w:rsidRDefault="001B01D3"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case of </w:t>
      </w:r>
      <w:proofErr w:type="spellStart"/>
      <w:r w:rsidRPr="001E5546">
        <w:rPr>
          <w:rFonts w:ascii="Times New Roman" w:hAnsi="Times New Roman" w:cs="Times New Roman"/>
          <w:i/>
          <w:sz w:val="24"/>
          <w:szCs w:val="24"/>
          <w:lang w:val="en-US"/>
        </w:rPr>
        <w:t>Dliwayo</w:t>
      </w:r>
      <w:proofErr w:type="spellEnd"/>
      <w:r w:rsidRPr="001E5546">
        <w:rPr>
          <w:rFonts w:ascii="Times New Roman" w:hAnsi="Times New Roman" w:cs="Times New Roman"/>
          <w:i/>
          <w:sz w:val="24"/>
          <w:szCs w:val="24"/>
          <w:lang w:val="en-US"/>
        </w:rPr>
        <w:t xml:space="preserve"> &amp; Others</w:t>
      </w:r>
      <w:r>
        <w:rPr>
          <w:rFonts w:ascii="Times New Roman" w:hAnsi="Times New Roman" w:cs="Times New Roman"/>
          <w:sz w:val="24"/>
          <w:szCs w:val="24"/>
          <w:lang w:val="en-US"/>
        </w:rPr>
        <w:t xml:space="preserve"> v </w:t>
      </w:r>
      <w:proofErr w:type="spellStart"/>
      <w:r w:rsidRPr="001E5546">
        <w:rPr>
          <w:rFonts w:ascii="Times New Roman" w:hAnsi="Times New Roman" w:cs="Times New Roman"/>
          <w:i/>
          <w:sz w:val="24"/>
          <w:szCs w:val="24"/>
          <w:lang w:val="en-US"/>
        </w:rPr>
        <w:t>Bere</w:t>
      </w:r>
      <w:proofErr w:type="spellEnd"/>
      <w:r w:rsidRPr="001E5546">
        <w:rPr>
          <w:rFonts w:ascii="Times New Roman" w:hAnsi="Times New Roman" w:cs="Times New Roman"/>
          <w:i/>
          <w:sz w:val="24"/>
          <w:szCs w:val="24"/>
          <w:lang w:val="en-US"/>
        </w:rPr>
        <w:t xml:space="preserve"> N.O and Others</w:t>
      </w:r>
      <w:r>
        <w:rPr>
          <w:rFonts w:ascii="Times New Roman" w:hAnsi="Times New Roman" w:cs="Times New Roman"/>
          <w:sz w:val="24"/>
          <w:szCs w:val="24"/>
          <w:lang w:val="en-US"/>
        </w:rPr>
        <w:t xml:space="preserve"> HH 164/24 </w:t>
      </w:r>
      <w:proofErr w:type="spellStart"/>
      <w:r w:rsidRPr="001E5546">
        <w:rPr>
          <w:rFonts w:ascii="Times New Roman" w:hAnsi="Times New Roman" w:cs="Times New Roman"/>
          <w:smallCaps/>
          <w:sz w:val="24"/>
          <w:szCs w:val="24"/>
          <w:lang w:val="en-US"/>
        </w:rPr>
        <w:t>Tsanga</w:t>
      </w:r>
      <w:proofErr w:type="spellEnd"/>
      <w:r w:rsidRPr="001E5546">
        <w:rPr>
          <w:rFonts w:ascii="Times New Roman" w:hAnsi="Times New Roman" w:cs="Times New Roman"/>
          <w:smallCaps/>
          <w:sz w:val="24"/>
          <w:szCs w:val="24"/>
          <w:lang w:val="en-US"/>
        </w:rPr>
        <w:t xml:space="preserve"> J</w:t>
      </w:r>
      <w:r>
        <w:rPr>
          <w:rFonts w:ascii="Times New Roman" w:hAnsi="Times New Roman" w:cs="Times New Roman"/>
          <w:sz w:val="24"/>
          <w:szCs w:val="24"/>
          <w:lang w:val="en-US"/>
        </w:rPr>
        <w:t xml:space="preserve"> traversed some of the conflicting authorities and like </w:t>
      </w:r>
      <w:r w:rsidRPr="001E5546">
        <w:rPr>
          <w:rFonts w:ascii="Times New Roman" w:hAnsi="Times New Roman" w:cs="Times New Roman"/>
          <w:smallCaps/>
          <w:sz w:val="24"/>
          <w:szCs w:val="24"/>
          <w:lang w:val="en-US"/>
        </w:rPr>
        <w:t>Maxwell J</w:t>
      </w:r>
      <w:r>
        <w:rPr>
          <w:rFonts w:ascii="Times New Roman" w:hAnsi="Times New Roman" w:cs="Times New Roman"/>
          <w:sz w:val="24"/>
          <w:szCs w:val="24"/>
          <w:lang w:val="en-US"/>
        </w:rPr>
        <w:t xml:space="preserve"> in the case of </w:t>
      </w:r>
      <w:proofErr w:type="spellStart"/>
      <w:r w:rsidRPr="001E5546">
        <w:rPr>
          <w:rFonts w:ascii="Times New Roman" w:hAnsi="Times New Roman" w:cs="Times New Roman"/>
          <w:i/>
          <w:sz w:val="24"/>
          <w:szCs w:val="24"/>
          <w:lang w:val="en-US"/>
        </w:rPr>
        <w:t>Nguluwe</w:t>
      </w:r>
      <w:proofErr w:type="spellEnd"/>
      <w:r w:rsidRPr="001E5546">
        <w:rPr>
          <w:rFonts w:ascii="Times New Roman" w:hAnsi="Times New Roman" w:cs="Times New Roman"/>
          <w:i/>
          <w:sz w:val="24"/>
          <w:szCs w:val="24"/>
          <w:lang w:val="en-US"/>
        </w:rPr>
        <w:t xml:space="preserve"> &amp; Anor</w:t>
      </w:r>
      <w:r>
        <w:rPr>
          <w:rFonts w:ascii="Times New Roman" w:hAnsi="Times New Roman" w:cs="Times New Roman"/>
          <w:sz w:val="24"/>
          <w:szCs w:val="24"/>
          <w:lang w:val="en-US"/>
        </w:rPr>
        <w:t xml:space="preserve"> v </w:t>
      </w:r>
      <w:r w:rsidRPr="001E5546">
        <w:rPr>
          <w:rFonts w:ascii="Times New Roman" w:hAnsi="Times New Roman" w:cs="Times New Roman"/>
          <w:i/>
          <w:sz w:val="24"/>
          <w:szCs w:val="24"/>
          <w:lang w:val="en-US"/>
        </w:rPr>
        <w:t xml:space="preserve">Dewa (nee </w:t>
      </w:r>
      <w:proofErr w:type="spellStart"/>
      <w:r w:rsidRPr="001E5546">
        <w:rPr>
          <w:rFonts w:ascii="Times New Roman" w:hAnsi="Times New Roman" w:cs="Times New Roman"/>
          <w:i/>
          <w:sz w:val="24"/>
          <w:szCs w:val="24"/>
          <w:lang w:val="en-US"/>
        </w:rPr>
        <w:t>Nguluwe</w:t>
      </w:r>
      <w:proofErr w:type="spellEnd"/>
      <w:r w:rsidRPr="001E5546">
        <w:rPr>
          <w:rFonts w:ascii="Times New Roman" w:hAnsi="Times New Roman" w:cs="Times New Roman"/>
          <w:i/>
          <w:sz w:val="24"/>
          <w:szCs w:val="24"/>
          <w:lang w:val="en-US"/>
        </w:rPr>
        <w:t>)</w:t>
      </w:r>
      <w:r w:rsidR="001E5546" w:rsidRPr="001E5546">
        <w:rPr>
          <w:rFonts w:ascii="Times New Roman" w:hAnsi="Times New Roman" w:cs="Times New Roman"/>
          <w:i/>
          <w:sz w:val="24"/>
          <w:szCs w:val="24"/>
          <w:lang w:val="en-US"/>
        </w:rPr>
        <w:t xml:space="preserve"> </w:t>
      </w:r>
      <w:r w:rsidRPr="001E5546">
        <w:rPr>
          <w:rFonts w:ascii="Times New Roman" w:hAnsi="Times New Roman" w:cs="Times New Roman"/>
          <w:i/>
          <w:sz w:val="24"/>
          <w:szCs w:val="24"/>
          <w:lang w:val="en-US"/>
        </w:rPr>
        <w:t xml:space="preserve">&amp; 4 </w:t>
      </w:r>
      <w:proofErr w:type="spellStart"/>
      <w:r w:rsidRPr="001E5546">
        <w:rPr>
          <w:rFonts w:ascii="Times New Roman" w:hAnsi="Times New Roman" w:cs="Times New Roman"/>
          <w:i/>
          <w:sz w:val="24"/>
          <w:szCs w:val="24"/>
          <w:lang w:val="en-US"/>
        </w:rPr>
        <w:t>Ors</w:t>
      </w:r>
      <w:proofErr w:type="spellEnd"/>
      <w:r w:rsidR="00D710B3">
        <w:rPr>
          <w:rFonts w:ascii="Times New Roman" w:hAnsi="Times New Roman" w:cs="Times New Roman"/>
          <w:sz w:val="24"/>
          <w:szCs w:val="24"/>
          <w:lang w:val="en-US"/>
        </w:rPr>
        <w:t xml:space="preserve"> HH 387/2023 held that a claim for a </w:t>
      </w:r>
      <w:proofErr w:type="spellStart"/>
      <w:r w:rsidR="00D710B3">
        <w:rPr>
          <w:rFonts w:ascii="Times New Roman" w:hAnsi="Times New Roman" w:cs="Times New Roman"/>
          <w:sz w:val="24"/>
          <w:szCs w:val="24"/>
          <w:lang w:val="en-US"/>
        </w:rPr>
        <w:t>declaratur</w:t>
      </w:r>
      <w:proofErr w:type="spellEnd"/>
      <w:r w:rsidR="00D710B3">
        <w:rPr>
          <w:rFonts w:ascii="Times New Roman" w:hAnsi="Times New Roman" w:cs="Times New Roman"/>
          <w:sz w:val="24"/>
          <w:szCs w:val="24"/>
          <w:lang w:val="en-US"/>
        </w:rPr>
        <w:t xml:space="preserve"> prescribes. Both judges noted that later authorities of this court </w:t>
      </w:r>
      <w:proofErr w:type="spellStart"/>
      <w:r w:rsidR="00D710B3">
        <w:rPr>
          <w:rFonts w:ascii="Times New Roman" w:hAnsi="Times New Roman" w:cs="Times New Roman"/>
          <w:sz w:val="24"/>
          <w:szCs w:val="24"/>
          <w:lang w:val="en-US"/>
        </w:rPr>
        <w:t>favoured</w:t>
      </w:r>
      <w:proofErr w:type="spellEnd"/>
      <w:r w:rsidR="00D710B3">
        <w:rPr>
          <w:rFonts w:ascii="Times New Roman" w:hAnsi="Times New Roman" w:cs="Times New Roman"/>
          <w:sz w:val="24"/>
          <w:szCs w:val="24"/>
          <w:lang w:val="en-US"/>
        </w:rPr>
        <w:t xml:space="preserve"> the finding that a </w:t>
      </w:r>
      <w:proofErr w:type="spellStart"/>
      <w:r w:rsidR="00D710B3">
        <w:rPr>
          <w:rFonts w:ascii="Times New Roman" w:hAnsi="Times New Roman" w:cs="Times New Roman"/>
          <w:sz w:val="24"/>
          <w:szCs w:val="24"/>
          <w:lang w:val="en-US"/>
        </w:rPr>
        <w:t>declaratur</w:t>
      </w:r>
      <w:proofErr w:type="spellEnd"/>
      <w:r w:rsidR="00D710B3">
        <w:rPr>
          <w:rFonts w:ascii="Times New Roman" w:hAnsi="Times New Roman" w:cs="Times New Roman"/>
          <w:sz w:val="24"/>
          <w:szCs w:val="24"/>
          <w:lang w:val="en-US"/>
        </w:rPr>
        <w:t xml:space="preserve"> claim prescribes. </w:t>
      </w:r>
      <w:proofErr w:type="spellStart"/>
      <w:r w:rsidR="00D710B3">
        <w:rPr>
          <w:rFonts w:ascii="Times New Roman" w:hAnsi="Times New Roman" w:cs="Times New Roman"/>
          <w:sz w:val="24"/>
          <w:szCs w:val="24"/>
          <w:lang w:val="en-US"/>
        </w:rPr>
        <w:t>Tsanga</w:t>
      </w:r>
      <w:proofErr w:type="spellEnd"/>
      <w:r w:rsidR="00D710B3">
        <w:rPr>
          <w:rFonts w:ascii="Times New Roman" w:hAnsi="Times New Roman" w:cs="Times New Roman"/>
          <w:sz w:val="24"/>
          <w:szCs w:val="24"/>
          <w:lang w:val="en-US"/>
        </w:rPr>
        <w:t xml:space="preserve"> J noted that whether or not a </w:t>
      </w:r>
      <w:proofErr w:type="spellStart"/>
      <w:r w:rsidR="00D710B3">
        <w:rPr>
          <w:rFonts w:ascii="Times New Roman" w:hAnsi="Times New Roman" w:cs="Times New Roman"/>
          <w:sz w:val="24"/>
          <w:szCs w:val="24"/>
          <w:lang w:val="en-US"/>
        </w:rPr>
        <w:t>declaratur</w:t>
      </w:r>
      <w:proofErr w:type="spellEnd"/>
      <w:r w:rsidR="00D710B3">
        <w:rPr>
          <w:rFonts w:ascii="Times New Roman" w:hAnsi="Times New Roman" w:cs="Times New Roman"/>
          <w:sz w:val="24"/>
          <w:szCs w:val="24"/>
          <w:lang w:val="en-US"/>
        </w:rPr>
        <w:t xml:space="preserve"> prescribes depended upon the factual conspectus giving rise to the relief of the </w:t>
      </w:r>
      <w:proofErr w:type="spellStart"/>
      <w:r w:rsidR="00D710B3">
        <w:rPr>
          <w:rFonts w:ascii="Times New Roman" w:hAnsi="Times New Roman" w:cs="Times New Roman"/>
          <w:sz w:val="24"/>
          <w:szCs w:val="24"/>
          <w:lang w:val="en-US"/>
        </w:rPr>
        <w:t>declaratur</w:t>
      </w:r>
      <w:proofErr w:type="spellEnd"/>
      <w:r w:rsidR="00D710B3">
        <w:rPr>
          <w:rFonts w:ascii="Times New Roman" w:hAnsi="Times New Roman" w:cs="Times New Roman"/>
          <w:sz w:val="24"/>
          <w:szCs w:val="24"/>
          <w:lang w:val="en-US"/>
        </w:rPr>
        <w:t>. This approach is understandable because the court in terms of s 14 of the High Court Act is required to enquire into and determine existing, future or contingent rights or obligations. The court may therefor</w:t>
      </w:r>
      <w:r w:rsidR="00B54DF6">
        <w:rPr>
          <w:rFonts w:ascii="Times New Roman" w:hAnsi="Times New Roman" w:cs="Times New Roman"/>
          <w:sz w:val="24"/>
          <w:szCs w:val="24"/>
          <w:lang w:val="en-US"/>
        </w:rPr>
        <w:t>e</w:t>
      </w:r>
      <w:r w:rsidR="00D710B3">
        <w:rPr>
          <w:rFonts w:ascii="Times New Roman" w:hAnsi="Times New Roman" w:cs="Times New Roman"/>
          <w:sz w:val="24"/>
          <w:szCs w:val="24"/>
          <w:lang w:val="en-US"/>
        </w:rPr>
        <w:t xml:space="preserve"> in the enquiry  find that the facts giving rise to the claim for the </w:t>
      </w:r>
      <w:proofErr w:type="spellStart"/>
      <w:r w:rsidR="00D710B3">
        <w:rPr>
          <w:rFonts w:ascii="Times New Roman" w:hAnsi="Times New Roman" w:cs="Times New Roman"/>
          <w:sz w:val="24"/>
          <w:szCs w:val="24"/>
          <w:lang w:val="en-US"/>
        </w:rPr>
        <w:t>declaratur</w:t>
      </w:r>
      <w:proofErr w:type="spellEnd"/>
      <w:r w:rsidR="00D710B3">
        <w:rPr>
          <w:rFonts w:ascii="Times New Roman" w:hAnsi="Times New Roman" w:cs="Times New Roman"/>
          <w:sz w:val="24"/>
          <w:szCs w:val="24"/>
          <w:lang w:val="en-US"/>
        </w:rPr>
        <w:t xml:space="preserve"> occurred at a time which if the claim is subject of a valid claim at law, such claim would have prescribed. The learned judge opined that where the consequential relief would have prescribed, then where a </w:t>
      </w:r>
      <w:proofErr w:type="spellStart"/>
      <w:r w:rsidR="00D710B3">
        <w:rPr>
          <w:rFonts w:ascii="Times New Roman" w:hAnsi="Times New Roman" w:cs="Times New Roman"/>
          <w:sz w:val="24"/>
          <w:szCs w:val="24"/>
          <w:lang w:val="en-US"/>
        </w:rPr>
        <w:t>declaratur</w:t>
      </w:r>
      <w:proofErr w:type="spellEnd"/>
      <w:r w:rsidR="00D710B3">
        <w:rPr>
          <w:rFonts w:ascii="Times New Roman" w:hAnsi="Times New Roman" w:cs="Times New Roman"/>
          <w:sz w:val="24"/>
          <w:szCs w:val="24"/>
          <w:lang w:val="en-US"/>
        </w:rPr>
        <w:t xml:space="preserve"> sought is based on those facts, the claim for the </w:t>
      </w:r>
      <w:proofErr w:type="spellStart"/>
      <w:r w:rsidR="00D710B3">
        <w:rPr>
          <w:rFonts w:ascii="Times New Roman" w:hAnsi="Times New Roman" w:cs="Times New Roman"/>
          <w:sz w:val="24"/>
          <w:szCs w:val="24"/>
          <w:lang w:val="en-US"/>
        </w:rPr>
        <w:t>declaratur</w:t>
      </w:r>
      <w:proofErr w:type="spellEnd"/>
      <w:r w:rsidR="00D710B3">
        <w:rPr>
          <w:rFonts w:ascii="Times New Roman" w:hAnsi="Times New Roman" w:cs="Times New Roman"/>
          <w:sz w:val="24"/>
          <w:szCs w:val="24"/>
          <w:lang w:val="en-US"/>
        </w:rPr>
        <w:t xml:space="preserve"> should in such events be equally prescribed.</w:t>
      </w:r>
    </w:p>
    <w:p w14:paraId="7167D7E2" w14:textId="6E1982A4" w:rsidR="00D710B3" w:rsidRDefault="00D710B3"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judgment aforesaid do not however deal with the qualification or order in the same section to the effect that the court has a discretion to grant the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notwithstanding that no consequential relief may arise therefrom. I must acknowledge that I may have held a different view in some cases that I have dealt with and not necessarily reported that a declaratory order prescribed. Where I did so, I must note that I did so without having appreciated the qualification in s 14 aforesaid which makes it inconsequential that the person seeking the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may not be entitled to consequential relief which if sought would be subject to any available </w:t>
      </w:r>
      <w:proofErr w:type="spellStart"/>
      <w:r>
        <w:rPr>
          <w:rFonts w:ascii="Times New Roman" w:hAnsi="Times New Roman" w:cs="Times New Roman"/>
          <w:sz w:val="24"/>
          <w:szCs w:val="24"/>
          <w:lang w:val="en-US"/>
        </w:rPr>
        <w:t>defences</w:t>
      </w:r>
      <w:proofErr w:type="spellEnd"/>
      <w:r>
        <w:rPr>
          <w:rFonts w:ascii="Times New Roman" w:hAnsi="Times New Roman" w:cs="Times New Roman"/>
          <w:sz w:val="24"/>
          <w:szCs w:val="24"/>
          <w:lang w:val="en-US"/>
        </w:rPr>
        <w:t xml:space="preserve"> including prescription. It follows th</w:t>
      </w:r>
      <w:r w:rsidR="00FD41D6">
        <w:rPr>
          <w:rFonts w:ascii="Times New Roman" w:hAnsi="Times New Roman" w:cs="Times New Roman"/>
          <w:sz w:val="24"/>
          <w:szCs w:val="24"/>
          <w:lang w:val="en-US"/>
        </w:rPr>
        <w:t xml:space="preserve">at the court is not time barred to declare a given Act of circumstances to be illegal or a nullity. It is however prescription barred from making a further declaration that for example the litigant is entitled to enforce the rights arising or consequent upon the </w:t>
      </w:r>
      <w:proofErr w:type="spellStart"/>
      <w:r w:rsidR="00FD41D6">
        <w:rPr>
          <w:rFonts w:ascii="Times New Roman" w:hAnsi="Times New Roman" w:cs="Times New Roman"/>
          <w:sz w:val="24"/>
          <w:szCs w:val="24"/>
          <w:lang w:val="en-US"/>
        </w:rPr>
        <w:t>declaratur</w:t>
      </w:r>
      <w:proofErr w:type="spellEnd"/>
      <w:r w:rsidR="00FD41D6">
        <w:rPr>
          <w:rFonts w:ascii="Times New Roman" w:hAnsi="Times New Roman" w:cs="Times New Roman"/>
          <w:sz w:val="24"/>
          <w:szCs w:val="24"/>
          <w:lang w:val="en-US"/>
        </w:rPr>
        <w:t xml:space="preserve"> granted. For example, the court may find that an illegality occurred but regrettably refuse to grant relief to the party which has been prejudiced because of prescription.</w:t>
      </w:r>
    </w:p>
    <w:p w14:paraId="3B3D6FE5" w14:textId="445294E9" w:rsidR="00FD41D6" w:rsidRDefault="00FD41D6" w:rsidP="001E554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Leaning to the facts before the court there was no argument between the parties that as at 2011 the applicant was aware of the first respondent’s claim to the property. The argument at the end of the day was whether or not a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prescribes my respectful view is that a declaratory order envisaged in s 14 of the High Court Act does not prescri</w:t>
      </w:r>
      <w:r w:rsidR="00B54DF6">
        <w:rPr>
          <w:rFonts w:ascii="Times New Roman" w:hAnsi="Times New Roman" w:cs="Times New Roman"/>
          <w:sz w:val="24"/>
          <w:szCs w:val="24"/>
          <w:lang w:val="en-US"/>
        </w:rPr>
        <w:t xml:space="preserve">be. However, what </w:t>
      </w:r>
      <w:proofErr w:type="gramStart"/>
      <w:r w:rsidR="00B54DF6">
        <w:rPr>
          <w:rFonts w:ascii="Times New Roman" w:hAnsi="Times New Roman" w:cs="Times New Roman"/>
          <w:sz w:val="24"/>
          <w:szCs w:val="24"/>
          <w:lang w:val="en-US"/>
        </w:rPr>
        <w:t>prescribes</w:t>
      </w:r>
      <w:proofErr w:type="gramEnd"/>
      <w:r w:rsidR="00B54DF6">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claims which may be made consequent upon the </w:t>
      </w:r>
      <w:proofErr w:type="spellStart"/>
      <w:r>
        <w:rPr>
          <w:rFonts w:ascii="Times New Roman" w:hAnsi="Times New Roman" w:cs="Times New Roman"/>
          <w:sz w:val="24"/>
          <w:szCs w:val="24"/>
          <w:lang w:val="en-US"/>
        </w:rPr>
        <w:t>declaratur</w:t>
      </w:r>
      <w:proofErr w:type="spellEnd"/>
      <w:r>
        <w:rPr>
          <w:rFonts w:ascii="Times New Roman" w:hAnsi="Times New Roman" w:cs="Times New Roman"/>
          <w:sz w:val="24"/>
          <w:szCs w:val="24"/>
          <w:lang w:val="en-US"/>
        </w:rPr>
        <w:t xml:space="preserve"> made. I am to this extent not in conflict with the </w:t>
      </w:r>
      <w:r w:rsidRPr="00B35719">
        <w:rPr>
          <w:rFonts w:ascii="Times New Roman" w:hAnsi="Times New Roman" w:cs="Times New Roman"/>
          <w:i/>
          <w:sz w:val="24"/>
          <w:szCs w:val="24"/>
          <w:lang w:val="en-US"/>
        </w:rPr>
        <w:t>dicta</w:t>
      </w:r>
      <w:r>
        <w:rPr>
          <w:rFonts w:ascii="Times New Roman" w:hAnsi="Times New Roman" w:cs="Times New Roman"/>
          <w:sz w:val="24"/>
          <w:szCs w:val="24"/>
          <w:lang w:val="en-US"/>
        </w:rPr>
        <w:t xml:space="preserve"> of </w:t>
      </w:r>
      <w:r w:rsidR="001E5546" w:rsidRPr="001E5546">
        <w:rPr>
          <w:rFonts w:ascii="Times New Roman" w:hAnsi="Times New Roman" w:cs="Times New Roman"/>
          <w:smallCaps/>
          <w:sz w:val="24"/>
          <w:szCs w:val="24"/>
          <w:lang w:val="en-US"/>
        </w:rPr>
        <w:t>Georges Ja</w:t>
      </w:r>
      <w:r w:rsidR="001E55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the case </w:t>
      </w:r>
      <w:proofErr w:type="spellStart"/>
      <w:r w:rsidRPr="001E5546">
        <w:rPr>
          <w:rFonts w:ascii="Times New Roman" w:hAnsi="Times New Roman" w:cs="Times New Roman"/>
          <w:i/>
          <w:sz w:val="24"/>
          <w:szCs w:val="24"/>
          <w:lang w:val="en-US"/>
        </w:rPr>
        <w:t>Synfin</w:t>
      </w:r>
      <w:proofErr w:type="spellEnd"/>
      <w:r w:rsidRPr="001E5546">
        <w:rPr>
          <w:rFonts w:ascii="Times New Roman" w:hAnsi="Times New Roman" w:cs="Times New Roman"/>
          <w:i/>
          <w:sz w:val="24"/>
          <w:szCs w:val="24"/>
          <w:lang w:val="en-US"/>
        </w:rPr>
        <w:t xml:space="preserve"> Holdings Limited</w:t>
      </w:r>
      <w:r>
        <w:rPr>
          <w:rFonts w:ascii="Times New Roman" w:hAnsi="Times New Roman" w:cs="Times New Roman"/>
          <w:sz w:val="24"/>
          <w:szCs w:val="24"/>
          <w:lang w:val="en-US"/>
        </w:rPr>
        <w:t xml:space="preserve"> v </w:t>
      </w:r>
      <w:r w:rsidRPr="001E5546">
        <w:rPr>
          <w:rFonts w:ascii="Times New Roman" w:hAnsi="Times New Roman" w:cs="Times New Roman"/>
          <w:i/>
          <w:sz w:val="24"/>
          <w:szCs w:val="24"/>
          <w:lang w:val="en-US"/>
        </w:rPr>
        <w:t>Pickering</w:t>
      </w:r>
      <w:r>
        <w:rPr>
          <w:rFonts w:ascii="Times New Roman" w:hAnsi="Times New Roman" w:cs="Times New Roman"/>
          <w:sz w:val="24"/>
          <w:szCs w:val="24"/>
          <w:lang w:val="en-US"/>
        </w:rPr>
        <w:t xml:space="preserve"> 1982 (1) ZLR 10(SC) also quoted by </w:t>
      </w:r>
      <w:proofErr w:type="spellStart"/>
      <w:r w:rsidRPr="001E5546">
        <w:rPr>
          <w:rFonts w:ascii="Times New Roman" w:hAnsi="Times New Roman" w:cs="Times New Roman"/>
          <w:smallCaps/>
          <w:sz w:val="24"/>
          <w:szCs w:val="24"/>
          <w:lang w:val="en-US"/>
        </w:rPr>
        <w:t>Tsanga</w:t>
      </w:r>
      <w:proofErr w:type="spellEnd"/>
      <w:r w:rsidRPr="001E5546">
        <w:rPr>
          <w:rFonts w:ascii="Times New Roman" w:hAnsi="Times New Roman" w:cs="Times New Roman"/>
          <w:smallCaps/>
          <w:sz w:val="24"/>
          <w:szCs w:val="24"/>
          <w:lang w:val="en-US"/>
        </w:rPr>
        <w:t xml:space="preserve"> J</w:t>
      </w:r>
      <w:r>
        <w:rPr>
          <w:rFonts w:ascii="Times New Roman" w:hAnsi="Times New Roman" w:cs="Times New Roman"/>
          <w:sz w:val="24"/>
          <w:szCs w:val="24"/>
          <w:lang w:val="en-US"/>
        </w:rPr>
        <w:t xml:space="preserve"> in the </w:t>
      </w:r>
      <w:proofErr w:type="spellStart"/>
      <w:r w:rsidRPr="001E5546">
        <w:rPr>
          <w:rFonts w:ascii="Times New Roman" w:hAnsi="Times New Roman" w:cs="Times New Roman"/>
          <w:i/>
          <w:sz w:val="24"/>
          <w:szCs w:val="24"/>
          <w:lang w:val="en-US"/>
        </w:rPr>
        <w:t>Dliwayo</w:t>
      </w:r>
      <w:proofErr w:type="spellEnd"/>
      <w:r w:rsidRPr="001E5546">
        <w:rPr>
          <w:rFonts w:ascii="Times New Roman" w:hAnsi="Times New Roman" w:cs="Times New Roman"/>
          <w:i/>
          <w:sz w:val="24"/>
          <w:szCs w:val="24"/>
          <w:lang w:val="en-US"/>
        </w:rPr>
        <w:t xml:space="preserve"> case</w:t>
      </w:r>
      <w:r>
        <w:rPr>
          <w:rFonts w:ascii="Times New Roman" w:hAnsi="Times New Roman" w:cs="Times New Roman"/>
          <w:sz w:val="24"/>
          <w:szCs w:val="24"/>
          <w:lang w:val="en-US"/>
        </w:rPr>
        <w:t xml:space="preserve"> (</w:t>
      </w:r>
      <w:r w:rsidRPr="00B35719">
        <w:rPr>
          <w:rFonts w:ascii="Times New Roman" w:hAnsi="Times New Roman" w:cs="Times New Roman"/>
          <w:i/>
          <w:sz w:val="24"/>
          <w:szCs w:val="24"/>
          <w:lang w:val="en-US"/>
        </w:rPr>
        <w:t>supra</w:t>
      </w:r>
      <w:r>
        <w:rPr>
          <w:rFonts w:ascii="Times New Roman" w:hAnsi="Times New Roman" w:cs="Times New Roman"/>
          <w:sz w:val="24"/>
          <w:szCs w:val="24"/>
          <w:lang w:val="en-US"/>
        </w:rPr>
        <w:t xml:space="preserve">) where the </w:t>
      </w:r>
      <w:r w:rsidR="003E4D61">
        <w:rPr>
          <w:rFonts w:ascii="Times New Roman" w:hAnsi="Times New Roman" w:cs="Times New Roman"/>
          <w:sz w:val="24"/>
          <w:szCs w:val="24"/>
          <w:lang w:val="en-US"/>
        </w:rPr>
        <w:t xml:space="preserve">learned </w:t>
      </w:r>
      <w:proofErr w:type="spellStart"/>
      <w:r w:rsidR="001E5546" w:rsidRPr="001E5546">
        <w:rPr>
          <w:rFonts w:ascii="Times New Roman" w:hAnsi="Times New Roman" w:cs="Times New Roman"/>
          <w:smallCaps/>
          <w:sz w:val="24"/>
          <w:szCs w:val="24"/>
          <w:lang w:val="en-US"/>
        </w:rPr>
        <w:t>Georgies</w:t>
      </w:r>
      <w:proofErr w:type="spellEnd"/>
      <w:r w:rsidR="001E5546" w:rsidRPr="001E5546">
        <w:rPr>
          <w:rFonts w:ascii="Times New Roman" w:hAnsi="Times New Roman" w:cs="Times New Roman"/>
          <w:smallCaps/>
          <w:sz w:val="24"/>
          <w:szCs w:val="24"/>
          <w:lang w:val="en-US"/>
        </w:rPr>
        <w:t xml:space="preserve"> Ja</w:t>
      </w:r>
      <w:r w:rsidR="001E5546">
        <w:rPr>
          <w:rFonts w:ascii="Times New Roman" w:hAnsi="Times New Roman" w:cs="Times New Roman"/>
          <w:sz w:val="24"/>
          <w:szCs w:val="24"/>
          <w:lang w:val="en-US"/>
        </w:rPr>
        <w:t xml:space="preserve"> </w:t>
      </w:r>
      <w:r w:rsidR="003E4D61">
        <w:rPr>
          <w:rFonts w:ascii="Times New Roman" w:hAnsi="Times New Roman" w:cs="Times New Roman"/>
          <w:sz w:val="24"/>
          <w:szCs w:val="24"/>
          <w:lang w:val="en-US"/>
        </w:rPr>
        <w:t>stated in relation to the definition of “anything which may be sued for or claimed by reason of an obligation arising from statute, contract, delict or otherwise” as follows:</w:t>
      </w:r>
    </w:p>
    <w:p w14:paraId="7DE5BF90" w14:textId="229D3046" w:rsidR="003E4D61" w:rsidRPr="001E5546" w:rsidRDefault="003E4D61" w:rsidP="001E5546">
      <w:pPr>
        <w:spacing w:line="240" w:lineRule="auto"/>
        <w:ind w:left="720"/>
        <w:jc w:val="both"/>
        <w:rPr>
          <w:rFonts w:ascii="Times New Roman" w:hAnsi="Times New Roman" w:cs="Times New Roman"/>
          <w:szCs w:val="24"/>
          <w:lang w:val="en-US"/>
        </w:rPr>
      </w:pPr>
      <w:r w:rsidRPr="001E5546">
        <w:rPr>
          <w:rFonts w:ascii="Times New Roman" w:hAnsi="Times New Roman" w:cs="Times New Roman"/>
          <w:szCs w:val="24"/>
          <w:lang w:val="en-US"/>
        </w:rPr>
        <w:t>“The definition is clearly broad enough to include claims for specific performance or for declarations of rights in relation to any given Act of circumstances.”</w:t>
      </w:r>
    </w:p>
    <w:p w14:paraId="48892523" w14:textId="25DFED56" w:rsidR="003E4D61" w:rsidRDefault="003E4D61"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question of whether rights or obligations arising consequent upon the declaration are subject to prescription. The question whether a declaratory order is prescribed is answered by holding that the making of the declaration does not prescribe.</w:t>
      </w:r>
    </w:p>
    <w:p w14:paraId="3955A677" w14:textId="42A3CDEA" w:rsidR="003E4D61" w:rsidRDefault="003E4D61"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 sought declaration that he is declared </w:t>
      </w:r>
      <w:r w:rsidR="00B54DF6">
        <w:rPr>
          <w:rFonts w:ascii="Times New Roman" w:hAnsi="Times New Roman" w:cs="Times New Roman"/>
          <w:sz w:val="24"/>
          <w:szCs w:val="24"/>
          <w:lang w:val="en-US"/>
        </w:rPr>
        <w:t>t</w:t>
      </w:r>
      <w:r>
        <w:rPr>
          <w:rFonts w:ascii="Times New Roman" w:hAnsi="Times New Roman" w:cs="Times New Roman"/>
          <w:sz w:val="24"/>
          <w:szCs w:val="24"/>
          <w:lang w:val="en-US"/>
        </w:rPr>
        <w:t xml:space="preserve">o be the lawful </w:t>
      </w:r>
      <w:proofErr w:type="spellStart"/>
      <w:r>
        <w:rPr>
          <w:rFonts w:ascii="Times New Roman" w:hAnsi="Times New Roman" w:cs="Times New Roman"/>
          <w:sz w:val="24"/>
          <w:szCs w:val="24"/>
          <w:lang w:val="en-US"/>
        </w:rPr>
        <w:t>allottee</w:t>
      </w:r>
      <w:proofErr w:type="spellEnd"/>
      <w:r>
        <w:rPr>
          <w:rFonts w:ascii="Times New Roman" w:hAnsi="Times New Roman" w:cs="Times New Roman"/>
          <w:sz w:val="24"/>
          <w:szCs w:val="24"/>
          <w:lang w:val="en-US"/>
        </w:rPr>
        <w:t xml:space="preserve"> of the disputed is not possible to answer with exactitude yet it is not difficult to make if all facts relevant to the devolution of the property is placed before the court in a paper trail format. The second and third respondents did not file any opposing papers yet they are the authors of the dispute. For the second respondent to simple state that records show the applicant</w:t>
      </w:r>
      <w:r w:rsidR="008D4F1B">
        <w:rPr>
          <w:rFonts w:ascii="Times New Roman" w:hAnsi="Times New Roman" w:cs="Times New Roman"/>
          <w:sz w:val="24"/>
          <w:szCs w:val="24"/>
          <w:lang w:val="en-US"/>
        </w:rPr>
        <w:t xml:space="preserve"> as the </w:t>
      </w:r>
      <w:proofErr w:type="spellStart"/>
      <w:r w:rsidR="008D4F1B">
        <w:rPr>
          <w:rFonts w:ascii="Times New Roman" w:hAnsi="Times New Roman" w:cs="Times New Roman"/>
          <w:sz w:val="24"/>
          <w:szCs w:val="24"/>
          <w:lang w:val="en-US"/>
        </w:rPr>
        <w:t>allottee</w:t>
      </w:r>
      <w:proofErr w:type="spellEnd"/>
      <w:r w:rsidR="008D4F1B">
        <w:rPr>
          <w:rFonts w:ascii="Times New Roman" w:hAnsi="Times New Roman" w:cs="Times New Roman"/>
          <w:sz w:val="24"/>
          <w:szCs w:val="24"/>
          <w:lang w:val="en-US"/>
        </w:rPr>
        <w:t xml:space="preserve"> is not sufficient. No agreement was produced to evidence the nature of the devolution of the rights in the property to </w:t>
      </w:r>
      <w:proofErr w:type="gramStart"/>
      <w:r w:rsidR="008D4F1B">
        <w:rPr>
          <w:rFonts w:ascii="Times New Roman" w:hAnsi="Times New Roman" w:cs="Times New Roman"/>
          <w:sz w:val="24"/>
          <w:szCs w:val="24"/>
          <w:lang w:val="en-US"/>
        </w:rPr>
        <w:t>the applicant nor</w:t>
      </w:r>
      <w:proofErr w:type="gramEnd"/>
      <w:r w:rsidR="008D4F1B">
        <w:rPr>
          <w:rFonts w:ascii="Times New Roman" w:hAnsi="Times New Roman" w:cs="Times New Roman"/>
          <w:sz w:val="24"/>
          <w:szCs w:val="24"/>
          <w:lang w:val="en-US"/>
        </w:rPr>
        <w:t xml:space="preserve"> the terms thereof. The first respondent also produced a deposit slip as done by the applicant for the same amount of $100.00. He also produced a form which showed that he was an </w:t>
      </w:r>
      <w:proofErr w:type="spellStart"/>
      <w:r w:rsidR="008D4F1B">
        <w:rPr>
          <w:rFonts w:ascii="Times New Roman" w:hAnsi="Times New Roman" w:cs="Times New Roman"/>
          <w:sz w:val="24"/>
          <w:szCs w:val="24"/>
          <w:lang w:val="en-US"/>
        </w:rPr>
        <w:t>allottee</w:t>
      </w:r>
      <w:proofErr w:type="spellEnd"/>
      <w:r w:rsidR="008D4F1B">
        <w:rPr>
          <w:rFonts w:ascii="Times New Roman" w:hAnsi="Times New Roman" w:cs="Times New Roman"/>
          <w:sz w:val="24"/>
          <w:szCs w:val="24"/>
          <w:lang w:val="en-US"/>
        </w:rPr>
        <w:t xml:space="preserve"> who however would be required to execute an agreement later on but no agreement was produced. Whether or not rights or obligations which are by law subject to prescription arise is a factual consideration. The court must enquire into and resolve the facts. The facts surrounding the property are seriously disputed and not capable of resolution on the papers. The declaration sought relating to the legal status of the property which is in my view not subject to prescription cannot be made on the papers. The matter can only be resolved holistically if evidence is led at trial. The authors of the impasse being the Ministries concerned can be compelled to give evidence clear the issues arising. It is a proper case to refer to trial so that an informed declaration</w:t>
      </w:r>
      <w:r w:rsidR="00B54DF6">
        <w:rPr>
          <w:rFonts w:ascii="Times New Roman" w:hAnsi="Times New Roman" w:cs="Times New Roman"/>
          <w:sz w:val="24"/>
          <w:szCs w:val="24"/>
          <w:lang w:val="en-US"/>
        </w:rPr>
        <w:t xml:space="preserve"> may be made </w:t>
      </w:r>
      <w:r w:rsidR="00B54DF6">
        <w:rPr>
          <w:rFonts w:ascii="Times New Roman" w:hAnsi="Times New Roman" w:cs="Times New Roman"/>
          <w:sz w:val="24"/>
          <w:szCs w:val="24"/>
          <w:lang w:val="en-US"/>
        </w:rPr>
        <w:lastRenderedPageBreak/>
        <w:t>on the legal statu</w:t>
      </w:r>
      <w:r w:rsidR="008D4F1B">
        <w:rPr>
          <w:rFonts w:ascii="Times New Roman" w:hAnsi="Times New Roman" w:cs="Times New Roman"/>
          <w:sz w:val="24"/>
          <w:szCs w:val="24"/>
          <w:lang w:val="en-US"/>
        </w:rPr>
        <w:t>s of the property. Whether or not the applicant may vindicate the property is a separate enquiry.</w:t>
      </w:r>
    </w:p>
    <w:p w14:paraId="705989F7" w14:textId="14379D80" w:rsidR="008D4F1B" w:rsidRDefault="008D4F1B"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therefore dispose of this application as follows:</w:t>
      </w:r>
    </w:p>
    <w:p w14:paraId="34A1F039" w14:textId="0D379183" w:rsidR="008D4F1B" w:rsidRDefault="008D4F1B" w:rsidP="009947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ORDERED </w:t>
      </w:r>
    </w:p>
    <w:p w14:paraId="5F70A4CB" w14:textId="36ED85D8" w:rsidR="001E5546" w:rsidRDefault="001E5546" w:rsidP="001E5546">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is referred for trial.</w:t>
      </w:r>
    </w:p>
    <w:p w14:paraId="0064D289" w14:textId="444AC37B" w:rsidR="001E5546" w:rsidRDefault="001E5546" w:rsidP="001E5546">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applicant’s founding affidavit shall stand as the summons</w:t>
      </w:r>
    </w:p>
    <w:p w14:paraId="715AD282" w14:textId="10114B5F" w:rsidR="001E5546" w:rsidRDefault="001E5546" w:rsidP="001E5546">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opposing affidavit of the first respondent shall stand as the appearance to defend.</w:t>
      </w:r>
    </w:p>
    <w:p w14:paraId="6839E4F4" w14:textId="340A4270" w:rsidR="001E5546" w:rsidRDefault="001E5546" w:rsidP="001E5546">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shall within ten (10) days of the date of this order file his pleas or other answer to the claim as the rules may provide.</w:t>
      </w:r>
    </w:p>
    <w:p w14:paraId="1DE34CE9" w14:textId="216C5CB7" w:rsidR="001E5546" w:rsidRDefault="001E5546" w:rsidP="001E5546">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matter shall proceed hereafter in terms of the rules.</w:t>
      </w:r>
    </w:p>
    <w:p w14:paraId="076DFC15" w14:textId="5426366B" w:rsidR="001E5546" w:rsidRDefault="001E5546" w:rsidP="001E5546">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Costs shall remain in the cause.</w:t>
      </w:r>
    </w:p>
    <w:p w14:paraId="51EB8A51" w14:textId="77777777" w:rsidR="001E5546" w:rsidRDefault="001E5546" w:rsidP="001E5546">
      <w:pPr>
        <w:spacing w:after="0" w:line="360" w:lineRule="auto"/>
        <w:jc w:val="both"/>
        <w:rPr>
          <w:rFonts w:ascii="Times New Roman" w:hAnsi="Times New Roman" w:cs="Times New Roman"/>
          <w:sz w:val="24"/>
          <w:szCs w:val="24"/>
          <w:lang w:val="en-US"/>
        </w:rPr>
      </w:pPr>
    </w:p>
    <w:p w14:paraId="08138B38" w14:textId="77777777" w:rsidR="001E5546" w:rsidRDefault="001E5546" w:rsidP="001E5546">
      <w:pPr>
        <w:spacing w:after="0" w:line="360" w:lineRule="auto"/>
        <w:jc w:val="both"/>
        <w:rPr>
          <w:rFonts w:ascii="Times New Roman" w:hAnsi="Times New Roman" w:cs="Times New Roman"/>
          <w:sz w:val="24"/>
          <w:szCs w:val="24"/>
          <w:lang w:val="en-US"/>
        </w:rPr>
      </w:pPr>
    </w:p>
    <w:p w14:paraId="70D095B1" w14:textId="7B2A9E9D" w:rsidR="001E5546" w:rsidRDefault="001E5546" w:rsidP="001E5546">
      <w:pPr>
        <w:spacing w:after="0" w:line="240" w:lineRule="auto"/>
        <w:jc w:val="both"/>
        <w:rPr>
          <w:rFonts w:ascii="Times New Roman" w:hAnsi="Times New Roman" w:cs="Times New Roman"/>
          <w:sz w:val="24"/>
          <w:szCs w:val="24"/>
          <w:lang w:val="en-US"/>
        </w:rPr>
      </w:pPr>
      <w:proofErr w:type="spellStart"/>
      <w:r w:rsidRPr="001E5546">
        <w:rPr>
          <w:rFonts w:ascii="Times New Roman" w:hAnsi="Times New Roman" w:cs="Times New Roman"/>
          <w:b/>
          <w:smallCaps/>
          <w:sz w:val="24"/>
          <w:szCs w:val="24"/>
          <w:lang w:val="en-US"/>
        </w:rPr>
        <w:t>Chitapi</w:t>
      </w:r>
      <w:proofErr w:type="spellEnd"/>
      <w:r w:rsidRPr="001E5546">
        <w:rPr>
          <w:rFonts w:ascii="Times New Roman" w:hAnsi="Times New Roman" w:cs="Times New Roman"/>
          <w:b/>
          <w:smallCaps/>
          <w:sz w:val="24"/>
          <w:szCs w:val="24"/>
          <w:lang w:val="en-US"/>
        </w:rPr>
        <w:t xml:space="preserve"> J</w:t>
      </w:r>
      <w:r>
        <w:rPr>
          <w:rFonts w:ascii="Times New Roman" w:hAnsi="Times New Roman" w:cs="Times New Roman"/>
          <w:sz w:val="24"/>
          <w:szCs w:val="24"/>
          <w:lang w:val="en-US"/>
        </w:rPr>
        <w:t>: …………………………………………</w:t>
      </w:r>
    </w:p>
    <w:p w14:paraId="35A717B5" w14:textId="77777777" w:rsidR="001E5546" w:rsidRDefault="001E5546" w:rsidP="001E5546">
      <w:pPr>
        <w:spacing w:after="0" w:line="240" w:lineRule="auto"/>
        <w:jc w:val="both"/>
        <w:rPr>
          <w:rFonts w:ascii="Times New Roman" w:hAnsi="Times New Roman" w:cs="Times New Roman"/>
          <w:sz w:val="24"/>
          <w:szCs w:val="24"/>
          <w:lang w:val="en-US"/>
        </w:rPr>
      </w:pPr>
    </w:p>
    <w:p w14:paraId="06028421" w14:textId="43A947C9" w:rsidR="001E5546" w:rsidRDefault="001E5546" w:rsidP="001E5546">
      <w:pPr>
        <w:spacing w:after="0" w:line="240" w:lineRule="auto"/>
        <w:jc w:val="both"/>
        <w:rPr>
          <w:rFonts w:ascii="Times New Roman" w:hAnsi="Times New Roman" w:cs="Times New Roman"/>
          <w:sz w:val="24"/>
          <w:szCs w:val="24"/>
          <w:lang w:val="en-US"/>
        </w:rPr>
      </w:pPr>
      <w:proofErr w:type="spellStart"/>
      <w:r w:rsidRPr="001E5546">
        <w:rPr>
          <w:rFonts w:ascii="Times New Roman" w:hAnsi="Times New Roman" w:cs="Times New Roman"/>
          <w:i/>
          <w:sz w:val="24"/>
          <w:szCs w:val="24"/>
          <w:lang w:val="en-US"/>
        </w:rPr>
        <w:t>Muvhami</w:t>
      </w:r>
      <w:proofErr w:type="spellEnd"/>
      <w:r w:rsidRPr="001E5546">
        <w:rPr>
          <w:rFonts w:ascii="Times New Roman" w:hAnsi="Times New Roman" w:cs="Times New Roman"/>
          <w:i/>
          <w:sz w:val="24"/>
          <w:szCs w:val="24"/>
          <w:lang w:val="en-US"/>
        </w:rPr>
        <w:t xml:space="preserve"> Attorneys</w:t>
      </w:r>
      <w:r>
        <w:rPr>
          <w:rFonts w:ascii="Times New Roman" w:hAnsi="Times New Roman" w:cs="Times New Roman"/>
          <w:sz w:val="24"/>
          <w:szCs w:val="24"/>
          <w:lang w:val="en-US"/>
        </w:rPr>
        <w:t>, applicant’s legal practitioners</w:t>
      </w:r>
    </w:p>
    <w:p w14:paraId="15499A18" w14:textId="2ABB7CB7" w:rsidR="001E5546" w:rsidRPr="001E5546" w:rsidRDefault="001E5546" w:rsidP="001E5546">
      <w:pPr>
        <w:spacing w:after="0" w:line="240" w:lineRule="auto"/>
        <w:jc w:val="both"/>
        <w:rPr>
          <w:rFonts w:ascii="Times New Roman" w:hAnsi="Times New Roman" w:cs="Times New Roman"/>
          <w:sz w:val="24"/>
          <w:szCs w:val="24"/>
          <w:lang w:val="en-US"/>
        </w:rPr>
      </w:pPr>
      <w:proofErr w:type="spellStart"/>
      <w:r w:rsidRPr="001E5546">
        <w:rPr>
          <w:rFonts w:ascii="Times New Roman" w:hAnsi="Times New Roman" w:cs="Times New Roman"/>
          <w:i/>
          <w:sz w:val="24"/>
          <w:szCs w:val="24"/>
          <w:lang w:val="en-US"/>
        </w:rPr>
        <w:t>Tagwireyi</w:t>
      </w:r>
      <w:proofErr w:type="spellEnd"/>
      <w:r w:rsidRPr="001E5546">
        <w:rPr>
          <w:rFonts w:ascii="Times New Roman" w:hAnsi="Times New Roman" w:cs="Times New Roman"/>
          <w:i/>
          <w:sz w:val="24"/>
          <w:szCs w:val="24"/>
          <w:lang w:val="en-US"/>
        </w:rPr>
        <w:t xml:space="preserve"> &amp; Associates</w:t>
      </w:r>
      <w:r>
        <w:rPr>
          <w:rFonts w:ascii="Times New Roman" w:hAnsi="Times New Roman" w:cs="Times New Roman"/>
          <w:sz w:val="24"/>
          <w:szCs w:val="24"/>
          <w:lang w:val="en-US"/>
        </w:rPr>
        <w:t>, first respondent’s legal practitioners</w:t>
      </w:r>
    </w:p>
    <w:sectPr w:rsidR="001E5546" w:rsidRPr="001E554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B8311" w14:textId="77777777" w:rsidR="001D2E53" w:rsidRDefault="001D2E53" w:rsidP="0088413A">
      <w:pPr>
        <w:spacing w:after="0" w:line="240" w:lineRule="auto"/>
      </w:pPr>
      <w:r>
        <w:separator/>
      </w:r>
    </w:p>
  </w:endnote>
  <w:endnote w:type="continuationSeparator" w:id="0">
    <w:p w14:paraId="6542EDA9" w14:textId="77777777" w:rsidR="001D2E53" w:rsidRDefault="001D2E53" w:rsidP="00884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16515" w14:textId="77777777" w:rsidR="001D2E53" w:rsidRDefault="001D2E53" w:rsidP="0088413A">
      <w:pPr>
        <w:spacing w:after="0" w:line="240" w:lineRule="auto"/>
      </w:pPr>
      <w:r>
        <w:separator/>
      </w:r>
    </w:p>
  </w:footnote>
  <w:footnote w:type="continuationSeparator" w:id="0">
    <w:p w14:paraId="4472DB62" w14:textId="77777777" w:rsidR="001D2E53" w:rsidRDefault="001D2E53" w:rsidP="00884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218367"/>
      <w:docPartObj>
        <w:docPartGallery w:val="Page Numbers (Top of Page)"/>
        <w:docPartUnique/>
      </w:docPartObj>
    </w:sdtPr>
    <w:sdtEndPr>
      <w:rPr>
        <w:noProof/>
      </w:rPr>
    </w:sdtEndPr>
    <w:sdtContent>
      <w:p w14:paraId="1072B9B8" w14:textId="77777777" w:rsidR="00E4451A" w:rsidRDefault="00E4451A">
        <w:pPr>
          <w:pStyle w:val="Header"/>
          <w:jc w:val="right"/>
          <w:rPr>
            <w:noProof/>
          </w:rPr>
        </w:pPr>
        <w:r>
          <w:fldChar w:fldCharType="begin"/>
        </w:r>
        <w:r>
          <w:instrText xml:space="preserve"> PAGE   \* MERGEFORMAT </w:instrText>
        </w:r>
        <w:r>
          <w:fldChar w:fldCharType="separate"/>
        </w:r>
        <w:r w:rsidR="0037425A">
          <w:rPr>
            <w:noProof/>
          </w:rPr>
          <w:t>1</w:t>
        </w:r>
        <w:r>
          <w:rPr>
            <w:noProof/>
          </w:rPr>
          <w:fldChar w:fldCharType="end"/>
        </w:r>
      </w:p>
      <w:p w14:paraId="4AB9077F" w14:textId="309A6653" w:rsidR="00236309" w:rsidRDefault="00236309">
        <w:pPr>
          <w:pStyle w:val="Header"/>
          <w:jc w:val="right"/>
          <w:rPr>
            <w:noProof/>
          </w:rPr>
        </w:pPr>
        <w:r>
          <w:rPr>
            <w:noProof/>
          </w:rPr>
          <w:t>HH 496 - 25</w:t>
        </w:r>
      </w:p>
      <w:p w14:paraId="2CFA1ACF" w14:textId="470DDDBC" w:rsidR="00E4451A" w:rsidRDefault="00E4451A">
        <w:pPr>
          <w:pStyle w:val="Header"/>
          <w:jc w:val="right"/>
        </w:pPr>
        <w:r>
          <w:rPr>
            <w:noProof/>
          </w:rPr>
          <w:t>HC 1592/24</w:t>
        </w:r>
      </w:p>
    </w:sdtContent>
  </w:sdt>
  <w:p w14:paraId="3E0391F4" w14:textId="77777777" w:rsidR="00E4451A" w:rsidRDefault="00E44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422D"/>
    <w:multiLevelType w:val="hybridMultilevel"/>
    <w:tmpl w:val="0CB8686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9C16F93"/>
    <w:multiLevelType w:val="hybridMultilevel"/>
    <w:tmpl w:val="42229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102E55"/>
    <w:multiLevelType w:val="hybridMultilevel"/>
    <w:tmpl w:val="39A49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40"/>
    <w:rsid w:val="00004BE9"/>
    <w:rsid w:val="000660E1"/>
    <w:rsid w:val="00087959"/>
    <w:rsid w:val="000A1540"/>
    <w:rsid w:val="000B415E"/>
    <w:rsid w:val="000B5B22"/>
    <w:rsid w:val="000E3DE2"/>
    <w:rsid w:val="000F05E8"/>
    <w:rsid w:val="0010732E"/>
    <w:rsid w:val="00117A3C"/>
    <w:rsid w:val="00142E5D"/>
    <w:rsid w:val="001A3E8C"/>
    <w:rsid w:val="001B01D3"/>
    <w:rsid w:val="001D2E53"/>
    <w:rsid w:val="001E5546"/>
    <w:rsid w:val="001F406E"/>
    <w:rsid w:val="001F4927"/>
    <w:rsid w:val="00235343"/>
    <w:rsid w:val="00236309"/>
    <w:rsid w:val="002373BE"/>
    <w:rsid w:val="00237B82"/>
    <w:rsid w:val="002576F5"/>
    <w:rsid w:val="00260FA6"/>
    <w:rsid w:val="002846BE"/>
    <w:rsid w:val="002B759A"/>
    <w:rsid w:val="002D3727"/>
    <w:rsid w:val="002D7483"/>
    <w:rsid w:val="002E25DD"/>
    <w:rsid w:val="002E2A8F"/>
    <w:rsid w:val="00305A5E"/>
    <w:rsid w:val="003155CA"/>
    <w:rsid w:val="00335EEB"/>
    <w:rsid w:val="003517B1"/>
    <w:rsid w:val="00370CEE"/>
    <w:rsid w:val="0037425A"/>
    <w:rsid w:val="003749A6"/>
    <w:rsid w:val="00383DB4"/>
    <w:rsid w:val="003A0DF7"/>
    <w:rsid w:val="003A4EB2"/>
    <w:rsid w:val="003D0ADC"/>
    <w:rsid w:val="003E4D61"/>
    <w:rsid w:val="003F3606"/>
    <w:rsid w:val="0040157A"/>
    <w:rsid w:val="004102C0"/>
    <w:rsid w:val="004366AC"/>
    <w:rsid w:val="004475F0"/>
    <w:rsid w:val="00462C7E"/>
    <w:rsid w:val="004646DA"/>
    <w:rsid w:val="004742F3"/>
    <w:rsid w:val="00474459"/>
    <w:rsid w:val="004751D3"/>
    <w:rsid w:val="004762A4"/>
    <w:rsid w:val="004B07B4"/>
    <w:rsid w:val="004B74A3"/>
    <w:rsid w:val="004C7555"/>
    <w:rsid w:val="004F1399"/>
    <w:rsid w:val="004F7F3B"/>
    <w:rsid w:val="00520913"/>
    <w:rsid w:val="00552A1C"/>
    <w:rsid w:val="00553645"/>
    <w:rsid w:val="00580026"/>
    <w:rsid w:val="00597112"/>
    <w:rsid w:val="005D3100"/>
    <w:rsid w:val="005D4E4A"/>
    <w:rsid w:val="005D7A9E"/>
    <w:rsid w:val="005F57EA"/>
    <w:rsid w:val="005F705E"/>
    <w:rsid w:val="006064C7"/>
    <w:rsid w:val="00607C58"/>
    <w:rsid w:val="0061528A"/>
    <w:rsid w:val="00640B4E"/>
    <w:rsid w:val="00664991"/>
    <w:rsid w:val="00665446"/>
    <w:rsid w:val="006814B3"/>
    <w:rsid w:val="00687C2A"/>
    <w:rsid w:val="00695358"/>
    <w:rsid w:val="0069555A"/>
    <w:rsid w:val="006A7A77"/>
    <w:rsid w:val="006C4F73"/>
    <w:rsid w:val="006D231E"/>
    <w:rsid w:val="006D69AE"/>
    <w:rsid w:val="006E1964"/>
    <w:rsid w:val="006E608B"/>
    <w:rsid w:val="006F5688"/>
    <w:rsid w:val="006F5920"/>
    <w:rsid w:val="0072221B"/>
    <w:rsid w:val="00723ED5"/>
    <w:rsid w:val="007410FA"/>
    <w:rsid w:val="00746ACC"/>
    <w:rsid w:val="00763083"/>
    <w:rsid w:val="00772039"/>
    <w:rsid w:val="007B03EE"/>
    <w:rsid w:val="007B2876"/>
    <w:rsid w:val="007C0606"/>
    <w:rsid w:val="007C6846"/>
    <w:rsid w:val="00800933"/>
    <w:rsid w:val="00805A90"/>
    <w:rsid w:val="0081408A"/>
    <w:rsid w:val="008206D7"/>
    <w:rsid w:val="008308E5"/>
    <w:rsid w:val="00844DE5"/>
    <w:rsid w:val="00850285"/>
    <w:rsid w:val="008674F1"/>
    <w:rsid w:val="0088413A"/>
    <w:rsid w:val="00895207"/>
    <w:rsid w:val="008B1575"/>
    <w:rsid w:val="008D4F1B"/>
    <w:rsid w:val="008E4FDE"/>
    <w:rsid w:val="008F10B4"/>
    <w:rsid w:val="008F13AE"/>
    <w:rsid w:val="008F23BE"/>
    <w:rsid w:val="009340CD"/>
    <w:rsid w:val="00990500"/>
    <w:rsid w:val="0099472C"/>
    <w:rsid w:val="0099697C"/>
    <w:rsid w:val="009A7581"/>
    <w:rsid w:val="009A771C"/>
    <w:rsid w:val="009D3EDA"/>
    <w:rsid w:val="009E6359"/>
    <w:rsid w:val="009F5653"/>
    <w:rsid w:val="00A62139"/>
    <w:rsid w:val="00A84E25"/>
    <w:rsid w:val="00A85D96"/>
    <w:rsid w:val="00A8722C"/>
    <w:rsid w:val="00A9285A"/>
    <w:rsid w:val="00AB7EA7"/>
    <w:rsid w:val="00AC5797"/>
    <w:rsid w:val="00AE1BDB"/>
    <w:rsid w:val="00B177C3"/>
    <w:rsid w:val="00B35719"/>
    <w:rsid w:val="00B47198"/>
    <w:rsid w:val="00B54DF6"/>
    <w:rsid w:val="00B70E16"/>
    <w:rsid w:val="00B84C29"/>
    <w:rsid w:val="00B93640"/>
    <w:rsid w:val="00BA76F5"/>
    <w:rsid w:val="00BB57BE"/>
    <w:rsid w:val="00BF56C1"/>
    <w:rsid w:val="00C1040E"/>
    <w:rsid w:val="00C10DEE"/>
    <w:rsid w:val="00C1184F"/>
    <w:rsid w:val="00C27128"/>
    <w:rsid w:val="00C32E6C"/>
    <w:rsid w:val="00C7097C"/>
    <w:rsid w:val="00C727E0"/>
    <w:rsid w:val="00C907E3"/>
    <w:rsid w:val="00C93A63"/>
    <w:rsid w:val="00CB6A45"/>
    <w:rsid w:val="00CD043D"/>
    <w:rsid w:val="00CD0A5D"/>
    <w:rsid w:val="00CE0F9A"/>
    <w:rsid w:val="00D07C63"/>
    <w:rsid w:val="00D3330E"/>
    <w:rsid w:val="00D45F87"/>
    <w:rsid w:val="00D4630D"/>
    <w:rsid w:val="00D50539"/>
    <w:rsid w:val="00D631E9"/>
    <w:rsid w:val="00D67846"/>
    <w:rsid w:val="00D710B3"/>
    <w:rsid w:val="00D976DD"/>
    <w:rsid w:val="00DA71DC"/>
    <w:rsid w:val="00DB3A33"/>
    <w:rsid w:val="00DF2A6F"/>
    <w:rsid w:val="00E07001"/>
    <w:rsid w:val="00E4451A"/>
    <w:rsid w:val="00E551C2"/>
    <w:rsid w:val="00E553B0"/>
    <w:rsid w:val="00E84A9B"/>
    <w:rsid w:val="00E936E9"/>
    <w:rsid w:val="00EB4296"/>
    <w:rsid w:val="00EB499D"/>
    <w:rsid w:val="00ED51F3"/>
    <w:rsid w:val="00ED73B7"/>
    <w:rsid w:val="00EE0606"/>
    <w:rsid w:val="00EE0927"/>
    <w:rsid w:val="00EE123E"/>
    <w:rsid w:val="00EE599D"/>
    <w:rsid w:val="00EF3625"/>
    <w:rsid w:val="00EF465A"/>
    <w:rsid w:val="00EF4BFF"/>
    <w:rsid w:val="00F31CB2"/>
    <w:rsid w:val="00F50F14"/>
    <w:rsid w:val="00F93C27"/>
    <w:rsid w:val="00FA6506"/>
    <w:rsid w:val="00FD0A06"/>
    <w:rsid w:val="00FD41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3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3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3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3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3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3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3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3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3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3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3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640"/>
    <w:rPr>
      <w:rFonts w:eastAsiaTheme="majorEastAsia" w:cstheme="majorBidi"/>
      <w:color w:val="272727" w:themeColor="text1" w:themeTint="D8"/>
    </w:rPr>
  </w:style>
  <w:style w:type="paragraph" w:styleId="Title">
    <w:name w:val="Title"/>
    <w:basedOn w:val="Normal"/>
    <w:next w:val="Normal"/>
    <w:link w:val="TitleChar"/>
    <w:uiPriority w:val="10"/>
    <w:qFormat/>
    <w:rsid w:val="00B93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640"/>
    <w:pPr>
      <w:spacing w:before="160"/>
      <w:jc w:val="center"/>
    </w:pPr>
    <w:rPr>
      <w:i/>
      <w:iCs/>
      <w:color w:val="404040" w:themeColor="text1" w:themeTint="BF"/>
    </w:rPr>
  </w:style>
  <w:style w:type="character" w:customStyle="1" w:styleId="QuoteChar">
    <w:name w:val="Quote Char"/>
    <w:basedOn w:val="DefaultParagraphFont"/>
    <w:link w:val="Quote"/>
    <w:uiPriority w:val="29"/>
    <w:rsid w:val="00B93640"/>
    <w:rPr>
      <w:i/>
      <w:iCs/>
      <w:color w:val="404040" w:themeColor="text1" w:themeTint="BF"/>
    </w:rPr>
  </w:style>
  <w:style w:type="paragraph" w:styleId="ListParagraph">
    <w:name w:val="List Paragraph"/>
    <w:basedOn w:val="Normal"/>
    <w:uiPriority w:val="34"/>
    <w:qFormat/>
    <w:rsid w:val="00B93640"/>
    <w:pPr>
      <w:ind w:left="720"/>
      <w:contextualSpacing/>
    </w:pPr>
  </w:style>
  <w:style w:type="character" w:styleId="IntenseEmphasis">
    <w:name w:val="Intense Emphasis"/>
    <w:basedOn w:val="DefaultParagraphFont"/>
    <w:uiPriority w:val="21"/>
    <w:qFormat/>
    <w:rsid w:val="00B93640"/>
    <w:rPr>
      <w:i/>
      <w:iCs/>
      <w:color w:val="2F5496" w:themeColor="accent1" w:themeShade="BF"/>
    </w:rPr>
  </w:style>
  <w:style w:type="paragraph" w:styleId="IntenseQuote">
    <w:name w:val="Intense Quote"/>
    <w:basedOn w:val="Normal"/>
    <w:next w:val="Normal"/>
    <w:link w:val="IntenseQuoteChar"/>
    <w:uiPriority w:val="30"/>
    <w:qFormat/>
    <w:rsid w:val="00B93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3640"/>
    <w:rPr>
      <w:i/>
      <w:iCs/>
      <w:color w:val="2F5496" w:themeColor="accent1" w:themeShade="BF"/>
    </w:rPr>
  </w:style>
  <w:style w:type="character" w:styleId="IntenseReference">
    <w:name w:val="Intense Reference"/>
    <w:basedOn w:val="DefaultParagraphFont"/>
    <w:uiPriority w:val="32"/>
    <w:qFormat/>
    <w:rsid w:val="00B93640"/>
    <w:rPr>
      <w:b/>
      <w:bCs/>
      <w:smallCaps/>
      <w:color w:val="2F5496" w:themeColor="accent1" w:themeShade="BF"/>
      <w:spacing w:val="5"/>
    </w:rPr>
  </w:style>
  <w:style w:type="character" w:styleId="Hyperlink">
    <w:name w:val="Hyperlink"/>
    <w:basedOn w:val="DefaultParagraphFont"/>
    <w:uiPriority w:val="99"/>
    <w:unhideWhenUsed/>
    <w:rsid w:val="005D4E4A"/>
    <w:rPr>
      <w:color w:val="0563C1" w:themeColor="hyperlink"/>
      <w:u w:val="single"/>
    </w:rPr>
  </w:style>
  <w:style w:type="paragraph" w:styleId="BodyText">
    <w:name w:val="Body Text"/>
    <w:basedOn w:val="Normal"/>
    <w:link w:val="BodyTextChar"/>
    <w:uiPriority w:val="99"/>
    <w:rsid w:val="003F3606"/>
    <w:pPr>
      <w:spacing w:after="0" w:line="240" w:lineRule="auto"/>
      <w:jc w:val="center"/>
    </w:pPr>
    <w:rPr>
      <w:rFonts w:ascii="Courier New" w:eastAsia="Times New Roman" w:hAnsi="Courier New" w:cs="Times New Roman"/>
      <w:kern w:val="0"/>
      <w:sz w:val="24"/>
      <w:szCs w:val="20"/>
      <w:lang w:val="en-US"/>
      <w14:ligatures w14:val="none"/>
    </w:rPr>
  </w:style>
  <w:style w:type="character" w:customStyle="1" w:styleId="BodyTextChar">
    <w:name w:val="Body Text Char"/>
    <w:basedOn w:val="DefaultParagraphFont"/>
    <w:link w:val="BodyText"/>
    <w:uiPriority w:val="99"/>
    <w:rsid w:val="003F3606"/>
    <w:rPr>
      <w:rFonts w:ascii="Courier New" w:eastAsia="Times New Roman" w:hAnsi="Courier New" w:cs="Times New Roman"/>
      <w:kern w:val="0"/>
      <w:sz w:val="24"/>
      <w:szCs w:val="20"/>
      <w:lang w:val="en-US"/>
      <w14:ligatures w14:val="none"/>
    </w:rPr>
  </w:style>
  <w:style w:type="paragraph" w:styleId="NoSpacing">
    <w:name w:val="No Spacing"/>
    <w:uiPriority w:val="1"/>
    <w:qFormat/>
    <w:rsid w:val="00A84E25"/>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884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3A"/>
  </w:style>
  <w:style w:type="paragraph" w:styleId="Footer">
    <w:name w:val="footer"/>
    <w:basedOn w:val="Normal"/>
    <w:link w:val="FooterChar"/>
    <w:uiPriority w:val="99"/>
    <w:unhideWhenUsed/>
    <w:rsid w:val="00884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3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3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3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3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3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3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3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3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3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3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3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640"/>
    <w:rPr>
      <w:rFonts w:eastAsiaTheme="majorEastAsia" w:cstheme="majorBidi"/>
      <w:color w:val="272727" w:themeColor="text1" w:themeTint="D8"/>
    </w:rPr>
  </w:style>
  <w:style w:type="paragraph" w:styleId="Title">
    <w:name w:val="Title"/>
    <w:basedOn w:val="Normal"/>
    <w:next w:val="Normal"/>
    <w:link w:val="TitleChar"/>
    <w:uiPriority w:val="10"/>
    <w:qFormat/>
    <w:rsid w:val="00B93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640"/>
    <w:pPr>
      <w:spacing w:before="160"/>
      <w:jc w:val="center"/>
    </w:pPr>
    <w:rPr>
      <w:i/>
      <w:iCs/>
      <w:color w:val="404040" w:themeColor="text1" w:themeTint="BF"/>
    </w:rPr>
  </w:style>
  <w:style w:type="character" w:customStyle="1" w:styleId="QuoteChar">
    <w:name w:val="Quote Char"/>
    <w:basedOn w:val="DefaultParagraphFont"/>
    <w:link w:val="Quote"/>
    <w:uiPriority w:val="29"/>
    <w:rsid w:val="00B93640"/>
    <w:rPr>
      <w:i/>
      <w:iCs/>
      <w:color w:val="404040" w:themeColor="text1" w:themeTint="BF"/>
    </w:rPr>
  </w:style>
  <w:style w:type="paragraph" w:styleId="ListParagraph">
    <w:name w:val="List Paragraph"/>
    <w:basedOn w:val="Normal"/>
    <w:uiPriority w:val="34"/>
    <w:qFormat/>
    <w:rsid w:val="00B93640"/>
    <w:pPr>
      <w:ind w:left="720"/>
      <w:contextualSpacing/>
    </w:pPr>
  </w:style>
  <w:style w:type="character" w:styleId="IntenseEmphasis">
    <w:name w:val="Intense Emphasis"/>
    <w:basedOn w:val="DefaultParagraphFont"/>
    <w:uiPriority w:val="21"/>
    <w:qFormat/>
    <w:rsid w:val="00B93640"/>
    <w:rPr>
      <w:i/>
      <w:iCs/>
      <w:color w:val="2F5496" w:themeColor="accent1" w:themeShade="BF"/>
    </w:rPr>
  </w:style>
  <w:style w:type="paragraph" w:styleId="IntenseQuote">
    <w:name w:val="Intense Quote"/>
    <w:basedOn w:val="Normal"/>
    <w:next w:val="Normal"/>
    <w:link w:val="IntenseQuoteChar"/>
    <w:uiPriority w:val="30"/>
    <w:qFormat/>
    <w:rsid w:val="00B93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3640"/>
    <w:rPr>
      <w:i/>
      <w:iCs/>
      <w:color w:val="2F5496" w:themeColor="accent1" w:themeShade="BF"/>
    </w:rPr>
  </w:style>
  <w:style w:type="character" w:styleId="IntenseReference">
    <w:name w:val="Intense Reference"/>
    <w:basedOn w:val="DefaultParagraphFont"/>
    <w:uiPriority w:val="32"/>
    <w:qFormat/>
    <w:rsid w:val="00B93640"/>
    <w:rPr>
      <w:b/>
      <w:bCs/>
      <w:smallCaps/>
      <w:color w:val="2F5496" w:themeColor="accent1" w:themeShade="BF"/>
      <w:spacing w:val="5"/>
    </w:rPr>
  </w:style>
  <w:style w:type="character" w:styleId="Hyperlink">
    <w:name w:val="Hyperlink"/>
    <w:basedOn w:val="DefaultParagraphFont"/>
    <w:uiPriority w:val="99"/>
    <w:unhideWhenUsed/>
    <w:rsid w:val="005D4E4A"/>
    <w:rPr>
      <w:color w:val="0563C1" w:themeColor="hyperlink"/>
      <w:u w:val="single"/>
    </w:rPr>
  </w:style>
  <w:style w:type="paragraph" w:styleId="BodyText">
    <w:name w:val="Body Text"/>
    <w:basedOn w:val="Normal"/>
    <w:link w:val="BodyTextChar"/>
    <w:uiPriority w:val="99"/>
    <w:rsid w:val="003F3606"/>
    <w:pPr>
      <w:spacing w:after="0" w:line="240" w:lineRule="auto"/>
      <w:jc w:val="center"/>
    </w:pPr>
    <w:rPr>
      <w:rFonts w:ascii="Courier New" w:eastAsia="Times New Roman" w:hAnsi="Courier New" w:cs="Times New Roman"/>
      <w:kern w:val="0"/>
      <w:sz w:val="24"/>
      <w:szCs w:val="20"/>
      <w:lang w:val="en-US"/>
      <w14:ligatures w14:val="none"/>
    </w:rPr>
  </w:style>
  <w:style w:type="character" w:customStyle="1" w:styleId="BodyTextChar">
    <w:name w:val="Body Text Char"/>
    <w:basedOn w:val="DefaultParagraphFont"/>
    <w:link w:val="BodyText"/>
    <w:uiPriority w:val="99"/>
    <w:rsid w:val="003F3606"/>
    <w:rPr>
      <w:rFonts w:ascii="Courier New" w:eastAsia="Times New Roman" w:hAnsi="Courier New" w:cs="Times New Roman"/>
      <w:kern w:val="0"/>
      <w:sz w:val="24"/>
      <w:szCs w:val="20"/>
      <w:lang w:val="en-US"/>
      <w14:ligatures w14:val="none"/>
    </w:rPr>
  </w:style>
  <w:style w:type="paragraph" w:styleId="NoSpacing">
    <w:name w:val="No Spacing"/>
    <w:uiPriority w:val="1"/>
    <w:qFormat/>
    <w:rsid w:val="00A84E25"/>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884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3A"/>
  </w:style>
  <w:style w:type="paragraph" w:styleId="Footer">
    <w:name w:val="footer"/>
    <w:basedOn w:val="Normal"/>
    <w:link w:val="FooterChar"/>
    <w:uiPriority w:val="99"/>
    <w:unhideWhenUsed/>
    <w:rsid w:val="00884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F84DE-94A1-4B01-A028-9ADA1F48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2025-09-12T10:37:00Z</dcterms:created>
  <dcterms:modified xsi:type="dcterms:W3CDTF">2025-09-12T10:37:00Z</dcterms:modified>
</cp:coreProperties>
</file>