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7D5" w:rsidRDefault="00F833F4" w:rsidP="00B437D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PROCUREMENT REGULATORY AUTHORITY OF ZIMBABWE</w:t>
      </w:r>
    </w:p>
    <w:p w:rsidR="00B437D5" w:rsidRPr="00923740" w:rsidRDefault="00B437D5"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B437D5" w:rsidRDefault="00F833F4"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NYASHA CHIZU</w:t>
      </w:r>
    </w:p>
    <w:p w:rsidR="002161FD" w:rsidRDefault="002161FD" w:rsidP="00B437D5">
      <w:pPr>
        <w:spacing w:after="0" w:line="240" w:lineRule="auto"/>
        <w:rPr>
          <w:rFonts w:ascii="Times New Roman" w:hAnsi="Times New Roman" w:cs="Times New Roman"/>
          <w:sz w:val="24"/>
          <w:szCs w:val="24"/>
        </w:rPr>
      </w:pPr>
    </w:p>
    <w:p w:rsidR="00B437D5" w:rsidRDefault="00B437D5" w:rsidP="00B437D5">
      <w:pPr>
        <w:spacing w:after="0" w:line="240" w:lineRule="auto"/>
        <w:rPr>
          <w:rFonts w:ascii="Times New Roman" w:hAnsi="Times New Roman" w:cs="Times New Roman"/>
          <w:sz w:val="24"/>
          <w:szCs w:val="24"/>
        </w:rPr>
      </w:pPr>
    </w:p>
    <w:p w:rsidR="00B437D5" w:rsidRPr="002B389B"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B437D5" w:rsidRPr="002B389B" w:rsidRDefault="002161FD"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rsidR="00B437D5"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F833F4">
        <w:rPr>
          <w:rFonts w:ascii="Times New Roman" w:hAnsi="Times New Roman" w:cs="Times New Roman"/>
          <w:sz w:val="24"/>
          <w:szCs w:val="24"/>
        </w:rPr>
        <w:t>,</w:t>
      </w:r>
      <w:r>
        <w:rPr>
          <w:rFonts w:ascii="Times New Roman" w:hAnsi="Times New Roman" w:cs="Times New Roman"/>
          <w:sz w:val="24"/>
          <w:szCs w:val="24"/>
        </w:rPr>
        <w:t xml:space="preserve"> </w:t>
      </w:r>
      <w:r w:rsidR="00F419EE">
        <w:rPr>
          <w:rFonts w:ascii="Times New Roman" w:hAnsi="Times New Roman" w:cs="Times New Roman"/>
          <w:sz w:val="24"/>
          <w:szCs w:val="24"/>
        </w:rPr>
        <w:t>15 October 2021 &amp; 15</w:t>
      </w:r>
      <w:r w:rsidR="00D46DE3">
        <w:rPr>
          <w:rFonts w:ascii="Times New Roman" w:hAnsi="Times New Roman" w:cs="Times New Roman"/>
          <w:sz w:val="24"/>
          <w:szCs w:val="24"/>
        </w:rPr>
        <w:t xml:space="preserve"> September </w:t>
      </w:r>
      <w:r w:rsidR="00A8518E">
        <w:rPr>
          <w:rFonts w:ascii="Times New Roman" w:hAnsi="Times New Roman" w:cs="Times New Roman"/>
          <w:sz w:val="24"/>
          <w:szCs w:val="24"/>
        </w:rPr>
        <w:t>2022</w:t>
      </w:r>
    </w:p>
    <w:p w:rsidR="00B437D5" w:rsidRDefault="00B437D5"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sz w:val="24"/>
          <w:szCs w:val="24"/>
        </w:rPr>
      </w:pPr>
    </w:p>
    <w:p w:rsidR="00B437D5" w:rsidRPr="00F833F4" w:rsidRDefault="002161FD" w:rsidP="00B437D5">
      <w:pPr>
        <w:spacing w:after="0" w:line="240" w:lineRule="auto"/>
        <w:rPr>
          <w:rFonts w:ascii="Times New Roman" w:hAnsi="Times New Roman" w:cs="Times New Roman"/>
          <w:b/>
          <w:i/>
          <w:sz w:val="24"/>
          <w:szCs w:val="24"/>
        </w:rPr>
      </w:pPr>
      <w:r>
        <w:rPr>
          <w:rFonts w:ascii="Times New Roman" w:hAnsi="Times New Roman" w:cs="Times New Roman"/>
          <w:b/>
          <w:sz w:val="24"/>
          <w:szCs w:val="24"/>
        </w:rPr>
        <w:t xml:space="preserve">Court Application for </w:t>
      </w:r>
      <w:r w:rsidR="006D779B" w:rsidRPr="006D779B">
        <w:rPr>
          <w:rFonts w:ascii="Times New Roman" w:hAnsi="Times New Roman" w:cs="Times New Roman"/>
          <w:b/>
          <w:i/>
          <w:sz w:val="24"/>
          <w:szCs w:val="24"/>
        </w:rPr>
        <w:t>R</w:t>
      </w:r>
      <w:r w:rsidR="00F833F4" w:rsidRPr="00F833F4">
        <w:rPr>
          <w:rFonts w:ascii="Times New Roman" w:hAnsi="Times New Roman" w:cs="Times New Roman"/>
          <w:b/>
          <w:i/>
          <w:sz w:val="24"/>
          <w:szCs w:val="24"/>
        </w:rPr>
        <w:t xml:space="preserve">ei Vindicatio </w:t>
      </w:r>
    </w:p>
    <w:p w:rsidR="00B437D5" w:rsidRPr="00F833F4" w:rsidRDefault="00B437D5" w:rsidP="00B437D5">
      <w:pPr>
        <w:spacing w:after="0" w:line="240" w:lineRule="auto"/>
        <w:rPr>
          <w:rFonts w:ascii="Times New Roman" w:hAnsi="Times New Roman" w:cs="Times New Roman"/>
          <w:b/>
          <w:i/>
          <w:sz w:val="24"/>
          <w:szCs w:val="24"/>
        </w:rPr>
      </w:pPr>
    </w:p>
    <w:p w:rsidR="00B437D5" w:rsidRDefault="00B437D5" w:rsidP="00B437D5">
      <w:pPr>
        <w:spacing w:after="0" w:line="240" w:lineRule="auto"/>
        <w:rPr>
          <w:rFonts w:ascii="Times New Roman" w:hAnsi="Times New Roman" w:cs="Times New Roman"/>
          <w:b/>
          <w:sz w:val="24"/>
          <w:szCs w:val="24"/>
        </w:rPr>
      </w:pPr>
    </w:p>
    <w:p w:rsidR="00B437D5" w:rsidRPr="008D7AC6" w:rsidRDefault="00F833F4"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A</w:t>
      </w:r>
      <w:r w:rsidR="003C69A8">
        <w:rPr>
          <w:rFonts w:ascii="Times New Roman" w:hAnsi="Times New Roman" w:cs="Times New Roman"/>
          <w:i/>
          <w:sz w:val="24"/>
          <w:szCs w:val="24"/>
        </w:rPr>
        <w:t xml:space="preserve"> Moyo</w:t>
      </w:r>
      <w:r w:rsidR="00B437D5">
        <w:rPr>
          <w:rFonts w:ascii="Times New Roman" w:hAnsi="Times New Roman" w:cs="Times New Roman"/>
          <w:i/>
          <w:sz w:val="24"/>
          <w:szCs w:val="24"/>
        </w:rPr>
        <w:t xml:space="preserve">, </w:t>
      </w:r>
      <w:r w:rsidR="00B437D5" w:rsidRPr="008D7AC6">
        <w:rPr>
          <w:rFonts w:ascii="Times New Roman" w:hAnsi="Times New Roman" w:cs="Times New Roman"/>
          <w:sz w:val="24"/>
          <w:szCs w:val="24"/>
        </w:rPr>
        <w:t xml:space="preserve">for </w:t>
      </w:r>
      <w:r w:rsidR="00B437D5">
        <w:rPr>
          <w:rFonts w:ascii="Times New Roman" w:hAnsi="Times New Roman" w:cs="Times New Roman"/>
          <w:sz w:val="24"/>
          <w:szCs w:val="24"/>
        </w:rPr>
        <w:t xml:space="preserve">the </w:t>
      </w:r>
      <w:r w:rsidR="003C69A8">
        <w:rPr>
          <w:rFonts w:ascii="Times New Roman" w:hAnsi="Times New Roman" w:cs="Times New Roman"/>
          <w:sz w:val="24"/>
          <w:szCs w:val="24"/>
        </w:rPr>
        <w:t>applicant</w:t>
      </w:r>
    </w:p>
    <w:p w:rsidR="00B437D5" w:rsidRDefault="00F833F4"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C Nyengedza,</w:t>
      </w:r>
      <w:r w:rsidR="00B437D5">
        <w:rPr>
          <w:rFonts w:ascii="Times New Roman" w:hAnsi="Times New Roman" w:cs="Times New Roman"/>
          <w:i/>
          <w:sz w:val="24"/>
          <w:szCs w:val="24"/>
        </w:rPr>
        <w:t xml:space="preserve"> </w:t>
      </w:r>
      <w:r w:rsidR="00B437D5" w:rsidRPr="0007429D">
        <w:rPr>
          <w:rFonts w:ascii="Times New Roman" w:hAnsi="Times New Roman" w:cs="Times New Roman"/>
          <w:sz w:val="24"/>
          <w:szCs w:val="24"/>
        </w:rPr>
        <w:t>for the</w:t>
      </w:r>
      <w:r w:rsidR="00B437D5">
        <w:rPr>
          <w:rFonts w:ascii="Times New Roman" w:hAnsi="Times New Roman" w:cs="Times New Roman"/>
          <w:sz w:val="24"/>
          <w:szCs w:val="24"/>
        </w:rPr>
        <w:t xml:space="preserve"> respondent</w:t>
      </w:r>
    </w:p>
    <w:p w:rsidR="00B437D5" w:rsidRDefault="00B437D5" w:rsidP="00B437D5">
      <w:pPr>
        <w:spacing w:after="0" w:line="240" w:lineRule="auto"/>
        <w:rPr>
          <w:rFonts w:ascii="Times New Roman" w:hAnsi="Times New Roman" w:cs="Times New Roman"/>
          <w:sz w:val="24"/>
          <w:szCs w:val="24"/>
        </w:rPr>
      </w:pPr>
    </w:p>
    <w:p w:rsidR="00B437D5" w:rsidRDefault="00B437D5" w:rsidP="00B437D5">
      <w:pPr>
        <w:spacing w:after="0" w:line="240" w:lineRule="auto"/>
        <w:rPr>
          <w:rFonts w:ascii="Times New Roman" w:hAnsi="Times New Roman" w:cs="Times New Roman"/>
          <w:i/>
          <w:sz w:val="24"/>
          <w:szCs w:val="24"/>
        </w:rPr>
      </w:pPr>
    </w:p>
    <w:p w:rsidR="002024C3" w:rsidRDefault="00B437D5" w:rsidP="00F833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D779B">
        <w:rPr>
          <w:rFonts w:ascii="Times New Roman" w:hAnsi="Times New Roman" w:cs="Times New Roman"/>
          <w:b/>
          <w:sz w:val="24"/>
          <w:szCs w:val="24"/>
        </w:rPr>
        <w:t>CHITAPI J</w:t>
      </w:r>
      <w:r w:rsidRPr="00CD1711">
        <w:rPr>
          <w:rFonts w:ascii="Times New Roman" w:hAnsi="Times New Roman" w:cs="Times New Roman"/>
          <w:sz w:val="24"/>
          <w:szCs w:val="24"/>
        </w:rPr>
        <w:t>:</w:t>
      </w:r>
      <w:r w:rsidR="003C69A8">
        <w:rPr>
          <w:rFonts w:ascii="Times New Roman" w:hAnsi="Times New Roman" w:cs="Times New Roman"/>
          <w:sz w:val="24"/>
          <w:szCs w:val="24"/>
        </w:rPr>
        <w:t xml:space="preserve">  </w:t>
      </w:r>
      <w:r w:rsidR="00F833F4">
        <w:rPr>
          <w:rFonts w:ascii="Times New Roman" w:hAnsi="Times New Roman" w:cs="Times New Roman"/>
          <w:sz w:val="24"/>
          <w:szCs w:val="24"/>
        </w:rPr>
        <w:t xml:space="preserve"> In this application, the respondent was until 23 October 2020 employed by the applicant in the position of Chief Executive Officer on a written contract of fixed duration of 6 years renewable which commenced on 1 March 2018.  The 23</w:t>
      </w:r>
      <w:r w:rsidR="00F833F4" w:rsidRPr="00F833F4">
        <w:rPr>
          <w:rFonts w:ascii="Times New Roman" w:hAnsi="Times New Roman" w:cs="Times New Roman"/>
          <w:sz w:val="24"/>
          <w:szCs w:val="24"/>
          <w:vertAlign w:val="superscript"/>
        </w:rPr>
        <w:t>rd</w:t>
      </w:r>
      <w:r w:rsidR="00F833F4">
        <w:rPr>
          <w:rFonts w:ascii="Times New Roman" w:hAnsi="Times New Roman" w:cs="Times New Roman"/>
          <w:sz w:val="24"/>
          <w:szCs w:val="24"/>
        </w:rPr>
        <w:t xml:space="preserve"> October 2020 was a dark day for the respondent. The applicant terminated the employment contract aforesaid on 3 months’ notice as provided for in clause 9 of the employment contract.  The notice period was determined</w:t>
      </w:r>
      <w:r w:rsidR="002024C3">
        <w:rPr>
          <w:rFonts w:ascii="Times New Roman" w:hAnsi="Times New Roman" w:cs="Times New Roman"/>
          <w:sz w:val="24"/>
          <w:szCs w:val="24"/>
        </w:rPr>
        <w:t xml:space="preserve"> to commence on 1 November 2020.</w:t>
      </w:r>
    </w:p>
    <w:p w:rsidR="00D1366D" w:rsidRDefault="002024C3" w:rsidP="00F833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letter of termination of employment provided that the employee was required to </w:t>
      </w:r>
      <w:r w:rsidR="00227EEF">
        <w:rPr>
          <w:rFonts w:ascii="Times New Roman" w:hAnsi="Times New Roman" w:cs="Times New Roman"/>
          <w:sz w:val="24"/>
          <w:szCs w:val="24"/>
        </w:rPr>
        <w:t xml:space="preserve">return </w:t>
      </w:r>
      <w:r>
        <w:rPr>
          <w:rFonts w:ascii="Times New Roman" w:hAnsi="Times New Roman" w:cs="Times New Roman"/>
          <w:sz w:val="24"/>
          <w:szCs w:val="24"/>
        </w:rPr>
        <w:t>the employer’s property given to the employee for use in the discharge of his employment by the applicant.  The property was to be returned by 31 October 2020.  The property which was listed included two motor vehicles, computers and keys.  The respondent surrendered all the property as</w:t>
      </w:r>
      <w:r w:rsidR="00D1366D">
        <w:rPr>
          <w:rFonts w:ascii="Times New Roman" w:hAnsi="Times New Roman" w:cs="Times New Roman"/>
          <w:sz w:val="24"/>
          <w:szCs w:val="24"/>
        </w:rPr>
        <w:t xml:space="preserve"> demanded and as listed save for a Mercedes Benz ML motor vehicle registration number AEX 0509.  It is this ML motor vehicle which necessitated the filing of this application by the employer as applicant.  The applicant seeks to vindicate the motor vehicle. </w:t>
      </w:r>
    </w:p>
    <w:p w:rsidR="00D1366D" w:rsidRDefault="00D1366D" w:rsidP="00F833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has couched the order it wants the court to give in the draft order to the application as follows:</w:t>
      </w:r>
    </w:p>
    <w:p w:rsidR="00D1366D" w:rsidRDefault="00D1366D" w:rsidP="00F833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D1366D" w:rsidRDefault="00D1366D" w:rsidP="00F833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The respondent be and is hereby ordered to surrender possession of and to return to </w:t>
      </w:r>
      <w:r>
        <w:rPr>
          <w:rFonts w:ascii="Times New Roman" w:hAnsi="Times New Roman" w:cs="Times New Roman"/>
          <w:sz w:val="24"/>
          <w:szCs w:val="24"/>
        </w:rPr>
        <w:tab/>
      </w:r>
      <w:r>
        <w:rPr>
          <w:rFonts w:ascii="Times New Roman" w:hAnsi="Times New Roman" w:cs="Times New Roman"/>
          <w:sz w:val="24"/>
          <w:szCs w:val="24"/>
        </w:rPr>
        <w:tab/>
        <w:t xml:space="preserve">the applicant, upon service </w:t>
      </w:r>
      <w:r w:rsidR="001A08BB">
        <w:rPr>
          <w:rFonts w:ascii="Times New Roman" w:hAnsi="Times New Roman" w:cs="Times New Roman"/>
          <w:sz w:val="24"/>
          <w:szCs w:val="24"/>
        </w:rPr>
        <w:t>of this order,</w:t>
      </w:r>
      <w:r>
        <w:rPr>
          <w:rFonts w:ascii="Times New Roman" w:hAnsi="Times New Roman" w:cs="Times New Roman"/>
          <w:sz w:val="24"/>
          <w:szCs w:val="24"/>
        </w:rPr>
        <w:t xml:space="preserve"> Mercedes Benz ML registration number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AEX 0509.  </w:t>
      </w:r>
    </w:p>
    <w:p w:rsidR="007419EE" w:rsidRDefault="00D1366D" w:rsidP="00F833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2.</w:t>
      </w:r>
      <w:r>
        <w:rPr>
          <w:rFonts w:ascii="Times New Roman" w:hAnsi="Times New Roman" w:cs="Times New Roman"/>
          <w:sz w:val="24"/>
          <w:szCs w:val="24"/>
        </w:rPr>
        <w:tab/>
        <w:t xml:space="preserve">In the event of the respondent </w:t>
      </w:r>
      <w:r w:rsidR="001A08BB">
        <w:rPr>
          <w:rFonts w:ascii="Times New Roman" w:hAnsi="Times New Roman" w:cs="Times New Roman"/>
          <w:sz w:val="24"/>
          <w:szCs w:val="24"/>
        </w:rPr>
        <w:t>failing to comply with para</w:t>
      </w:r>
      <w:r>
        <w:rPr>
          <w:rFonts w:ascii="Times New Roman" w:hAnsi="Times New Roman" w:cs="Times New Roman"/>
          <w:sz w:val="24"/>
          <w:szCs w:val="24"/>
        </w:rPr>
        <w:t xml:space="preserve"> 1 herein, the Sheriff </w:t>
      </w:r>
      <w:r w:rsidR="007419EE">
        <w:rPr>
          <w:rFonts w:ascii="Times New Roman" w:hAnsi="Times New Roman" w:cs="Times New Roman"/>
          <w:sz w:val="24"/>
          <w:szCs w:val="24"/>
        </w:rPr>
        <w:tab/>
      </w:r>
      <w:r w:rsidR="007419EE">
        <w:rPr>
          <w:rFonts w:ascii="Times New Roman" w:hAnsi="Times New Roman" w:cs="Times New Roman"/>
          <w:sz w:val="24"/>
          <w:szCs w:val="24"/>
        </w:rPr>
        <w:tab/>
      </w:r>
      <w:r w:rsidR="001A08BB">
        <w:rPr>
          <w:rFonts w:ascii="Times New Roman" w:hAnsi="Times New Roman" w:cs="Times New Roman"/>
          <w:sz w:val="24"/>
          <w:szCs w:val="24"/>
        </w:rPr>
        <w:tab/>
      </w:r>
      <w:r>
        <w:rPr>
          <w:rFonts w:ascii="Times New Roman" w:hAnsi="Times New Roman" w:cs="Times New Roman"/>
          <w:sz w:val="24"/>
          <w:szCs w:val="24"/>
        </w:rPr>
        <w:t xml:space="preserve">of the High Court or his assistants be and are hereby authorized to take all and any </w:t>
      </w:r>
      <w:r w:rsidR="007419EE">
        <w:rPr>
          <w:rFonts w:ascii="Times New Roman" w:hAnsi="Times New Roman" w:cs="Times New Roman"/>
          <w:sz w:val="24"/>
          <w:szCs w:val="24"/>
        </w:rPr>
        <w:tab/>
      </w:r>
      <w:r w:rsidR="007419EE">
        <w:rPr>
          <w:rFonts w:ascii="Times New Roman" w:hAnsi="Times New Roman" w:cs="Times New Roman"/>
          <w:sz w:val="24"/>
          <w:szCs w:val="24"/>
        </w:rPr>
        <w:tab/>
      </w:r>
      <w:r>
        <w:rPr>
          <w:rFonts w:ascii="Times New Roman" w:hAnsi="Times New Roman" w:cs="Times New Roman"/>
          <w:sz w:val="24"/>
          <w:szCs w:val="24"/>
        </w:rPr>
        <w:t>such steps</w:t>
      </w:r>
      <w:r w:rsidR="007419EE">
        <w:rPr>
          <w:rFonts w:ascii="Times New Roman" w:hAnsi="Times New Roman" w:cs="Times New Roman"/>
          <w:sz w:val="24"/>
          <w:szCs w:val="24"/>
        </w:rPr>
        <w:t xml:space="preserve"> as may be necessary to recover the said property from the respondent or </w:t>
      </w:r>
      <w:r w:rsidR="007419EE">
        <w:rPr>
          <w:rFonts w:ascii="Times New Roman" w:hAnsi="Times New Roman" w:cs="Times New Roman"/>
          <w:sz w:val="24"/>
          <w:szCs w:val="24"/>
        </w:rPr>
        <w:tab/>
      </w:r>
      <w:r w:rsidR="007419EE">
        <w:rPr>
          <w:rFonts w:ascii="Times New Roman" w:hAnsi="Times New Roman" w:cs="Times New Roman"/>
          <w:sz w:val="24"/>
          <w:szCs w:val="24"/>
        </w:rPr>
        <w:tab/>
        <w:t xml:space="preserve">any person whomsoever is in possession hereof on the authority of the respondent </w:t>
      </w:r>
      <w:r w:rsidR="007419EE">
        <w:rPr>
          <w:rFonts w:ascii="Times New Roman" w:hAnsi="Times New Roman" w:cs="Times New Roman"/>
          <w:sz w:val="24"/>
          <w:szCs w:val="24"/>
        </w:rPr>
        <w:tab/>
      </w:r>
      <w:r w:rsidR="007419EE">
        <w:rPr>
          <w:rFonts w:ascii="Times New Roman" w:hAnsi="Times New Roman" w:cs="Times New Roman"/>
          <w:sz w:val="24"/>
          <w:szCs w:val="24"/>
        </w:rPr>
        <w:tab/>
        <w:t>and return it to the applicant.</w:t>
      </w:r>
      <w:r>
        <w:rPr>
          <w:rFonts w:ascii="Times New Roman" w:hAnsi="Times New Roman" w:cs="Times New Roman"/>
          <w:sz w:val="24"/>
          <w:szCs w:val="24"/>
        </w:rPr>
        <w:t xml:space="preserve"> </w:t>
      </w:r>
      <w:r w:rsidR="002024C3">
        <w:rPr>
          <w:rFonts w:ascii="Times New Roman" w:hAnsi="Times New Roman" w:cs="Times New Roman"/>
          <w:sz w:val="24"/>
          <w:szCs w:val="24"/>
        </w:rPr>
        <w:t xml:space="preserve"> </w:t>
      </w:r>
    </w:p>
    <w:p w:rsidR="00387764" w:rsidRDefault="007419EE" w:rsidP="00F833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The respondent shall pay the costs of this application on a legal practitioner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client scale.</w:t>
      </w:r>
      <w:r w:rsidR="00F833F4">
        <w:rPr>
          <w:rFonts w:ascii="Times New Roman" w:hAnsi="Times New Roman" w:cs="Times New Roman"/>
          <w:sz w:val="24"/>
          <w:szCs w:val="24"/>
        </w:rPr>
        <w:t xml:space="preserve">  </w:t>
      </w:r>
    </w:p>
    <w:p w:rsidR="005D7098" w:rsidRDefault="007419EE" w:rsidP="00F833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justified his refusal to surrender the vehicle on the basis </w:t>
      </w:r>
      <w:r w:rsidR="00A4742D">
        <w:rPr>
          <w:rFonts w:ascii="Times New Roman" w:hAnsi="Times New Roman" w:cs="Times New Roman"/>
          <w:sz w:val="24"/>
          <w:szCs w:val="24"/>
        </w:rPr>
        <w:t xml:space="preserve">that the termination of his employment contract was illegal.  He averred that he had filed a pending case against the applicant in case number HC 1505/21.  The nature of the relief which the respondent seeks in case number 1505/21 is to pray to the court to </w:t>
      </w:r>
      <w:r w:rsidR="001A08BB">
        <w:rPr>
          <w:rFonts w:ascii="Times New Roman" w:hAnsi="Times New Roman" w:cs="Times New Roman"/>
          <w:sz w:val="24"/>
          <w:szCs w:val="24"/>
        </w:rPr>
        <w:t xml:space="preserve">pronounce </w:t>
      </w:r>
      <w:r w:rsidR="00A4742D">
        <w:rPr>
          <w:rFonts w:ascii="Times New Roman" w:hAnsi="Times New Roman" w:cs="Times New Roman"/>
          <w:sz w:val="24"/>
          <w:szCs w:val="24"/>
        </w:rPr>
        <w:t xml:space="preserve">or declare that </w:t>
      </w:r>
      <w:r w:rsidR="007E468B">
        <w:rPr>
          <w:rFonts w:ascii="Times New Roman" w:hAnsi="Times New Roman" w:cs="Times New Roman"/>
          <w:sz w:val="24"/>
          <w:szCs w:val="24"/>
        </w:rPr>
        <w:t>s 12(</w:t>
      </w:r>
      <w:r w:rsidR="00A4742D">
        <w:rPr>
          <w:rFonts w:ascii="Times New Roman" w:hAnsi="Times New Roman" w:cs="Times New Roman"/>
          <w:sz w:val="24"/>
          <w:szCs w:val="24"/>
        </w:rPr>
        <w:t>4) of the</w:t>
      </w:r>
      <w:r w:rsidR="007E468B">
        <w:rPr>
          <w:rFonts w:ascii="Times New Roman" w:hAnsi="Times New Roman" w:cs="Times New Roman"/>
          <w:sz w:val="24"/>
          <w:szCs w:val="24"/>
        </w:rPr>
        <w:t xml:space="preserve"> Labour Court Act [</w:t>
      </w:r>
      <w:r w:rsidR="007E468B" w:rsidRPr="007E468B">
        <w:rPr>
          <w:rFonts w:ascii="Times New Roman" w:hAnsi="Times New Roman" w:cs="Times New Roman"/>
          <w:i/>
          <w:sz w:val="24"/>
          <w:szCs w:val="24"/>
        </w:rPr>
        <w:t>Chapter</w:t>
      </w:r>
      <w:r w:rsidR="007E468B">
        <w:rPr>
          <w:rFonts w:ascii="Times New Roman" w:hAnsi="Times New Roman" w:cs="Times New Roman"/>
          <w:i/>
          <w:sz w:val="24"/>
          <w:szCs w:val="24"/>
        </w:rPr>
        <w:t> </w:t>
      </w:r>
      <w:r w:rsidR="007E468B" w:rsidRPr="007E468B">
        <w:rPr>
          <w:rFonts w:ascii="Times New Roman" w:hAnsi="Times New Roman" w:cs="Times New Roman"/>
          <w:i/>
          <w:sz w:val="24"/>
          <w:szCs w:val="24"/>
        </w:rPr>
        <w:t>28:01</w:t>
      </w:r>
      <w:r w:rsidR="007E468B">
        <w:rPr>
          <w:rFonts w:ascii="Times New Roman" w:hAnsi="Times New Roman" w:cs="Times New Roman"/>
          <w:sz w:val="24"/>
          <w:szCs w:val="24"/>
        </w:rPr>
        <w:t>] which permits for a unilateral termination of a contract of employment upon giving notice is unconstitutional.  The respondent the</w:t>
      </w:r>
      <w:r w:rsidR="005D7098">
        <w:rPr>
          <w:rFonts w:ascii="Times New Roman" w:hAnsi="Times New Roman" w:cs="Times New Roman"/>
          <w:sz w:val="24"/>
          <w:szCs w:val="24"/>
        </w:rPr>
        <w:t>n</w:t>
      </w:r>
      <w:r w:rsidR="007E468B">
        <w:rPr>
          <w:rFonts w:ascii="Times New Roman" w:hAnsi="Times New Roman" w:cs="Times New Roman"/>
          <w:sz w:val="24"/>
          <w:szCs w:val="24"/>
        </w:rPr>
        <w:t xml:space="preserve"> argued that the applicant did not have proper standing to bring this application because case num</w:t>
      </w:r>
      <w:r w:rsidR="005B3234">
        <w:rPr>
          <w:rFonts w:ascii="Times New Roman" w:hAnsi="Times New Roman" w:cs="Times New Roman"/>
          <w:sz w:val="24"/>
          <w:szCs w:val="24"/>
        </w:rPr>
        <w:t>ber HC 1505/21 being pending ought</w:t>
      </w:r>
      <w:r w:rsidR="007E468B">
        <w:rPr>
          <w:rFonts w:ascii="Times New Roman" w:hAnsi="Times New Roman" w:cs="Times New Roman"/>
          <w:sz w:val="24"/>
          <w:szCs w:val="24"/>
        </w:rPr>
        <w:t xml:space="preserve"> to be disposed of first.</w:t>
      </w:r>
      <w:r w:rsidR="00165D06">
        <w:rPr>
          <w:rFonts w:ascii="Times New Roman" w:hAnsi="Times New Roman" w:cs="Times New Roman"/>
          <w:sz w:val="24"/>
          <w:szCs w:val="24"/>
        </w:rPr>
        <w:t xml:space="preserve">  The respondent prayed for the dismissal of the application with</w:t>
      </w:r>
      <w:r w:rsidR="005D7098">
        <w:rPr>
          <w:rFonts w:ascii="Times New Roman" w:hAnsi="Times New Roman" w:cs="Times New Roman"/>
          <w:sz w:val="24"/>
          <w:szCs w:val="24"/>
        </w:rPr>
        <w:t xml:space="preserve"> costs on the basis of </w:t>
      </w:r>
      <w:r w:rsidR="005D7098" w:rsidRPr="005D7098">
        <w:rPr>
          <w:rFonts w:ascii="Times New Roman" w:hAnsi="Times New Roman" w:cs="Times New Roman"/>
          <w:i/>
          <w:sz w:val="24"/>
          <w:szCs w:val="24"/>
        </w:rPr>
        <w:t>lis pendens</w:t>
      </w:r>
      <w:r w:rsidR="005D7098">
        <w:rPr>
          <w:rFonts w:ascii="Times New Roman" w:hAnsi="Times New Roman" w:cs="Times New Roman"/>
          <w:sz w:val="24"/>
          <w:szCs w:val="24"/>
        </w:rPr>
        <w:t xml:space="preserve">.  The respondent averred that case number HC 1505/21 dealt with the cancellation of the employment contract as </w:t>
      </w:r>
      <w:r w:rsidR="005B3234">
        <w:rPr>
          <w:rFonts w:ascii="Times New Roman" w:hAnsi="Times New Roman" w:cs="Times New Roman"/>
          <w:sz w:val="24"/>
          <w:szCs w:val="24"/>
        </w:rPr>
        <w:t>much</w:t>
      </w:r>
      <w:r w:rsidR="005D7098">
        <w:rPr>
          <w:rFonts w:ascii="Times New Roman" w:hAnsi="Times New Roman" w:cs="Times New Roman"/>
          <w:sz w:val="24"/>
          <w:szCs w:val="24"/>
        </w:rPr>
        <w:t xml:space="preserve"> as </w:t>
      </w:r>
      <w:r w:rsidR="005D7098" w:rsidRPr="005D7098">
        <w:rPr>
          <w:rFonts w:ascii="Times New Roman" w:hAnsi="Times New Roman" w:cs="Times New Roman"/>
          <w:i/>
          <w:sz w:val="24"/>
          <w:szCs w:val="24"/>
        </w:rPr>
        <w:t>in casu</w:t>
      </w:r>
      <w:r w:rsidR="005D7098">
        <w:rPr>
          <w:rFonts w:ascii="Times New Roman" w:hAnsi="Times New Roman" w:cs="Times New Roman"/>
          <w:sz w:val="24"/>
          <w:szCs w:val="24"/>
        </w:rPr>
        <w:t>.</w:t>
      </w:r>
      <w:r w:rsidR="00165D06">
        <w:rPr>
          <w:rFonts w:ascii="Times New Roman" w:hAnsi="Times New Roman" w:cs="Times New Roman"/>
          <w:sz w:val="24"/>
          <w:szCs w:val="24"/>
        </w:rPr>
        <w:t xml:space="preserve"> </w:t>
      </w:r>
      <w:r w:rsidR="007E468B">
        <w:rPr>
          <w:rFonts w:ascii="Times New Roman" w:hAnsi="Times New Roman" w:cs="Times New Roman"/>
          <w:sz w:val="24"/>
          <w:szCs w:val="24"/>
        </w:rPr>
        <w:t xml:space="preserve"> </w:t>
      </w:r>
    </w:p>
    <w:p w:rsidR="00302CAF" w:rsidRDefault="005D7098" w:rsidP="00F833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to the challenge to s 12(4)</w:t>
      </w:r>
      <w:r w:rsidR="00596B63">
        <w:rPr>
          <w:rFonts w:ascii="Times New Roman" w:hAnsi="Times New Roman" w:cs="Times New Roman"/>
          <w:sz w:val="24"/>
          <w:szCs w:val="24"/>
        </w:rPr>
        <w:t>(c</w:t>
      </w:r>
      <w:r>
        <w:rPr>
          <w:rFonts w:ascii="Times New Roman" w:hAnsi="Times New Roman" w:cs="Times New Roman"/>
          <w:sz w:val="24"/>
          <w:szCs w:val="24"/>
        </w:rPr>
        <w:t xml:space="preserve">) of the Labour Court Act, the respondent whilst confessing the existence of the written contract, however submitted that the clause in the contract which allowed for termination on notice could not be given effect to as to do so would be unlawful.  The issue in my view is whether or not </w:t>
      </w:r>
      <w:r w:rsidR="00302CAF">
        <w:rPr>
          <w:rFonts w:ascii="Times New Roman" w:hAnsi="Times New Roman" w:cs="Times New Roman"/>
          <w:sz w:val="24"/>
          <w:szCs w:val="24"/>
        </w:rPr>
        <w:t>even if the respondent’s argument was sound, he could lawfully keep the vehicle belonging to the applicant and which vehicle the applicant seeks to vindicate.  The respondent averred that he has also prayed for consequential relief setting aside the termination of his employment.</w:t>
      </w:r>
    </w:p>
    <w:p w:rsidR="00302CAF" w:rsidRDefault="00302CAF" w:rsidP="00F833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did not deny that property belonging to the applicant as employer had been given to the respondent for use in the discharge </w:t>
      </w:r>
      <w:r w:rsidR="005B3234">
        <w:rPr>
          <w:rFonts w:ascii="Times New Roman" w:hAnsi="Times New Roman" w:cs="Times New Roman"/>
          <w:sz w:val="24"/>
          <w:szCs w:val="24"/>
        </w:rPr>
        <w:t>by the respondent</w:t>
      </w:r>
      <w:r>
        <w:rPr>
          <w:rFonts w:ascii="Times New Roman" w:hAnsi="Times New Roman" w:cs="Times New Roman"/>
          <w:sz w:val="24"/>
          <w:szCs w:val="24"/>
        </w:rPr>
        <w:t xml:space="preserve"> of his employment contractual mandates. The vehicle in issue formed part of that property.  The respondent did not dispute that he returned the rest of the property as demanded by the employer and neither did he explain why the vehicle had to be excepted. The employer did not </w:t>
      </w:r>
      <w:r w:rsidR="005B3234">
        <w:rPr>
          <w:rFonts w:ascii="Times New Roman" w:hAnsi="Times New Roman" w:cs="Times New Roman"/>
          <w:sz w:val="24"/>
          <w:szCs w:val="24"/>
        </w:rPr>
        <w:t>except the vehicle from delivery</w:t>
      </w:r>
      <w:r>
        <w:rPr>
          <w:rFonts w:ascii="Times New Roman" w:hAnsi="Times New Roman" w:cs="Times New Roman"/>
          <w:sz w:val="24"/>
          <w:szCs w:val="24"/>
        </w:rPr>
        <w:t>.</w:t>
      </w:r>
    </w:p>
    <w:p w:rsidR="0026592D" w:rsidRDefault="00302CAF" w:rsidP="00F833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 averred that case number HC 1505/21 could not be held to be </w:t>
      </w:r>
      <w:r w:rsidRPr="00302CAF">
        <w:rPr>
          <w:rFonts w:ascii="Times New Roman" w:hAnsi="Times New Roman" w:cs="Times New Roman"/>
          <w:i/>
          <w:sz w:val="24"/>
          <w:szCs w:val="24"/>
        </w:rPr>
        <w:t>lis pendens</w:t>
      </w:r>
      <w:r>
        <w:rPr>
          <w:rFonts w:ascii="Times New Roman" w:hAnsi="Times New Roman" w:cs="Times New Roman"/>
          <w:sz w:val="24"/>
          <w:szCs w:val="24"/>
        </w:rPr>
        <w:t xml:space="preserve"> because it did not invo</w:t>
      </w:r>
      <w:r w:rsidR="005B3234">
        <w:rPr>
          <w:rFonts w:ascii="Times New Roman" w:hAnsi="Times New Roman" w:cs="Times New Roman"/>
          <w:sz w:val="24"/>
          <w:szCs w:val="24"/>
        </w:rPr>
        <w:t>lve</w:t>
      </w:r>
      <w:r>
        <w:rPr>
          <w:rFonts w:ascii="Times New Roman" w:hAnsi="Times New Roman" w:cs="Times New Roman"/>
          <w:sz w:val="24"/>
          <w:szCs w:val="24"/>
        </w:rPr>
        <w:t xml:space="preserve"> the same parties.  The application had additional </w:t>
      </w:r>
      <w:r w:rsidR="0026592D">
        <w:rPr>
          <w:rFonts w:ascii="Times New Roman" w:hAnsi="Times New Roman" w:cs="Times New Roman"/>
          <w:sz w:val="24"/>
          <w:szCs w:val="24"/>
        </w:rPr>
        <w:t>parties namely, the Minister of Public Service, Labour and Social Welfare and the Attorney General.  The applicant also averred that the application HC 1505/21 was not based on the same cause of action because whereas the applicant’s case was based upon the common l</w:t>
      </w:r>
      <w:r w:rsidR="00CD7A28">
        <w:rPr>
          <w:rFonts w:ascii="Times New Roman" w:hAnsi="Times New Roman" w:cs="Times New Roman"/>
          <w:sz w:val="24"/>
          <w:szCs w:val="24"/>
        </w:rPr>
        <w:t xml:space="preserve">aw remedy of </w:t>
      </w:r>
      <w:r w:rsidR="00CD7A28" w:rsidRPr="00CD7A28">
        <w:rPr>
          <w:rFonts w:ascii="Times New Roman" w:hAnsi="Times New Roman" w:cs="Times New Roman"/>
          <w:i/>
          <w:sz w:val="24"/>
          <w:szCs w:val="24"/>
        </w:rPr>
        <w:t>r</w:t>
      </w:r>
      <w:r w:rsidR="0026592D" w:rsidRPr="00CD7A28">
        <w:rPr>
          <w:rFonts w:ascii="Times New Roman" w:hAnsi="Times New Roman" w:cs="Times New Roman"/>
          <w:i/>
          <w:sz w:val="24"/>
          <w:szCs w:val="24"/>
        </w:rPr>
        <w:t>e</w:t>
      </w:r>
      <w:r w:rsidR="00CD7A28" w:rsidRPr="00CD7A28">
        <w:rPr>
          <w:rFonts w:ascii="Times New Roman" w:hAnsi="Times New Roman" w:cs="Times New Roman"/>
          <w:i/>
          <w:sz w:val="24"/>
          <w:szCs w:val="24"/>
        </w:rPr>
        <w:t>i</w:t>
      </w:r>
      <w:r w:rsidR="0026592D" w:rsidRPr="00CD7A28">
        <w:rPr>
          <w:rFonts w:ascii="Times New Roman" w:hAnsi="Times New Roman" w:cs="Times New Roman"/>
          <w:i/>
          <w:sz w:val="24"/>
          <w:szCs w:val="24"/>
        </w:rPr>
        <w:t xml:space="preserve"> vindicatio</w:t>
      </w:r>
      <w:r w:rsidR="0026592D">
        <w:rPr>
          <w:rFonts w:ascii="Times New Roman" w:hAnsi="Times New Roman" w:cs="Times New Roman"/>
          <w:sz w:val="24"/>
          <w:szCs w:val="24"/>
        </w:rPr>
        <w:t xml:space="preserve"> whilst case number HC 1505/21 was grounded upon an alleged violation of s 68 of the Constitution as read with s 85 of the same Constitution. </w:t>
      </w:r>
    </w:p>
    <w:p w:rsidR="007B4D64" w:rsidRDefault="0026592D" w:rsidP="00F833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correct in its contention that this application is not subject to </w:t>
      </w:r>
      <w:r w:rsidRPr="0026592D">
        <w:rPr>
          <w:rFonts w:ascii="Times New Roman" w:hAnsi="Times New Roman" w:cs="Times New Roman"/>
          <w:i/>
          <w:sz w:val="24"/>
          <w:szCs w:val="24"/>
        </w:rPr>
        <w:t>lis pendens</w:t>
      </w:r>
      <w:r>
        <w:rPr>
          <w:rFonts w:ascii="Times New Roman" w:hAnsi="Times New Roman" w:cs="Times New Roman"/>
          <w:sz w:val="24"/>
          <w:szCs w:val="24"/>
        </w:rPr>
        <w:t xml:space="preserve">.  In the first instance </w:t>
      </w:r>
      <w:r w:rsidRPr="0026592D">
        <w:rPr>
          <w:rFonts w:ascii="Times New Roman" w:hAnsi="Times New Roman" w:cs="Times New Roman"/>
          <w:i/>
          <w:sz w:val="24"/>
          <w:szCs w:val="24"/>
        </w:rPr>
        <w:t>lis pendens</w:t>
      </w:r>
      <w:r>
        <w:rPr>
          <w:rFonts w:ascii="Times New Roman" w:hAnsi="Times New Roman" w:cs="Times New Roman"/>
          <w:sz w:val="24"/>
          <w:szCs w:val="24"/>
        </w:rPr>
        <w:t xml:space="preserve"> even if it is established is not an absolute bar to the court to proceed with the current or second </w:t>
      </w:r>
      <w:r w:rsidRPr="0026592D">
        <w:rPr>
          <w:rFonts w:ascii="Times New Roman" w:hAnsi="Times New Roman" w:cs="Times New Roman"/>
          <w:i/>
          <w:sz w:val="24"/>
          <w:szCs w:val="24"/>
        </w:rPr>
        <w:t>lis</w:t>
      </w:r>
      <w:r>
        <w:rPr>
          <w:rFonts w:ascii="Times New Roman" w:hAnsi="Times New Roman" w:cs="Times New Roman"/>
          <w:sz w:val="24"/>
          <w:szCs w:val="24"/>
        </w:rPr>
        <w:t>.  It is</w:t>
      </w:r>
      <w:r w:rsidR="005B3234">
        <w:rPr>
          <w:rFonts w:ascii="Times New Roman" w:hAnsi="Times New Roman" w:cs="Times New Roman"/>
          <w:sz w:val="24"/>
          <w:szCs w:val="24"/>
        </w:rPr>
        <w:t xml:space="preserve"> in</w:t>
      </w:r>
      <w:r>
        <w:rPr>
          <w:rFonts w:ascii="Times New Roman" w:hAnsi="Times New Roman" w:cs="Times New Roman"/>
          <w:sz w:val="24"/>
          <w:szCs w:val="24"/>
        </w:rPr>
        <w:t xml:space="preserve"> the discretion of the court to either stay the second </w:t>
      </w:r>
      <w:r w:rsidRPr="0026592D">
        <w:rPr>
          <w:rFonts w:ascii="Times New Roman" w:hAnsi="Times New Roman" w:cs="Times New Roman"/>
          <w:i/>
          <w:sz w:val="24"/>
          <w:szCs w:val="24"/>
        </w:rPr>
        <w:t>lis</w:t>
      </w:r>
      <w:r>
        <w:rPr>
          <w:rFonts w:ascii="Times New Roman" w:hAnsi="Times New Roman" w:cs="Times New Roman"/>
          <w:sz w:val="24"/>
          <w:szCs w:val="24"/>
        </w:rPr>
        <w:t xml:space="preserve"> pending the conclusion of the first </w:t>
      </w:r>
      <w:r w:rsidR="00487034" w:rsidRPr="00487034">
        <w:rPr>
          <w:rFonts w:ascii="Times New Roman" w:hAnsi="Times New Roman" w:cs="Times New Roman"/>
          <w:i/>
          <w:sz w:val="24"/>
          <w:szCs w:val="24"/>
        </w:rPr>
        <w:t>lis</w:t>
      </w:r>
      <w:r w:rsidR="00487034">
        <w:rPr>
          <w:rFonts w:ascii="Times New Roman" w:hAnsi="Times New Roman" w:cs="Times New Roman"/>
          <w:sz w:val="24"/>
          <w:szCs w:val="24"/>
        </w:rPr>
        <w:t xml:space="preserve">.  The respected authors </w:t>
      </w:r>
      <w:r w:rsidR="00487034" w:rsidRPr="00291E26">
        <w:rPr>
          <w:rFonts w:ascii="Times New Roman" w:hAnsi="Times New Roman" w:cs="Times New Roman"/>
          <w:sz w:val="24"/>
          <w:szCs w:val="24"/>
        </w:rPr>
        <w:t>Herbstein and Van Winsen</w:t>
      </w:r>
      <w:r w:rsidR="00487034">
        <w:rPr>
          <w:rFonts w:ascii="Times New Roman" w:hAnsi="Times New Roman" w:cs="Times New Roman"/>
          <w:sz w:val="24"/>
          <w:szCs w:val="24"/>
        </w:rPr>
        <w:t xml:space="preserve"> in their book</w:t>
      </w:r>
      <w:r w:rsidR="00CD7A28">
        <w:rPr>
          <w:rFonts w:ascii="Times New Roman" w:hAnsi="Times New Roman" w:cs="Times New Roman"/>
          <w:sz w:val="24"/>
          <w:szCs w:val="24"/>
        </w:rPr>
        <w:t xml:space="preserve">, </w:t>
      </w:r>
      <w:r w:rsidR="00CD7A28" w:rsidRPr="00CD7A28">
        <w:rPr>
          <w:rFonts w:ascii="Times New Roman" w:hAnsi="Times New Roman" w:cs="Times New Roman"/>
          <w:i/>
          <w:sz w:val="24"/>
          <w:szCs w:val="24"/>
        </w:rPr>
        <w:t>T</w:t>
      </w:r>
      <w:r w:rsidR="00291E26" w:rsidRPr="00CD7A28">
        <w:rPr>
          <w:rFonts w:ascii="Times New Roman" w:hAnsi="Times New Roman" w:cs="Times New Roman"/>
          <w:i/>
          <w:sz w:val="24"/>
          <w:szCs w:val="24"/>
        </w:rPr>
        <w:t>he</w:t>
      </w:r>
      <w:r w:rsidR="00291E26">
        <w:rPr>
          <w:rFonts w:ascii="Times New Roman" w:hAnsi="Times New Roman" w:cs="Times New Roman"/>
          <w:sz w:val="24"/>
          <w:szCs w:val="24"/>
        </w:rPr>
        <w:t xml:space="preserve"> </w:t>
      </w:r>
      <w:r w:rsidR="00291E26" w:rsidRPr="007B4D64">
        <w:rPr>
          <w:rFonts w:ascii="Times New Roman" w:hAnsi="Times New Roman" w:cs="Times New Roman"/>
          <w:i/>
          <w:sz w:val="24"/>
          <w:szCs w:val="24"/>
        </w:rPr>
        <w:t>Civil Practice of the Superior Courts</w:t>
      </w:r>
      <w:r w:rsidR="007B4D64">
        <w:rPr>
          <w:rFonts w:ascii="Times New Roman" w:hAnsi="Times New Roman" w:cs="Times New Roman"/>
          <w:sz w:val="24"/>
          <w:szCs w:val="24"/>
        </w:rPr>
        <w:t xml:space="preserve"> </w:t>
      </w:r>
      <w:r w:rsidR="007B4D64" w:rsidRPr="00CD7A28">
        <w:rPr>
          <w:rFonts w:ascii="Times New Roman" w:hAnsi="Times New Roman" w:cs="Times New Roman"/>
          <w:i/>
          <w:sz w:val="24"/>
          <w:szCs w:val="24"/>
        </w:rPr>
        <w:t>in South Africa</w:t>
      </w:r>
      <w:r w:rsidR="007B4D64">
        <w:rPr>
          <w:rFonts w:ascii="Times New Roman" w:hAnsi="Times New Roman" w:cs="Times New Roman"/>
          <w:sz w:val="24"/>
          <w:szCs w:val="24"/>
        </w:rPr>
        <w:t>, 3</w:t>
      </w:r>
      <w:r w:rsidR="007B4D64" w:rsidRPr="007B4D64">
        <w:rPr>
          <w:rFonts w:ascii="Times New Roman" w:hAnsi="Times New Roman" w:cs="Times New Roman"/>
          <w:sz w:val="24"/>
          <w:szCs w:val="24"/>
          <w:vertAlign w:val="superscript"/>
        </w:rPr>
        <w:t>rd</w:t>
      </w:r>
      <w:r w:rsidR="007B4D64">
        <w:rPr>
          <w:rFonts w:ascii="Times New Roman" w:hAnsi="Times New Roman" w:cs="Times New Roman"/>
          <w:sz w:val="24"/>
          <w:szCs w:val="24"/>
        </w:rPr>
        <w:t xml:space="preserve"> edition at p 269-270 state.</w:t>
      </w:r>
    </w:p>
    <w:p w:rsidR="007B4D64" w:rsidRDefault="007B4D64" w:rsidP="007B4D64">
      <w:pPr>
        <w:spacing w:after="0" w:line="240" w:lineRule="auto"/>
        <w:jc w:val="both"/>
        <w:rPr>
          <w:rFonts w:ascii="Times New Roman" w:hAnsi="Times New Roman" w:cs="Times New Roman"/>
        </w:rPr>
      </w:pPr>
      <w:r>
        <w:rPr>
          <w:rFonts w:ascii="Times New Roman" w:hAnsi="Times New Roman" w:cs="Times New Roman"/>
          <w:sz w:val="24"/>
          <w:szCs w:val="24"/>
        </w:rPr>
        <w:tab/>
      </w:r>
      <w:r w:rsidRPr="007B4D64">
        <w:rPr>
          <w:rFonts w:ascii="Times New Roman" w:hAnsi="Times New Roman" w:cs="Times New Roman"/>
        </w:rPr>
        <w:t xml:space="preserve">“……it is clear that the principle of </w:t>
      </w:r>
      <w:r w:rsidRPr="007B4D64">
        <w:rPr>
          <w:rFonts w:ascii="Times New Roman" w:hAnsi="Times New Roman" w:cs="Times New Roman"/>
          <w:i/>
        </w:rPr>
        <w:t>lis pendens</w:t>
      </w:r>
      <w:r w:rsidRPr="007B4D64">
        <w:rPr>
          <w:rFonts w:ascii="Times New Roman" w:hAnsi="Times New Roman" w:cs="Times New Roman"/>
        </w:rPr>
        <w:t xml:space="preserve"> or </w:t>
      </w:r>
      <w:r w:rsidRPr="007B4D64">
        <w:rPr>
          <w:rFonts w:ascii="Times New Roman" w:hAnsi="Times New Roman" w:cs="Times New Roman"/>
          <w:i/>
        </w:rPr>
        <w:t>lis atibi pendens</w:t>
      </w:r>
      <w:r w:rsidRPr="007B4D64">
        <w:rPr>
          <w:rFonts w:ascii="Times New Roman" w:hAnsi="Times New Roman" w:cs="Times New Roman"/>
        </w:rPr>
        <w:t xml:space="preserve"> is not an absolute bar.  </w:t>
      </w:r>
      <w:r w:rsidRPr="007B4D64">
        <w:rPr>
          <w:rFonts w:ascii="Times New Roman" w:hAnsi="Times New Roman" w:cs="Times New Roman"/>
        </w:rPr>
        <w:tab/>
        <w:t>It is discretionary upon the court to decide whether it must be allowed to proceed.</w:t>
      </w:r>
      <w:r w:rsidR="00CD7A28">
        <w:rPr>
          <w:rFonts w:ascii="Times New Roman" w:hAnsi="Times New Roman" w:cs="Times New Roman"/>
        </w:rPr>
        <w:t xml:space="preserve"> </w:t>
      </w:r>
      <w:r w:rsidRPr="007B4D64">
        <w:rPr>
          <w:rFonts w:ascii="Times New Roman" w:hAnsi="Times New Roman" w:cs="Times New Roman"/>
        </w:rPr>
        <w:t xml:space="preserve">The </w:t>
      </w:r>
      <w:r w:rsidRPr="007B4D64">
        <w:rPr>
          <w:rFonts w:ascii="Times New Roman" w:hAnsi="Times New Roman" w:cs="Times New Roman"/>
        </w:rPr>
        <w:tab/>
        <w:t xml:space="preserve">question then is, is it just equitable to allow the present case to be heard or allow the </w:t>
      </w:r>
      <w:r w:rsidRPr="007B4D64">
        <w:rPr>
          <w:rFonts w:ascii="Times New Roman" w:hAnsi="Times New Roman" w:cs="Times New Roman"/>
        </w:rPr>
        <w:tab/>
        <w:t xml:space="preserve">objection raised by respondent to bar the hearing.” </w:t>
      </w:r>
      <w:r w:rsidR="00291E26" w:rsidRPr="007B4D64">
        <w:rPr>
          <w:rFonts w:ascii="Times New Roman" w:hAnsi="Times New Roman" w:cs="Times New Roman"/>
        </w:rPr>
        <w:t xml:space="preserve">  </w:t>
      </w:r>
    </w:p>
    <w:p w:rsidR="007B4D64" w:rsidRDefault="007B4D64" w:rsidP="007B4D64">
      <w:pPr>
        <w:spacing w:after="0" w:line="240" w:lineRule="auto"/>
        <w:jc w:val="both"/>
        <w:rPr>
          <w:rFonts w:ascii="Times New Roman" w:hAnsi="Times New Roman" w:cs="Times New Roman"/>
        </w:rPr>
      </w:pPr>
    </w:p>
    <w:p w:rsidR="00BB342C" w:rsidRDefault="007B4D64" w:rsidP="007B4D64">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See also </w:t>
      </w:r>
      <w:r w:rsidRPr="00BB342C">
        <w:rPr>
          <w:rFonts w:ascii="Times New Roman" w:hAnsi="Times New Roman" w:cs="Times New Roman"/>
          <w:i/>
          <w:sz w:val="24"/>
          <w:szCs w:val="24"/>
        </w:rPr>
        <w:t xml:space="preserve">Chizura </w:t>
      </w:r>
      <w:r w:rsidRPr="00BB342C">
        <w:rPr>
          <w:rFonts w:ascii="Times New Roman" w:hAnsi="Times New Roman" w:cs="Times New Roman"/>
          <w:sz w:val="24"/>
          <w:szCs w:val="24"/>
        </w:rPr>
        <w:t>v</w:t>
      </w:r>
      <w:r w:rsidRPr="00BB342C">
        <w:rPr>
          <w:rFonts w:ascii="Times New Roman" w:hAnsi="Times New Roman" w:cs="Times New Roman"/>
          <w:i/>
          <w:sz w:val="24"/>
          <w:szCs w:val="24"/>
        </w:rPr>
        <w:t xml:space="preserve"> Chweshe</w:t>
      </w:r>
      <w:r w:rsidR="00BB342C">
        <w:rPr>
          <w:rFonts w:ascii="Times New Roman" w:hAnsi="Times New Roman" w:cs="Times New Roman"/>
          <w:sz w:val="24"/>
          <w:szCs w:val="24"/>
        </w:rPr>
        <w:t xml:space="preserve"> 2003 (2) ZLR 64; </w:t>
      </w:r>
      <w:r w:rsidR="00BB342C" w:rsidRPr="00BB342C">
        <w:rPr>
          <w:rFonts w:ascii="Times New Roman" w:hAnsi="Times New Roman" w:cs="Times New Roman"/>
          <w:i/>
          <w:sz w:val="24"/>
          <w:szCs w:val="24"/>
        </w:rPr>
        <w:t>H</w:t>
      </w:r>
      <w:r w:rsidR="004A2F67">
        <w:rPr>
          <w:rFonts w:ascii="Times New Roman" w:hAnsi="Times New Roman" w:cs="Times New Roman"/>
          <w:i/>
          <w:sz w:val="24"/>
          <w:szCs w:val="24"/>
        </w:rPr>
        <w:t>w</w:t>
      </w:r>
      <w:r w:rsidR="00BB342C" w:rsidRPr="00BB342C">
        <w:rPr>
          <w:rFonts w:ascii="Times New Roman" w:hAnsi="Times New Roman" w:cs="Times New Roman"/>
          <w:i/>
          <w:sz w:val="24"/>
          <w:szCs w:val="24"/>
        </w:rPr>
        <w:t xml:space="preserve">atirinda </w:t>
      </w:r>
      <w:r w:rsidR="00BB342C" w:rsidRPr="00BB342C">
        <w:rPr>
          <w:rFonts w:ascii="Times New Roman" w:hAnsi="Times New Roman" w:cs="Times New Roman"/>
          <w:sz w:val="24"/>
          <w:szCs w:val="24"/>
        </w:rPr>
        <w:t>v</w:t>
      </w:r>
      <w:r w:rsidR="00BB342C" w:rsidRPr="00BB342C">
        <w:rPr>
          <w:rFonts w:ascii="Times New Roman" w:hAnsi="Times New Roman" w:cs="Times New Roman"/>
          <w:i/>
          <w:sz w:val="24"/>
          <w:szCs w:val="24"/>
        </w:rPr>
        <w:t xml:space="preserve"> Tavarava</w:t>
      </w:r>
      <w:r w:rsidR="00BB342C">
        <w:rPr>
          <w:rFonts w:ascii="Times New Roman" w:hAnsi="Times New Roman" w:cs="Times New Roman"/>
          <w:sz w:val="24"/>
          <w:szCs w:val="24"/>
        </w:rPr>
        <w:t xml:space="preserve"> HMA 27/21; </w:t>
      </w:r>
      <w:r w:rsidR="00BB342C" w:rsidRPr="00BB342C">
        <w:rPr>
          <w:rFonts w:ascii="Times New Roman" w:hAnsi="Times New Roman" w:cs="Times New Roman"/>
          <w:i/>
          <w:sz w:val="24"/>
          <w:szCs w:val="24"/>
        </w:rPr>
        <w:t xml:space="preserve">Matapata </w:t>
      </w:r>
      <w:r w:rsidR="00BB342C" w:rsidRPr="00BB342C">
        <w:rPr>
          <w:rFonts w:ascii="Times New Roman" w:hAnsi="Times New Roman" w:cs="Times New Roman"/>
          <w:sz w:val="24"/>
          <w:szCs w:val="24"/>
        </w:rPr>
        <w:t>v</w:t>
      </w:r>
      <w:r w:rsidR="00BB342C" w:rsidRPr="00BB342C">
        <w:rPr>
          <w:rFonts w:ascii="Times New Roman" w:hAnsi="Times New Roman" w:cs="Times New Roman"/>
          <w:i/>
          <w:sz w:val="24"/>
          <w:szCs w:val="24"/>
        </w:rPr>
        <w:t xml:space="preserve"> Chitamba </w:t>
      </w:r>
      <w:r w:rsidR="00BB342C">
        <w:rPr>
          <w:rFonts w:ascii="Times New Roman" w:hAnsi="Times New Roman" w:cs="Times New Roman"/>
          <w:i/>
          <w:sz w:val="24"/>
          <w:szCs w:val="24"/>
        </w:rPr>
        <w:t>&amp;</w:t>
      </w:r>
      <w:r w:rsidR="00BB342C" w:rsidRPr="00BB342C">
        <w:rPr>
          <w:rFonts w:ascii="Times New Roman" w:hAnsi="Times New Roman" w:cs="Times New Roman"/>
          <w:i/>
          <w:sz w:val="24"/>
          <w:szCs w:val="24"/>
        </w:rPr>
        <w:t xml:space="preserve"> 2 Ors</w:t>
      </w:r>
      <w:r w:rsidR="00BB342C">
        <w:rPr>
          <w:rFonts w:ascii="Times New Roman" w:hAnsi="Times New Roman" w:cs="Times New Roman"/>
          <w:sz w:val="24"/>
          <w:szCs w:val="24"/>
        </w:rPr>
        <w:t xml:space="preserve"> HH 161/20. </w:t>
      </w:r>
    </w:p>
    <w:p w:rsidR="00926AA7" w:rsidRDefault="004A2F67" w:rsidP="007B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B342C">
        <w:rPr>
          <w:rFonts w:ascii="Times New Roman" w:hAnsi="Times New Roman" w:cs="Times New Roman"/>
          <w:sz w:val="24"/>
          <w:szCs w:val="24"/>
        </w:rPr>
        <w:t xml:space="preserve">As regards the requirements for the plea of </w:t>
      </w:r>
      <w:r w:rsidR="00BB342C" w:rsidRPr="00BB342C">
        <w:rPr>
          <w:rFonts w:ascii="Times New Roman" w:hAnsi="Times New Roman" w:cs="Times New Roman"/>
          <w:i/>
          <w:sz w:val="24"/>
          <w:szCs w:val="24"/>
        </w:rPr>
        <w:t>lis pendens</w:t>
      </w:r>
      <w:r w:rsidR="00BB342C">
        <w:rPr>
          <w:rFonts w:ascii="Times New Roman" w:hAnsi="Times New Roman" w:cs="Times New Roman"/>
          <w:sz w:val="24"/>
          <w:szCs w:val="24"/>
        </w:rPr>
        <w:t xml:space="preserve"> to be </w:t>
      </w:r>
      <w:r w:rsidR="00926AA7">
        <w:rPr>
          <w:rFonts w:ascii="Times New Roman" w:hAnsi="Times New Roman" w:cs="Times New Roman"/>
          <w:sz w:val="24"/>
          <w:szCs w:val="24"/>
        </w:rPr>
        <w:t>established,</w:t>
      </w:r>
      <w:r w:rsidR="00BB342C">
        <w:rPr>
          <w:rFonts w:ascii="Times New Roman" w:hAnsi="Times New Roman" w:cs="Times New Roman"/>
          <w:sz w:val="24"/>
          <w:szCs w:val="24"/>
        </w:rPr>
        <w:t xml:space="preserve"> they are the same as for the plea of </w:t>
      </w:r>
      <w:r w:rsidR="00BB342C" w:rsidRPr="00BB342C">
        <w:rPr>
          <w:rFonts w:ascii="Times New Roman" w:hAnsi="Times New Roman" w:cs="Times New Roman"/>
          <w:i/>
          <w:sz w:val="24"/>
          <w:szCs w:val="24"/>
        </w:rPr>
        <w:t>res judicata</w:t>
      </w:r>
      <w:r w:rsidR="00BB342C">
        <w:rPr>
          <w:rFonts w:ascii="Times New Roman" w:hAnsi="Times New Roman" w:cs="Times New Roman"/>
          <w:sz w:val="24"/>
          <w:szCs w:val="24"/>
        </w:rPr>
        <w:t xml:space="preserve">.  </w:t>
      </w:r>
      <w:r w:rsidR="00BB342C" w:rsidRPr="00926AA7">
        <w:rPr>
          <w:rFonts w:ascii="Times New Roman" w:hAnsi="Times New Roman" w:cs="Times New Roman"/>
          <w:smallCaps/>
          <w:sz w:val="24"/>
          <w:szCs w:val="24"/>
        </w:rPr>
        <w:t>Hlatshwayo J</w:t>
      </w:r>
      <w:r w:rsidR="00BB342C">
        <w:rPr>
          <w:rFonts w:ascii="Times New Roman" w:hAnsi="Times New Roman" w:cs="Times New Roman"/>
          <w:sz w:val="24"/>
          <w:szCs w:val="24"/>
        </w:rPr>
        <w:t xml:space="preserve"> (as then he was)</w:t>
      </w:r>
      <w:r w:rsidR="00926AA7">
        <w:rPr>
          <w:rFonts w:ascii="Times New Roman" w:hAnsi="Times New Roman" w:cs="Times New Roman"/>
          <w:sz w:val="24"/>
          <w:szCs w:val="24"/>
        </w:rPr>
        <w:t xml:space="preserve"> stated as follows of the plea of </w:t>
      </w:r>
      <w:r w:rsidR="00926AA7" w:rsidRPr="00926AA7">
        <w:rPr>
          <w:rFonts w:ascii="Times New Roman" w:hAnsi="Times New Roman" w:cs="Times New Roman"/>
          <w:i/>
          <w:sz w:val="24"/>
          <w:szCs w:val="24"/>
        </w:rPr>
        <w:t>lis pendens</w:t>
      </w:r>
      <w:r w:rsidR="00926AA7">
        <w:rPr>
          <w:rFonts w:ascii="Times New Roman" w:hAnsi="Times New Roman" w:cs="Times New Roman"/>
          <w:sz w:val="24"/>
          <w:szCs w:val="24"/>
        </w:rPr>
        <w:t xml:space="preserve"> in the case </w:t>
      </w:r>
      <w:r w:rsidR="00926AA7" w:rsidRPr="00926AA7">
        <w:rPr>
          <w:rFonts w:ascii="Times New Roman" w:hAnsi="Times New Roman" w:cs="Times New Roman"/>
          <w:i/>
          <w:sz w:val="24"/>
          <w:szCs w:val="24"/>
        </w:rPr>
        <w:t xml:space="preserve">Diocesan Trustees, Diocese of Harare </w:t>
      </w:r>
      <w:r w:rsidR="00926AA7" w:rsidRPr="00926AA7">
        <w:rPr>
          <w:rFonts w:ascii="Times New Roman" w:hAnsi="Times New Roman" w:cs="Times New Roman"/>
          <w:sz w:val="24"/>
          <w:szCs w:val="24"/>
        </w:rPr>
        <w:t>v</w:t>
      </w:r>
      <w:r w:rsidR="00926AA7" w:rsidRPr="00926AA7">
        <w:rPr>
          <w:rFonts w:ascii="Times New Roman" w:hAnsi="Times New Roman" w:cs="Times New Roman"/>
          <w:i/>
          <w:sz w:val="24"/>
          <w:szCs w:val="24"/>
        </w:rPr>
        <w:t xml:space="preserve"> Church of the Province of Central Africa</w:t>
      </w:r>
      <w:r w:rsidR="00926AA7">
        <w:rPr>
          <w:rFonts w:ascii="Times New Roman" w:hAnsi="Times New Roman" w:cs="Times New Roman"/>
          <w:sz w:val="24"/>
          <w:szCs w:val="24"/>
        </w:rPr>
        <w:t xml:space="preserve"> 2009 (2) ZLR 57 (4) at p 71. </w:t>
      </w:r>
      <w:r w:rsidR="00BB342C">
        <w:rPr>
          <w:rFonts w:ascii="Times New Roman" w:hAnsi="Times New Roman" w:cs="Times New Roman"/>
          <w:sz w:val="24"/>
          <w:szCs w:val="24"/>
        </w:rPr>
        <w:t xml:space="preserve">  </w:t>
      </w:r>
    </w:p>
    <w:p w:rsidR="004D4DC0" w:rsidRDefault="00926AA7" w:rsidP="004D4DC0">
      <w:pPr>
        <w:spacing w:after="0" w:line="240" w:lineRule="auto"/>
        <w:jc w:val="both"/>
        <w:rPr>
          <w:rFonts w:ascii="Times New Roman" w:hAnsi="Times New Roman" w:cs="Times New Roman"/>
        </w:rPr>
      </w:pPr>
      <w:r>
        <w:rPr>
          <w:rFonts w:ascii="Times New Roman" w:hAnsi="Times New Roman" w:cs="Times New Roman"/>
          <w:sz w:val="24"/>
          <w:szCs w:val="24"/>
        </w:rPr>
        <w:tab/>
      </w:r>
      <w:r w:rsidRPr="004D4DC0">
        <w:rPr>
          <w:rFonts w:ascii="Times New Roman" w:hAnsi="Times New Roman" w:cs="Times New Roman"/>
        </w:rPr>
        <w:t>“The plea in abatement that case are pending proceedings between the same parties (</w:t>
      </w:r>
      <w:r w:rsidRPr="004D4DC0">
        <w:rPr>
          <w:rFonts w:ascii="Times New Roman" w:hAnsi="Times New Roman" w:cs="Times New Roman"/>
          <w:i/>
        </w:rPr>
        <w:t xml:space="preserve">lis alibi </w:t>
      </w:r>
      <w:r w:rsidR="004D4DC0">
        <w:rPr>
          <w:rFonts w:ascii="Times New Roman" w:hAnsi="Times New Roman" w:cs="Times New Roman"/>
          <w:i/>
        </w:rPr>
        <w:tab/>
      </w:r>
      <w:r w:rsidRPr="004D4DC0">
        <w:rPr>
          <w:rFonts w:ascii="Times New Roman" w:hAnsi="Times New Roman" w:cs="Times New Roman"/>
          <w:i/>
        </w:rPr>
        <w:t>pendens</w:t>
      </w:r>
      <w:r w:rsidRPr="004D4DC0">
        <w:rPr>
          <w:rFonts w:ascii="Times New Roman" w:hAnsi="Times New Roman" w:cs="Times New Roman"/>
        </w:rPr>
        <w:t xml:space="preserve">) is raised by a party that is able to establish the following pre-requisites: (a) that the </w:t>
      </w:r>
      <w:r w:rsidR="004D4DC0">
        <w:rPr>
          <w:rFonts w:ascii="Times New Roman" w:hAnsi="Times New Roman" w:cs="Times New Roman"/>
        </w:rPr>
        <w:tab/>
      </w:r>
      <w:r w:rsidRPr="004D4DC0">
        <w:rPr>
          <w:rFonts w:ascii="Times New Roman" w:hAnsi="Times New Roman" w:cs="Times New Roman"/>
        </w:rPr>
        <w:t>litigation is pending; (b) the other proceedings are between the same parties or the</w:t>
      </w:r>
      <w:r w:rsidR="002B1D92">
        <w:rPr>
          <w:rFonts w:ascii="Times New Roman" w:hAnsi="Times New Roman" w:cs="Times New Roman"/>
        </w:rPr>
        <w:t xml:space="preserve">ir </w:t>
      </w:r>
      <w:r w:rsidR="003A091C">
        <w:rPr>
          <w:rFonts w:ascii="Times New Roman" w:hAnsi="Times New Roman" w:cs="Times New Roman"/>
        </w:rPr>
        <w:t>……………</w:t>
      </w:r>
      <w:r w:rsidRPr="004D4DC0">
        <w:rPr>
          <w:rFonts w:ascii="Times New Roman" w:hAnsi="Times New Roman" w:cs="Times New Roman"/>
        </w:rPr>
        <w:t xml:space="preserve">; </w:t>
      </w:r>
      <w:r w:rsidR="003A091C">
        <w:rPr>
          <w:rFonts w:ascii="Times New Roman" w:hAnsi="Times New Roman" w:cs="Times New Roman"/>
        </w:rPr>
        <w:tab/>
      </w:r>
      <w:r w:rsidRPr="004D4DC0">
        <w:rPr>
          <w:rFonts w:ascii="Times New Roman" w:hAnsi="Times New Roman" w:cs="Times New Roman"/>
        </w:rPr>
        <w:t>(</w:t>
      </w:r>
      <w:r w:rsidR="002B1D92">
        <w:rPr>
          <w:rFonts w:ascii="Times New Roman" w:hAnsi="Times New Roman" w:cs="Times New Roman"/>
        </w:rPr>
        <w:t>c</w:t>
      </w:r>
      <w:r w:rsidRPr="004D4DC0">
        <w:rPr>
          <w:rFonts w:ascii="Times New Roman" w:hAnsi="Times New Roman" w:cs="Times New Roman"/>
        </w:rPr>
        <w:t xml:space="preserve">) the pending proceedings are </w:t>
      </w:r>
      <w:r w:rsidR="002B1D92">
        <w:rPr>
          <w:rFonts w:ascii="Times New Roman" w:hAnsi="Times New Roman" w:cs="Times New Roman"/>
        </w:rPr>
        <w:t xml:space="preserve">based on the same cause of action; and (d) the pending proceedings </w:t>
      </w:r>
      <w:r w:rsidR="003A091C">
        <w:rPr>
          <w:rFonts w:ascii="Times New Roman" w:hAnsi="Times New Roman" w:cs="Times New Roman"/>
        </w:rPr>
        <w:tab/>
      </w:r>
      <w:r w:rsidR="002B1D92">
        <w:rPr>
          <w:rFonts w:ascii="Times New Roman" w:hAnsi="Times New Roman" w:cs="Times New Roman"/>
        </w:rPr>
        <w:t xml:space="preserve">are in respect of the same </w:t>
      </w:r>
      <w:r w:rsidRPr="004D4DC0">
        <w:rPr>
          <w:rFonts w:ascii="Times New Roman" w:hAnsi="Times New Roman" w:cs="Times New Roman"/>
        </w:rPr>
        <w:t xml:space="preserve">subject matter.  However, even if a party </w:t>
      </w:r>
      <w:r w:rsidR="002B1D92">
        <w:rPr>
          <w:rFonts w:ascii="Times New Roman" w:hAnsi="Times New Roman" w:cs="Times New Roman"/>
        </w:rPr>
        <w:t>satisfies all the requisites,</w:t>
      </w:r>
      <w:r w:rsidR="00AC102F" w:rsidRPr="004D4DC0">
        <w:rPr>
          <w:rFonts w:ascii="Times New Roman" w:hAnsi="Times New Roman" w:cs="Times New Roman"/>
        </w:rPr>
        <w:t xml:space="preserve"> the </w:t>
      </w:r>
      <w:r w:rsidR="003A091C">
        <w:rPr>
          <w:rFonts w:ascii="Times New Roman" w:hAnsi="Times New Roman" w:cs="Times New Roman"/>
        </w:rPr>
        <w:tab/>
      </w:r>
      <w:r w:rsidR="00AC102F" w:rsidRPr="004D4DC0">
        <w:rPr>
          <w:rFonts w:ascii="Times New Roman" w:hAnsi="Times New Roman" w:cs="Times New Roman"/>
        </w:rPr>
        <w:t>court still has discretion to order</w:t>
      </w:r>
      <w:r w:rsidR="002A48EF" w:rsidRPr="004D4DC0">
        <w:rPr>
          <w:rFonts w:ascii="Times New Roman" w:hAnsi="Times New Roman" w:cs="Times New Roman"/>
        </w:rPr>
        <w:t xml:space="preserve"> or refuse a stay of execution on the grounds of </w:t>
      </w:r>
      <w:r w:rsidR="002A48EF" w:rsidRPr="004D4DC0">
        <w:rPr>
          <w:rFonts w:ascii="Times New Roman" w:hAnsi="Times New Roman" w:cs="Times New Roman"/>
          <w:i/>
        </w:rPr>
        <w:t>lis pendens</w:t>
      </w:r>
      <w:r w:rsidR="002A48EF" w:rsidRPr="004D4DC0">
        <w:rPr>
          <w:rFonts w:ascii="Times New Roman" w:hAnsi="Times New Roman" w:cs="Times New Roman"/>
        </w:rPr>
        <w:t xml:space="preserve">; and in </w:t>
      </w:r>
      <w:r w:rsidR="003A091C">
        <w:rPr>
          <w:rFonts w:ascii="Times New Roman" w:hAnsi="Times New Roman" w:cs="Times New Roman"/>
        </w:rPr>
        <w:tab/>
      </w:r>
      <w:r w:rsidR="002A48EF" w:rsidRPr="004D4DC0">
        <w:rPr>
          <w:rFonts w:ascii="Times New Roman" w:hAnsi="Times New Roman" w:cs="Times New Roman"/>
        </w:rPr>
        <w:t xml:space="preserve">the exercise of that discretion it will have regard to the equities and the balance of convenience in </w:t>
      </w:r>
      <w:r w:rsidR="003A091C">
        <w:rPr>
          <w:rFonts w:ascii="Times New Roman" w:hAnsi="Times New Roman" w:cs="Times New Roman"/>
        </w:rPr>
        <w:tab/>
      </w:r>
      <w:r w:rsidR="002A48EF" w:rsidRPr="004D4DC0">
        <w:rPr>
          <w:rFonts w:ascii="Times New Roman" w:hAnsi="Times New Roman" w:cs="Times New Roman"/>
        </w:rPr>
        <w:t xml:space="preserve">the matter.  See </w:t>
      </w:r>
      <w:r w:rsidR="002A48EF" w:rsidRPr="004D4DC0">
        <w:rPr>
          <w:rFonts w:ascii="Times New Roman" w:hAnsi="Times New Roman" w:cs="Times New Roman"/>
          <w:i/>
        </w:rPr>
        <w:t xml:space="preserve">Mhungu </w:t>
      </w:r>
      <w:r w:rsidR="002A48EF" w:rsidRPr="004D4DC0">
        <w:rPr>
          <w:rFonts w:ascii="Times New Roman" w:hAnsi="Times New Roman" w:cs="Times New Roman"/>
        </w:rPr>
        <w:t>v</w:t>
      </w:r>
      <w:r w:rsidR="002B1D92">
        <w:rPr>
          <w:rFonts w:ascii="Times New Roman" w:hAnsi="Times New Roman" w:cs="Times New Roman"/>
          <w:i/>
        </w:rPr>
        <w:t xml:space="preserve"> Mtendi </w:t>
      </w:r>
      <w:r w:rsidR="002A48EF" w:rsidRPr="004D4DC0">
        <w:rPr>
          <w:rFonts w:ascii="Times New Roman" w:hAnsi="Times New Roman" w:cs="Times New Roman"/>
        </w:rPr>
        <w:t xml:space="preserve">1986 (2) ZLR 171 (S); </w:t>
      </w:r>
      <w:r w:rsidR="002A48EF" w:rsidRPr="004D4DC0">
        <w:rPr>
          <w:rFonts w:ascii="Times New Roman" w:hAnsi="Times New Roman" w:cs="Times New Roman"/>
          <w:i/>
        </w:rPr>
        <w:t xml:space="preserve">Boldwin </w:t>
      </w:r>
      <w:r w:rsidR="002A48EF" w:rsidRPr="004D4DC0">
        <w:rPr>
          <w:rFonts w:ascii="Times New Roman" w:hAnsi="Times New Roman" w:cs="Times New Roman"/>
        </w:rPr>
        <w:t>v</w:t>
      </w:r>
      <w:r w:rsidR="002A48EF" w:rsidRPr="004D4DC0">
        <w:rPr>
          <w:rFonts w:ascii="Times New Roman" w:hAnsi="Times New Roman" w:cs="Times New Roman"/>
          <w:i/>
        </w:rPr>
        <w:t xml:space="preserve"> Baldwin</w:t>
      </w:r>
      <w:r w:rsidR="002A48EF" w:rsidRPr="004D4DC0">
        <w:rPr>
          <w:rFonts w:ascii="Times New Roman" w:hAnsi="Times New Roman" w:cs="Times New Roman"/>
        </w:rPr>
        <w:t xml:space="preserve"> 1967 </w:t>
      </w:r>
      <w:r w:rsidR="004D4DC0" w:rsidRPr="004D4DC0">
        <w:rPr>
          <w:rFonts w:ascii="Times New Roman" w:hAnsi="Times New Roman" w:cs="Times New Roman"/>
        </w:rPr>
        <w:t xml:space="preserve">RLR 289 (CD); </w:t>
      </w:r>
      <w:r w:rsidR="003A091C">
        <w:rPr>
          <w:rFonts w:ascii="Times New Roman" w:hAnsi="Times New Roman" w:cs="Times New Roman"/>
        </w:rPr>
        <w:tab/>
      </w:r>
      <w:r w:rsidR="004D4DC0" w:rsidRPr="004D4DC0">
        <w:rPr>
          <w:rFonts w:ascii="Times New Roman" w:hAnsi="Times New Roman" w:cs="Times New Roman"/>
          <w:i/>
        </w:rPr>
        <w:t xml:space="preserve">Chizura </w:t>
      </w:r>
      <w:r w:rsidR="004D4DC0" w:rsidRPr="004D4DC0">
        <w:rPr>
          <w:rFonts w:ascii="Times New Roman" w:hAnsi="Times New Roman" w:cs="Times New Roman"/>
        </w:rPr>
        <w:t>v</w:t>
      </w:r>
      <w:r w:rsidR="004D4DC0" w:rsidRPr="004D4DC0">
        <w:rPr>
          <w:rFonts w:ascii="Times New Roman" w:hAnsi="Times New Roman" w:cs="Times New Roman"/>
          <w:i/>
        </w:rPr>
        <w:t xml:space="preserve"> Chiweshe</w:t>
      </w:r>
      <w:r w:rsidR="004D4DC0" w:rsidRPr="004D4DC0">
        <w:rPr>
          <w:rFonts w:ascii="Times New Roman" w:hAnsi="Times New Roman" w:cs="Times New Roman"/>
        </w:rPr>
        <w:t xml:space="preserve"> 2003 (2) ZLR 64 (H)</w:t>
      </w:r>
      <w:r w:rsidR="00A22329">
        <w:rPr>
          <w:rFonts w:ascii="Times New Roman" w:hAnsi="Times New Roman" w:cs="Times New Roman"/>
        </w:rPr>
        <w:t>.</w:t>
      </w:r>
      <w:r w:rsidR="004D4DC0" w:rsidRPr="004D4DC0">
        <w:rPr>
          <w:rFonts w:ascii="Times New Roman" w:hAnsi="Times New Roman" w:cs="Times New Roman"/>
        </w:rPr>
        <w:t>”</w:t>
      </w:r>
      <w:r w:rsidR="002A48EF" w:rsidRPr="004D4DC0">
        <w:rPr>
          <w:rFonts w:ascii="Times New Roman" w:hAnsi="Times New Roman" w:cs="Times New Roman"/>
        </w:rPr>
        <w:t xml:space="preserve"> </w:t>
      </w:r>
    </w:p>
    <w:p w:rsidR="004D4DC0" w:rsidRDefault="004D4DC0" w:rsidP="004D4DC0">
      <w:pPr>
        <w:spacing w:after="0" w:line="240" w:lineRule="auto"/>
        <w:jc w:val="both"/>
        <w:rPr>
          <w:rFonts w:ascii="Times New Roman" w:hAnsi="Times New Roman" w:cs="Times New Roman"/>
        </w:rPr>
      </w:pPr>
    </w:p>
    <w:p w:rsidR="0061408F" w:rsidRDefault="004D4DC0" w:rsidP="004D4D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the plea of </w:t>
      </w:r>
      <w:r w:rsidRPr="004D4DC0">
        <w:rPr>
          <w:rFonts w:ascii="Times New Roman" w:hAnsi="Times New Roman" w:cs="Times New Roman"/>
          <w:i/>
          <w:sz w:val="24"/>
          <w:szCs w:val="24"/>
        </w:rPr>
        <w:t>lis pendens</w:t>
      </w:r>
      <w:r>
        <w:rPr>
          <w:rFonts w:ascii="Times New Roman" w:hAnsi="Times New Roman" w:cs="Times New Roman"/>
          <w:sz w:val="24"/>
          <w:szCs w:val="24"/>
        </w:rPr>
        <w:t xml:space="preserve"> must fail.  The respondent has failed to establish that the cause of action in case number HC 1505/21 is the same as in this application.  It is common cause that in HC 1505/21 the respondent seeks a decla</w:t>
      </w:r>
      <w:r w:rsidR="00FD151C">
        <w:rPr>
          <w:rFonts w:ascii="Times New Roman" w:hAnsi="Times New Roman" w:cs="Times New Roman"/>
          <w:sz w:val="24"/>
          <w:szCs w:val="24"/>
        </w:rPr>
        <w:t>ra</w:t>
      </w:r>
      <w:r>
        <w:rPr>
          <w:rFonts w:ascii="Times New Roman" w:hAnsi="Times New Roman" w:cs="Times New Roman"/>
          <w:sz w:val="24"/>
          <w:szCs w:val="24"/>
        </w:rPr>
        <w:t>tion of cons</w:t>
      </w:r>
      <w:r w:rsidR="00FD151C">
        <w:rPr>
          <w:rFonts w:ascii="Times New Roman" w:hAnsi="Times New Roman" w:cs="Times New Roman"/>
          <w:sz w:val="24"/>
          <w:szCs w:val="24"/>
        </w:rPr>
        <w:t xml:space="preserve">titutional invalidity of a </w:t>
      </w:r>
      <w:r w:rsidR="00FD151C">
        <w:rPr>
          <w:rFonts w:ascii="Times New Roman" w:hAnsi="Times New Roman" w:cs="Times New Roman"/>
          <w:sz w:val="24"/>
          <w:szCs w:val="24"/>
        </w:rPr>
        <w:lastRenderedPageBreak/>
        <w:t>provision of a statute being s 12(40</w:t>
      </w:r>
      <w:r w:rsidR="0061408F">
        <w:rPr>
          <w:rFonts w:ascii="Times New Roman" w:hAnsi="Times New Roman" w:cs="Times New Roman"/>
          <w:sz w:val="24"/>
          <w:szCs w:val="24"/>
        </w:rPr>
        <w:t>)</w:t>
      </w:r>
      <w:r w:rsidR="00596B63">
        <w:rPr>
          <w:rFonts w:ascii="Times New Roman" w:hAnsi="Times New Roman" w:cs="Times New Roman"/>
          <w:sz w:val="24"/>
          <w:szCs w:val="24"/>
        </w:rPr>
        <w:t>(c</w:t>
      </w:r>
      <w:r w:rsidR="00FD151C">
        <w:rPr>
          <w:rFonts w:ascii="Times New Roman" w:hAnsi="Times New Roman" w:cs="Times New Roman"/>
          <w:sz w:val="24"/>
          <w:szCs w:val="24"/>
        </w:rPr>
        <w:t>) of the Labour Act.</w:t>
      </w:r>
      <w:r w:rsidR="0061408F">
        <w:rPr>
          <w:rFonts w:ascii="Times New Roman" w:hAnsi="Times New Roman" w:cs="Times New Roman"/>
          <w:sz w:val="24"/>
          <w:szCs w:val="24"/>
        </w:rPr>
        <w:t xml:space="preserve"> Until the declaration is made, the provision impugned remains effectual and must be given effect to</w:t>
      </w:r>
      <w:r w:rsidR="0071651C">
        <w:rPr>
          <w:rFonts w:ascii="Times New Roman" w:hAnsi="Times New Roman" w:cs="Times New Roman"/>
          <w:sz w:val="24"/>
          <w:szCs w:val="24"/>
        </w:rPr>
        <w:t xml:space="preserve">. </w:t>
      </w:r>
      <w:r w:rsidR="0061408F">
        <w:rPr>
          <w:rFonts w:ascii="Times New Roman" w:hAnsi="Times New Roman" w:cs="Times New Roman"/>
          <w:sz w:val="24"/>
          <w:szCs w:val="24"/>
        </w:rPr>
        <w:t xml:space="preserve"> </w:t>
      </w:r>
      <w:r w:rsidR="0071651C">
        <w:rPr>
          <w:rFonts w:ascii="Times New Roman" w:hAnsi="Times New Roman" w:cs="Times New Roman"/>
          <w:sz w:val="24"/>
          <w:szCs w:val="24"/>
        </w:rPr>
        <w:t>T</w:t>
      </w:r>
      <w:r w:rsidR="0061408F">
        <w:rPr>
          <w:rFonts w:ascii="Times New Roman" w:hAnsi="Times New Roman" w:cs="Times New Roman"/>
          <w:sz w:val="24"/>
          <w:szCs w:val="24"/>
        </w:rPr>
        <w:t xml:space="preserve">he challenge brought in HC 1505/21 does not constitute the same cause of action as the remedy </w:t>
      </w:r>
      <w:r w:rsidR="0061408F" w:rsidRPr="0071651C">
        <w:rPr>
          <w:rFonts w:ascii="Times New Roman" w:hAnsi="Times New Roman" w:cs="Times New Roman"/>
          <w:i/>
          <w:sz w:val="24"/>
          <w:szCs w:val="24"/>
        </w:rPr>
        <w:t>rei vindicatio</w:t>
      </w:r>
      <w:r w:rsidR="0061408F">
        <w:rPr>
          <w:rFonts w:ascii="Times New Roman" w:hAnsi="Times New Roman" w:cs="Times New Roman"/>
          <w:sz w:val="24"/>
          <w:szCs w:val="24"/>
        </w:rPr>
        <w:t xml:space="preserve"> on which this application is based.  </w:t>
      </w:r>
      <w:r w:rsidR="0061408F" w:rsidRPr="0061408F">
        <w:rPr>
          <w:rFonts w:ascii="Times New Roman" w:hAnsi="Times New Roman" w:cs="Times New Roman"/>
          <w:i/>
          <w:sz w:val="24"/>
          <w:szCs w:val="24"/>
        </w:rPr>
        <w:t>Lis pendens</w:t>
      </w:r>
      <w:r w:rsidR="0061408F">
        <w:rPr>
          <w:rFonts w:ascii="Times New Roman" w:hAnsi="Times New Roman" w:cs="Times New Roman"/>
          <w:sz w:val="24"/>
          <w:szCs w:val="24"/>
        </w:rPr>
        <w:t xml:space="preserve"> has therefore not been established.  Again baring on the side of caution, even is </w:t>
      </w:r>
      <w:r w:rsidR="0061408F" w:rsidRPr="0061408F">
        <w:rPr>
          <w:rFonts w:ascii="Times New Roman" w:hAnsi="Times New Roman" w:cs="Times New Roman"/>
          <w:i/>
          <w:sz w:val="24"/>
          <w:szCs w:val="24"/>
        </w:rPr>
        <w:t>lis pendens</w:t>
      </w:r>
      <w:r w:rsidR="0061408F">
        <w:rPr>
          <w:rFonts w:ascii="Times New Roman" w:hAnsi="Times New Roman" w:cs="Times New Roman"/>
          <w:sz w:val="24"/>
          <w:szCs w:val="24"/>
        </w:rPr>
        <w:t xml:space="preserve"> had been established I would still have exercised discretion to have the application proceed because the equities of the matter and the balance of convenience are in favour of the matter being proceeded with. I should in this </w:t>
      </w:r>
      <w:r w:rsidR="0071651C">
        <w:rPr>
          <w:rFonts w:ascii="Times New Roman" w:hAnsi="Times New Roman" w:cs="Times New Roman"/>
          <w:sz w:val="24"/>
          <w:szCs w:val="24"/>
        </w:rPr>
        <w:t xml:space="preserve">request </w:t>
      </w:r>
      <w:r w:rsidR="0061408F">
        <w:rPr>
          <w:rFonts w:ascii="Times New Roman" w:hAnsi="Times New Roman" w:cs="Times New Roman"/>
          <w:sz w:val="24"/>
          <w:szCs w:val="24"/>
        </w:rPr>
        <w:t>note that a proper exercise of discretion must find support upon the consideration of all relevant facts.</w:t>
      </w:r>
    </w:p>
    <w:p w:rsidR="00773861" w:rsidRDefault="0061408F" w:rsidP="004D4D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1408F">
        <w:rPr>
          <w:rFonts w:ascii="Times New Roman" w:hAnsi="Times New Roman" w:cs="Times New Roman"/>
          <w:i/>
          <w:sz w:val="24"/>
          <w:szCs w:val="24"/>
        </w:rPr>
        <w:t>In casu</w:t>
      </w:r>
      <w:r>
        <w:rPr>
          <w:rFonts w:ascii="Times New Roman" w:hAnsi="Times New Roman" w:cs="Times New Roman"/>
          <w:sz w:val="24"/>
          <w:szCs w:val="24"/>
        </w:rPr>
        <w:t xml:space="preserve">, the respondent concluded a contract of employment </w:t>
      </w:r>
      <w:r w:rsidR="005B3234">
        <w:rPr>
          <w:rFonts w:ascii="Times New Roman" w:hAnsi="Times New Roman" w:cs="Times New Roman"/>
          <w:sz w:val="24"/>
          <w:szCs w:val="24"/>
        </w:rPr>
        <w:t xml:space="preserve">with the applicant </w:t>
      </w:r>
      <w:r>
        <w:rPr>
          <w:rFonts w:ascii="Times New Roman" w:hAnsi="Times New Roman" w:cs="Times New Roman"/>
          <w:sz w:val="24"/>
          <w:szCs w:val="24"/>
        </w:rPr>
        <w:t>which he</w:t>
      </w:r>
      <w:r w:rsidR="00596B63">
        <w:rPr>
          <w:rFonts w:ascii="Times New Roman" w:hAnsi="Times New Roman" w:cs="Times New Roman"/>
          <w:sz w:val="24"/>
          <w:szCs w:val="24"/>
        </w:rPr>
        <w:t xml:space="preserve"> does not dispute.  He only woke up to the alleged invalidity of the notice clause after he had been dismissed on notice as signed for by him.  He did not explain why he became wiser after having been discharged and not before.  Secondly, s 12(4)(c) of the Labour Act remains valid until struck out.  The application must be determined on the basis that the respondent was lawfully dismissed in accordance with the law.  He cannot claim rights or a remedy based upon an expectation that his application in case number HC 1505/21 will succeed.  Besides the respondent did not seek interim relief regarding the fate of the vehicle </w:t>
      </w:r>
      <w:r w:rsidR="005B3234">
        <w:rPr>
          <w:rFonts w:ascii="Times New Roman" w:hAnsi="Times New Roman" w:cs="Times New Roman"/>
          <w:sz w:val="24"/>
          <w:szCs w:val="24"/>
        </w:rPr>
        <w:t>p</w:t>
      </w:r>
      <w:r w:rsidR="00596B63">
        <w:rPr>
          <w:rFonts w:ascii="Times New Roman" w:hAnsi="Times New Roman" w:cs="Times New Roman"/>
          <w:sz w:val="24"/>
          <w:szCs w:val="24"/>
        </w:rPr>
        <w:t xml:space="preserve">ending determination of HC 1505/21 and has no counter application filed </w:t>
      </w:r>
      <w:r w:rsidR="00596B63" w:rsidRPr="00596B63">
        <w:rPr>
          <w:rFonts w:ascii="Times New Roman" w:hAnsi="Times New Roman" w:cs="Times New Roman"/>
          <w:i/>
          <w:sz w:val="24"/>
          <w:szCs w:val="24"/>
        </w:rPr>
        <w:t>in casu.</w:t>
      </w:r>
      <w:r w:rsidR="00596B63">
        <w:rPr>
          <w:rFonts w:ascii="Times New Roman" w:hAnsi="Times New Roman" w:cs="Times New Roman"/>
          <w:sz w:val="24"/>
          <w:szCs w:val="24"/>
        </w:rPr>
        <w:t xml:space="preserve">  It would be inequitable and inconvenient to stay this </w:t>
      </w:r>
      <w:r w:rsidR="00773861">
        <w:rPr>
          <w:rFonts w:ascii="Times New Roman" w:hAnsi="Times New Roman" w:cs="Times New Roman"/>
          <w:sz w:val="24"/>
          <w:szCs w:val="24"/>
        </w:rPr>
        <w:t xml:space="preserve">application which is based upon a different relief from the one sought in case number HC 1505/21.  The nature of the relief sought in HC 1505/21 does not invalidate s 12(4)(c) of the Labour </w:t>
      </w:r>
      <w:r w:rsidR="0071651C">
        <w:rPr>
          <w:rFonts w:ascii="Times New Roman" w:hAnsi="Times New Roman" w:cs="Times New Roman"/>
          <w:sz w:val="24"/>
          <w:szCs w:val="24"/>
        </w:rPr>
        <w:t xml:space="preserve">Act </w:t>
      </w:r>
      <w:r w:rsidR="00773861">
        <w:rPr>
          <w:rFonts w:ascii="Times New Roman" w:hAnsi="Times New Roman" w:cs="Times New Roman"/>
          <w:sz w:val="24"/>
          <w:szCs w:val="24"/>
        </w:rPr>
        <w:t xml:space="preserve">which remains in full force until struck out.  For those reasons the discretion not to stay the application would still have been exercised. </w:t>
      </w:r>
    </w:p>
    <w:p w:rsidR="00532C14" w:rsidRDefault="00773861" w:rsidP="004D4D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turn t</w:t>
      </w:r>
      <w:r w:rsidR="0071651C">
        <w:rPr>
          <w:rFonts w:ascii="Times New Roman" w:hAnsi="Times New Roman" w:cs="Times New Roman"/>
          <w:sz w:val="24"/>
          <w:szCs w:val="24"/>
        </w:rPr>
        <w:t>o decide whether the applicant</w:t>
      </w:r>
      <w:r>
        <w:rPr>
          <w:rFonts w:ascii="Times New Roman" w:hAnsi="Times New Roman" w:cs="Times New Roman"/>
          <w:sz w:val="24"/>
          <w:szCs w:val="24"/>
        </w:rPr>
        <w:t xml:space="preserve"> has established a case for the relief of </w:t>
      </w:r>
      <w:r w:rsidRPr="0071651C">
        <w:rPr>
          <w:rFonts w:ascii="Times New Roman" w:hAnsi="Times New Roman" w:cs="Times New Roman"/>
          <w:i/>
          <w:sz w:val="24"/>
          <w:szCs w:val="24"/>
        </w:rPr>
        <w:t>rei vindicatio</w:t>
      </w:r>
      <w:r>
        <w:rPr>
          <w:rFonts w:ascii="Times New Roman" w:hAnsi="Times New Roman" w:cs="Times New Roman"/>
          <w:sz w:val="24"/>
          <w:szCs w:val="24"/>
        </w:rPr>
        <w:t xml:space="preserve">.  The Supreme Court per </w:t>
      </w:r>
      <w:r w:rsidRPr="00773861">
        <w:rPr>
          <w:rFonts w:ascii="Times New Roman" w:hAnsi="Times New Roman" w:cs="Times New Roman"/>
          <w:smallCaps/>
          <w:sz w:val="24"/>
          <w:szCs w:val="24"/>
        </w:rPr>
        <w:t xml:space="preserve">Ziyamba </w:t>
      </w:r>
      <w:r w:rsidR="00532C14" w:rsidRPr="00773861">
        <w:rPr>
          <w:rFonts w:ascii="Times New Roman" w:hAnsi="Times New Roman" w:cs="Times New Roman"/>
          <w:smallCaps/>
          <w:sz w:val="24"/>
          <w:szCs w:val="24"/>
        </w:rPr>
        <w:t>JA</w:t>
      </w:r>
      <w:r w:rsidR="00532C14">
        <w:rPr>
          <w:rFonts w:ascii="Times New Roman" w:hAnsi="Times New Roman" w:cs="Times New Roman"/>
          <w:smallCaps/>
          <w:sz w:val="24"/>
          <w:szCs w:val="24"/>
        </w:rPr>
        <w:t xml:space="preserve"> </w:t>
      </w:r>
      <w:r w:rsidR="00532C14">
        <w:rPr>
          <w:rFonts w:ascii="Times New Roman" w:hAnsi="Times New Roman" w:cs="Times New Roman"/>
          <w:sz w:val="24"/>
          <w:szCs w:val="24"/>
        </w:rPr>
        <w:t xml:space="preserve">in the case of </w:t>
      </w:r>
      <w:r w:rsidR="00532C14" w:rsidRPr="00532C14">
        <w:rPr>
          <w:rFonts w:ascii="Times New Roman" w:hAnsi="Times New Roman" w:cs="Times New Roman"/>
          <w:i/>
          <w:sz w:val="24"/>
          <w:szCs w:val="24"/>
        </w:rPr>
        <w:t xml:space="preserve">Joram Nyahora </w:t>
      </w:r>
      <w:r w:rsidR="00532C14" w:rsidRPr="00532C14">
        <w:rPr>
          <w:rFonts w:ascii="Times New Roman" w:hAnsi="Times New Roman" w:cs="Times New Roman"/>
          <w:sz w:val="24"/>
          <w:szCs w:val="24"/>
        </w:rPr>
        <w:t>v</w:t>
      </w:r>
      <w:r w:rsidR="00532C14" w:rsidRPr="00532C14">
        <w:rPr>
          <w:rFonts w:ascii="Times New Roman" w:hAnsi="Times New Roman" w:cs="Times New Roman"/>
          <w:i/>
          <w:sz w:val="24"/>
          <w:szCs w:val="24"/>
        </w:rPr>
        <w:t xml:space="preserve"> CFI Holdings (Pvt) Ltd</w:t>
      </w:r>
      <w:r w:rsidR="00532C14">
        <w:rPr>
          <w:rFonts w:ascii="Times New Roman" w:hAnsi="Times New Roman" w:cs="Times New Roman"/>
          <w:sz w:val="24"/>
          <w:szCs w:val="24"/>
        </w:rPr>
        <w:t xml:space="preserve"> 2014 (2) ZLR 607 (S) at 613 stated:</w:t>
      </w:r>
    </w:p>
    <w:p w:rsidR="00C96ABD" w:rsidRDefault="00532C14" w:rsidP="00532C14">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action </w:t>
      </w:r>
      <w:r>
        <w:rPr>
          <w:rFonts w:ascii="Times New Roman" w:hAnsi="Times New Roman" w:cs="Times New Roman"/>
          <w:i/>
        </w:rPr>
        <w:t>rei vindicatio</w:t>
      </w:r>
      <w:r>
        <w:rPr>
          <w:rFonts w:ascii="Times New Roman" w:hAnsi="Times New Roman" w:cs="Times New Roman"/>
        </w:rPr>
        <w:t xml:space="preserve"> is available to an owner of property who seeks to recover it from a person </w:t>
      </w:r>
      <w:r w:rsidR="00C96ABD">
        <w:rPr>
          <w:rFonts w:ascii="Times New Roman" w:hAnsi="Times New Roman" w:cs="Times New Roman"/>
        </w:rPr>
        <w:tab/>
      </w:r>
      <w:r>
        <w:rPr>
          <w:rFonts w:ascii="Times New Roman" w:hAnsi="Times New Roman" w:cs="Times New Roman"/>
        </w:rPr>
        <w:t xml:space="preserve">in possession of it without his consent. It is based upon the principle that an owner cannot be </w:t>
      </w:r>
      <w:r w:rsidR="00C96ABD">
        <w:rPr>
          <w:rFonts w:ascii="Times New Roman" w:hAnsi="Times New Roman" w:cs="Times New Roman"/>
        </w:rPr>
        <w:tab/>
      </w:r>
      <w:r>
        <w:rPr>
          <w:rFonts w:ascii="Times New Roman" w:hAnsi="Times New Roman" w:cs="Times New Roman"/>
        </w:rPr>
        <w:t xml:space="preserve">deprived of his property against his will. He is entitled to recover it from anyone in possession of </w:t>
      </w:r>
      <w:r w:rsidR="00C96ABD">
        <w:rPr>
          <w:rFonts w:ascii="Times New Roman" w:hAnsi="Times New Roman" w:cs="Times New Roman"/>
        </w:rPr>
        <w:tab/>
      </w:r>
      <w:r>
        <w:rPr>
          <w:rFonts w:ascii="Times New Roman" w:hAnsi="Times New Roman" w:cs="Times New Roman"/>
        </w:rPr>
        <w:t xml:space="preserve">it without his consent.  He has merely to allege that he is the owner of the property and that it was </w:t>
      </w:r>
      <w:r w:rsidR="00C96ABD">
        <w:rPr>
          <w:rFonts w:ascii="Times New Roman" w:hAnsi="Times New Roman" w:cs="Times New Roman"/>
        </w:rPr>
        <w:tab/>
      </w:r>
      <w:r>
        <w:rPr>
          <w:rFonts w:ascii="Times New Roman" w:hAnsi="Times New Roman" w:cs="Times New Roman"/>
        </w:rPr>
        <w:t xml:space="preserve">in the possession of the defendant/respondent at the time of commencement of the action or </w:t>
      </w:r>
      <w:r w:rsidR="00C96ABD">
        <w:rPr>
          <w:rFonts w:ascii="Times New Roman" w:hAnsi="Times New Roman" w:cs="Times New Roman"/>
        </w:rPr>
        <w:tab/>
      </w:r>
      <w:r>
        <w:rPr>
          <w:rFonts w:ascii="Times New Roman" w:hAnsi="Times New Roman" w:cs="Times New Roman"/>
        </w:rPr>
        <w:t xml:space="preserve">application.  </w:t>
      </w:r>
      <w:r w:rsidR="00C96ABD">
        <w:rPr>
          <w:rFonts w:ascii="Times New Roman" w:hAnsi="Times New Roman" w:cs="Times New Roman"/>
        </w:rPr>
        <w:t xml:space="preserve">If he alleges any lawful possession at some earlier date by the defendant, then he must </w:t>
      </w:r>
      <w:r w:rsidR="00C96ABD">
        <w:rPr>
          <w:rFonts w:ascii="Times New Roman" w:hAnsi="Times New Roman" w:cs="Times New Roman"/>
        </w:rPr>
        <w:tab/>
        <w:t xml:space="preserve">also allege that the contract has come to an end. The claim can be defeated by a defendant who </w:t>
      </w:r>
      <w:r w:rsidR="00C96ABD">
        <w:rPr>
          <w:rFonts w:ascii="Times New Roman" w:hAnsi="Times New Roman" w:cs="Times New Roman"/>
        </w:rPr>
        <w:tab/>
        <w:t>pleads a right of retention or some contractual right to retain the property”.</w:t>
      </w:r>
    </w:p>
    <w:p w:rsidR="00C96ABD" w:rsidRDefault="00C96ABD" w:rsidP="00532C14">
      <w:pPr>
        <w:spacing w:after="0" w:line="240" w:lineRule="auto"/>
        <w:jc w:val="both"/>
        <w:rPr>
          <w:rFonts w:ascii="Times New Roman" w:hAnsi="Times New Roman" w:cs="Times New Roman"/>
        </w:rPr>
      </w:pPr>
    </w:p>
    <w:p w:rsidR="00D60B78" w:rsidRDefault="00C96ABD" w:rsidP="00C96A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See </w:t>
      </w:r>
      <w:r w:rsidRPr="00687882">
        <w:rPr>
          <w:rFonts w:ascii="Times New Roman" w:hAnsi="Times New Roman" w:cs="Times New Roman"/>
          <w:i/>
          <w:sz w:val="24"/>
          <w:szCs w:val="24"/>
        </w:rPr>
        <w:t xml:space="preserve">Chetty </w:t>
      </w:r>
      <w:r w:rsidRPr="00687882">
        <w:rPr>
          <w:rFonts w:ascii="Times New Roman" w:hAnsi="Times New Roman" w:cs="Times New Roman"/>
          <w:sz w:val="24"/>
          <w:szCs w:val="24"/>
        </w:rPr>
        <w:t>v</w:t>
      </w:r>
      <w:r w:rsidRPr="00687882">
        <w:rPr>
          <w:rFonts w:ascii="Times New Roman" w:hAnsi="Times New Roman" w:cs="Times New Roman"/>
          <w:i/>
          <w:sz w:val="24"/>
          <w:szCs w:val="24"/>
        </w:rPr>
        <w:t xml:space="preserve"> Naidoo</w:t>
      </w:r>
      <w:r>
        <w:rPr>
          <w:rFonts w:ascii="Times New Roman" w:hAnsi="Times New Roman" w:cs="Times New Roman"/>
          <w:sz w:val="24"/>
          <w:szCs w:val="24"/>
        </w:rPr>
        <w:t xml:space="preserve"> 1974 (3) SA 13 (A) at 20; </w:t>
      </w:r>
      <w:r w:rsidRPr="00687882">
        <w:rPr>
          <w:rFonts w:ascii="Times New Roman" w:hAnsi="Times New Roman" w:cs="Times New Roman"/>
          <w:i/>
          <w:sz w:val="24"/>
          <w:szCs w:val="24"/>
        </w:rPr>
        <w:t xml:space="preserve">Jolly </w:t>
      </w:r>
      <w:r w:rsidRPr="00687882">
        <w:rPr>
          <w:rFonts w:ascii="Times New Roman" w:hAnsi="Times New Roman" w:cs="Times New Roman"/>
          <w:sz w:val="24"/>
          <w:szCs w:val="24"/>
        </w:rPr>
        <w:t>v</w:t>
      </w:r>
      <w:r w:rsidRPr="00687882">
        <w:rPr>
          <w:rFonts w:ascii="Times New Roman" w:hAnsi="Times New Roman" w:cs="Times New Roman"/>
          <w:i/>
          <w:sz w:val="24"/>
          <w:szCs w:val="24"/>
        </w:rPr>
        <w:t xml:space="preserve"> A Shannon &amp; Anor</w:t>
      </w:r>
      <w:r>
        <w:rPr>
          <w:rFonts w:ascii="Times New Roman" w:hAnsi="Times New Roman" w:cs="Times New Roman"/>
          <w:sz w:val="24"/>
          <w:szCs w:val="24"/>
        </w:rPr>
        <w:t xml:space="preserve"> 1998 (1) ZLR 78 (HC) at 88; </w:t>
      </w:r>
      <w:r w:rsidRPr="00687882">
        <w:rPr>
          <w:rFonts w:ascii="Times New Roman" w:hAnsi="Times New Roman" w:cs="Times New Roman"/>
          <w:i/>
          <w:sz w:val="24"/>
          <w:szCs w:val="24"/>
        </w:rPr>
        <w:t xml:space="preserve">Stanbic Finance Zimbabwe Ltd </w:t>
      </w:r>
      <w:r w:rsidRPr="00687882">
        <w:rPr>
          <w:rFonts w:ascii="Times New Roman" w:hAnsi="Times New Roman" w:cs="Times New Roman"/>
          <w:sz w:val="24"/>
          <w:szCs w:val="24"/>
        </w:rPr>
        <w:t xml:space="preserve">v </w:t>
      </w:r>
      <w:r w:rsidRPr="00687882">
        <w:rPr>
          <w:rFonts w:ascii="Times New Roman" w:hAnsi="Times New Roman" w:cs="Times New Roman"/>
          <w:i/>
          <w:sz w:val="24"/>
          <w:szCs w:val="24"/>
        </w:rPr>
        <w:t>Chivhungwa</w:t>
      </w:r>
      <w:r>
        <w:rPr>
          <w:rFonts w:ascii="Times New Roman" w:hAnsi="Times New Roman" w:cs="Times New Roman"/>
          <w:sz w:val="24"/>
          <w:szCs w:val="24"/>
        </w:rPr>
        <w:t xml:space="preserve"> 199 (1) ZLR 262 (H) at 265-266; </w:t>
      </w:r>
      <w:r w:rsidRPr="00597EA5">
        <w:rPr>
          <w:rFonts w:ascii="Times New Roman" w:hAnsi="Times New Roman" w:cs="Times New Roman"/>
          <w:i/>
          <w:sz w:val="24"/>
          <w:szCs w:val="24"/>
        </w:rPr>
        <w:t xml:space="preserve">Zimbabwe Commercial Farmers Union </w:t>
      </w:r>
      <w:r w:rsidRPr="00597EA5">
        <w:rPr>
          <w:rFonts w:ascii="Times New Roman" w:hAnsi="Times New Roman" w:cs="Times New Roman"/>
          <w:sz w:val="24"/>
          <w:szCs w:val="24"/>
        </w:rPr>
        <w:t>v</w:t>
      </w:r>
      <w:r w:rsidRPr="00597EA5">
        <w:rPr>
          <w:rFonts w:ascii="Times New Roman" w:hAnsi="Times New Roman" w:cs="Times New Roman"/>
          <w:i/>
          <w:sz w:val="24"/>
          <w:szCs w:val="24"/>
        </w:rPr>
        <w:t xml:space="preserve"> Tapiwa Nyamakura</w:t>
      </w:r>
      <w:r>
        <w:rPr>
          <w:rFonts w:ascii="Times New Roman" w:hAnsi="Times New Roman" w:cs="Times New Roman"/>
          <w:sz w:val="24"/>
          <w:szCs w:val="24"/>
        </w:rPr>
        <w:t xml:space="preserve"> HH 208/16; </w:t>
      </w:r>
      <w:r w:rsidRPr="00597EA5">
        <w:rPr>
          <w:rFonts w:ascii="Times New Roman" w:hAnsi="Times New Roman" w:cs="Times New Roman"/>
          <w:i/>
          <w:sz w:val="24"/>
          <w:szCs w:val="24"/>
        </w:rPr>
        <w:t xml:space="preserve">Tendai Savanhu </w:t>
      </w:r>
      <w:r w:rsidRPr="00597EA5">
        <w:rPr>
          <w:rFonts w:ascii="Times New Roman" w:hAnsi="Times New Roman" w:cs="Times New Roman"/>
          <w:sz w:val="24"/>
          <w:szCs w:val="24"/>
        </w:rPr>
        <w:t>v</w:t>
      </w:r>
      <w:r w:rsidRPr="00597EA5">
        <w:rPr>
          <w:rFonts w:ascii="Times New Roman" w:hAnsi="Times New Roman" w:cs="Times New Roman"/>
          <w:i/>
          <w:sz w:val="24"/>
          <w:szCs w:val="24"/>
        </w:rPr>
        <w:t xml:space="preserve"> Hwange Colliery Company</w:t>
      </w:r>
      <w:r>
        <w:rPr>
          <w:rFonts w:ascii="Times New Roman" w:hAnsi="Times New Roman" w:cs="Times New Roman"/>
          <w:sz w:val="24"/>
          <w:szCs w:val="24"/>
        </w:rPr>
        <w:t xml:space="preserve"> SC 8/2015.  Fr</w:t>
      </w:r>
      <w:r w:rsidR="00597EA5">
        <w:rPr>
          <w:rFonts w:ascii="Times New Roman" w:hAnsi="Times New Roman" w:cs="Times New Roman"/>
          <w:sz w:val="24"/>
          <w:szCs w:val="24"/>
        </w:rPr>
        <w:t>o</w:t>
      </w:r>
      <w:r>
        <w:rPr>
          <w:rFonts w:ascii="Times New Roman" w:hAnsi="Times New Roman" w:cs="Times New Roman"/>
          <w:sz w:val="24"/>
          <w:szCs w:val="24"/>
        </w:rPr>
        <w:t>m the decided authorities, it is clear that all that the applicant does is to prove that he is the owner and that the property to be vindicated is in the possession of the respondent. W</w:t>
      </w:r>
      <w:r w:rsidR="00934E74">
        <w:rPr>
          <w:rFonts w:ascii="Times New Roman" w:hAnsi="Times New Roman" w:cs="Times New Roman"/>
          <w:sz w:val="24"/>
          <w:szCs w:val="24"/>
        </w:rPr>
        <w:t>here</w:t>
      </w:r>
      <w:r>
        <w:rPr>
          <w:rFonts w:ascii="Times New Roman" w:hAnsi="Times New Roman" w:cs="Times New Roman"/>
          <w:sz w:val="24"/>
          <w:szCs w:val="24"/>
        </w:rPr>
        <w:t xml:space="preserve"> the right of the respondent to possession is conceded at any stage prior to the proceedings, the </w:t>
      </w:r>
      <w:r w:rsidR="00BF5EF5">
        <w:rPr>
          <w:rFonts w:ascii="Times New Roman" w:hAnsi="Times New Roman" w:cs="Times New Roman"/>
          <w:sz w:val="24"/>
          <w:szCs w:val="24"/>
        </w:rPr>
        <w:t xml:space="preserve">applicant bears the onus to prove a valid termination of that right. </w:t>
      </w:r>
      <w:r w:rsidR="00BF5EF5" w:rsidRPr="00687882">
        <w:rPr>
          <w:rFonts w:ascii="Times New Roman" w:hAnsi="Times New Roman" w:cs="Times New Roman"/>
          <w:i/>
          <w:sz w:val="24"/>
          <w:szCs w:val="24"/>
        </w:rPr>
        <w:t xml:space="preserve">Matador Buildings (Pvt) Ltd </w:t>
      </w:r>
      <w:r w:rsidR="00BF5EF5" w:rsidRPr="00687882">
        <w:rPr>
          <w:rFonts w:ascii="Times New Roman" w:hAnsi="Times New Roman" w:cs="Times New Roman"/>
          <w:sz w:val="24"/>
          <w:szCs w:val="24"/>
        </w:rPr>
        <w:t>v</w:t>
      </w:r>
      <w:r w:rsidR="00BF5EF5" w:rsidRPr="00687882">
        <w:rPr>
          <w:rFonts w:ascii="Times New Roman" w:hAnsi="Times New Roman" w:cs="Times New Roman"/>
          <w:i/>
          <w:sz w:val="24"/>
          <w:szCs w:val="24"/>
        </w:rPr>
        <w:t xml:space="preserve"> Harman</w:t>
      </w:r>
      <w:r w:rsidR="00BF5EF5">
        <w:rPr>
          <w:rFonts w:ascii="Times New Roman" w:hAnsi="Times New Roman" w:cs="Times New Roman"/>
          <w:sz w:val="24"/>
          <w:szCs w:val="24"/>
        </w:rPr>
        <w:t xml:space="preserve"> 1971 (2) SA 21 (C); </w:t>
      </w:r>
      <w:r w:rsidR="00BF5EF5" w:rsidRPr="00687882">
        <w:rPr>
          <w:rFonts w:ascii="Times New Roman" w:hAnsi="Times New Roman" w:cs="Times New Roman"/>
          <w:i/>
          <w:sz w:val="24"/>
          <w:szCs w:val="24"/>
        </w:rPr>
        <w:t>S</w:t>
      </w:r>
      <w:r w:rsidR="00D60B78" w:rsidRPr="00687882">
        <w:rPr>
          <w:rFonts w:ascii="Times New Roman" w:hAnsi="Times New Roman" w:cs="Times New Roman"/>
          <w:i/>
          <w:sz w:val="24"/>
          <w:szCs w:val="24"/>
        </w:rPr>
        <w:t>ch</w:t>
      </w:r>
      <w:r w:rsidR="00BF5EF5" w:rsidRPr="00687882">
        <w:rPr>
          <w:rFonts w:ascii="Times New Roman" w:hAnsi="Times New Roman" w:cs="Times New Roman"/>
          <w:i/>
          <w:sz w:val="24"/>
          <w:szCs w:val="24"/>
        </w:rPr>
        <w:t xml:space="preserve">nehage </w:t>
      </w:r>
      <w:r w:rsidR="00BF5EF5" w:rsidRPr="00687882">
        <w:rPr>
          <w:rFonts w:ascii="Times New Roman" w:hAnsi="Times New Roman" w:cs="Times New Roman"/>
          <w:sz w:val="24"/>
          <w:szCs w:val="24"/>
        </w:rPr>
        <w:t>v</w:t>
      </w:r>
      <w:r w:rsidR="00BF5EF5" w:rsidRPr="00687882">
        <w:rPr>
          <w:rFonts w:ascii="Times New Roman" w:hAnsi="Times New Roman" w:cs="Times New Roman"/>
          <w:i/>
          <w:sz w:val="24"/>
          <w:szCs w:val="24"/>
        </w:rPr>
        <w:t xml:space="preserve"> Bezuidenhout</w:t>
      </w:r>
      <w:r w:rsidR="00BF5EF5">
        <w:rPr>
          <w:rFonts w:ascii="Times New Roman" w:hAnsi="Times New Roman" w:cs="Times New Roman"/>
          <w:sz w:val="24"/>
          <w:szCs w:val="24"/>
        </w:rPr>
        <w:t xml:space="preserve"> 1977 (1) SA 362 (0).  The respondent has failed to establish</w:t>
      </w:r>
      <w:r w:rsidR="00D60B78">
        <w:rPr>
          <w:rFonts w:ascii="Times New Roman" w:hAnsi="Times New Roman" w:cs="Times New Roman"/>
          <w:sz w:val="24"/>
          <w:szCs w:val="24"/>
        </w:rPr>
        <w:t xml:space="preserve"> any valid right at law to continue to hold the vehicle against the owner.  The termination of employment remains valid until set aside in case number HC 1505/21.  In the meantime the respondent has no right to hold on to the vehicle or has failed to establish such right.  Vindication must be granted.  </w:t>
      </w:r>
    </w:p>
    <w:p w:rsidR="00202265" w:rsidRDefault="00D60B78" w:rsidP="00C96A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has sought costs of the legal practitioner and client</w:t>
      </w:r>
      <w:r w:rsidR="003A091C">
        <w:rPr>
          <w:rFonts w:ascii="Times New Roman" w:hAnsi="Times New Roman" w:cs="Times New Roman"/>
          <w:sz w:val="24"/>
          <w:szCs w:val="24"/>
        </w:rPr>
        <w:t xml:space="preserve"> sca</w:t>
      </w:r>
      <w:r>
        <w:rPr>
          <w:rFonts w:ascii="Times New Roman" w:hAnsi="Times New Roman" w:cs="Times New Roman"/>
          <w:sz w:val="24"/>
          <w:szCs w:val="24"/>
        </w:rPr>
        <w:t>l</w:t>
      </w:r>
      <w:r w:rsidR="003A091C">
        <w:rPr>
          <w:rFonts w:ascii="Times New Roman" w:hAnsi="Times New Roman" w:cs="Times New Roman"/>
          <w:sz w:val="24"/>
          <w:szCs w:val="24"/>
        </w:rPr>
        <w:t>e</w:t>
      </w:r>
      <w:r>
        <w:rPr>
          <w:rFonts w:ascii="Times New Roman" w:hAnsi="Times New Roman" w:cs="Times New Roman"/>
          <w:sz w:val="24"/>
          <w:szCs w:val="24"/>
        </w:rPr>
        <w:t>.  Such s</w:t>
      </w:r>
      <w:r w:rsidR="003A091C">
        <w:rPr>
          <w:rFonts w:ascii="Times New Roman" w:hAnsi="Times New Roman" w:cs="Times New Roman"/>
          <w:sz w:val="24"/>
          <w:szCs w:val="24"/>
        </w:rPr>
        <w:t>ca</w:t>
      </w:r>
      <w:r>
        <w:rPr>
          <w:rFonts w:ascii="Times New Roman" w:hAnsi="Times New Roman" w:cs="Times New Roman"/>
          <w:sz w:val="24"/>
          <w:szCs w:val="24"/>
        </w:rPr>
        <w:t>l</w:t>
      </w:r>
      <w:r w:rsidR="003A091C">
        <w:rPr>
          <w:rFonts w:ascii="Times New Roman" w:hAnsi="Times New Roman" w:cs="Times New Roman"/>
          <w:sz w:val="24"/>
          <w:szCs w:val="24"/>
        </w:rPr>
        <w:t>e</w:t>
      </w:r>
      <w:r>
        <w:rPr>
          <w:rFonts w:ascii="Times New Roman" w:hAnsi="Times New Roman" w:cs="Times New Roman"/>
          <w:sz w:val="24"/>
          <w:szCs w:val="24"/>
        </w:rPr>
        <w:t xml:space="preserve"> of costs should be justified because the s</w:t>
      </w:r>
      <w:r w:rsidR="003A091C">
        <w:rPr>
          <w:rFonts w:ascii="Times New Roman" w:hAnsi="Times New Roman" w:cs="Times New Roman"/>
          <w:sz w:val="24"/>
          <w:szCs w:val="24"/>
        </w:rPr>
        <w:t>ca</w:t>
      </w:r>
      <w:r>
        <w:rPr>
          <w:rFonts w:ascii="Times New Roman" w:hAnsi="Times New Roman" w:cs="Times New Roman"/>
          <w:sz w:val="24"/>
          <w:szCs w:val="24"/>
        </w:rPr>
        <w:t>l</w:t>
      </w:r>
      <w:r w:rsidR="003A091C">
        <w:rPr>
          <w:rFonts w:ascii="Times New Roman" w:hAnsi="Times New Roman" w:cs="Times New Roman"/>
          <w:sz w:val="24"/>
          <w:szCs w:val="24"/>
        </w:rPr>
        <w:t>e</w:t>
      </w:r>
      <w:r>
        <w:rPr>
          <w:rFonts w:ascii="Times New Roman" w:hAnsi="Times New Roman" w:cs="Times New Roman"/>
          <w:sz w:val="24"/>
          <w:szCs w:val="24"/>
        </w:rPr>
        <w:t xml:space="preserve"> is a departure from</w:t>
      </w:r>
      <w:r w:rsidR="003A091C">
        <w:rPr>
          <w:rFonts w:ascii="Times New Roman" w:hAnsi="Times New Roman" w:cs="Times New Roman"/>
          <w:sz w:val="24"/>
          <w:szCs w:val="24"/>
        </w:rPr>
        <w:t xml:space="preserve"> the ordinary court sca</w:t>
      </w:r>
      <w:r>
        <w:rPr>
          <w:rFonts w:ascii="Times New Roman" w:hAnsi="Times New Roman" w:cs="Times New Roman"/>
          <w:sz w:val="24"/>
          <w:szCs w:val="24"/>
        </w:rPr>
        <w:t>l</w:t>
      </w:r>
      <w:r w:rsidR="003A091C">
        <w:rPr>
          <w:rFonts w:ascii="Times New Roman" w:hAnsi="Times New Roman" w:cs="Times New Roman"/>
          <w:sz w:val="24"/>
          <w:szCs w:val="24"/>
        </w:rPr>
        <w:t>e</w:t>
      </w:r>
      <w:r>
        <w:rPr>
          <w:rFonts w:ascii="Times New Roman" w:hAnsi="Times New Roman" w:cs="Times New Roman"/>
          <w:sz w:val="24"/>
          <w:szCs w:val="24"/>
        </w:rPr>
        <w:t xml:space="preserve">. The applicant averred that is has incurred necessary costs in instituting this application against an intransigent respondent who took the law into his own hands.  I am inclined to grant costs on this </w:t>
      </w:r>
      <w:r w:rsidR="003A091C">
        <w:rPr>
          <w:rFonts w:ascii="Times New Roman" w:hAnsi="Times New Roman" w:cs="Times New Roman"/>
          <w:sz w:val="24"/>
          <w:szCs w:val="24"/>
        </w:rPr>
        <w:t>sca</w:t>
      </w:r>
      <w:r>
        <w:rPr>
          <w:rFonts w:ascii="Times New Roman" w:hAnsi="Times New Roman" w:cs="Times New Roman"/>
          <w:sz w:val="24"/>
          <w:szCs w:val="24"/>
        </w:rPr>
        <w:t>l</w:t>
      </w:r>
      <w:r w:rsidR="003A091C">
        <w:rPr>
          <w:rFonts w:ascii="Times New Roman" w:hAnsi="Times New Roman" w:cs="Times New Roman"/>
          <w:sz w:val="24"/>
          <w:szCs w:val="24"/>
        </w:rPr>
        <w:t>e</w:t>
      </w:r>
      <w:r>
        <w:rPr>
          <w:rFonts w:ascii="Times New Roman" w:hAnsi="Times New Roman" w:cs="Times New Roman"/>
          <w:sz w:val="24"/>
          <w:szCs w:val="24"/>
        </w:rPr>
        <w:t xml:space="preserve">.  All the objective facts point to a deliberate refusal by the respondent </w:t>
      </w:r>
      <w:r w:rsidR="005B3234">
        <w:rPr>
          <w:rFonts w:ascii="Times New Roman" w:hAnsi="Times New Roman" w:cs="Times New Roman"/>
          <w:sz w:val="24"/>
          <w:szCs w:val="24"/>
        </w:rPr>
        <w:t xml:space="preserve">to return the vehicle </w:t>
      </w:r>
      <w:r>
        <w:rPr>
          <w:rFonts w:ascii="Times New Roman" w:hAnsi="Times New Roman" w:cs="Times New Roman"/>
          <w:sz w:val="24"/>
          <w:szCs w:val="24"/>
        </w:rPr>
        <w:t>for no other purpose than selfishness. The respondent</w:t>
      </w:r>
      <w:r w:rsidR="00BE2A1A">
        <w:rPr>
          <w:rFonts w:ascii="Times New Roman" w:hAnsi="Times New Roman" w:cs="Times New Roman"/>
          <w:sz w:val="24"/>
          <w:szCs w:val="24"/>
        </w:rPr>
        <w:t xml:space="preserve"> surrendered every other property except the motor vehicle. He appreciated that he could not keep the property after termination of employment.  He mounted a spurious defence that the case was </w:t>
      </w:r>
      <w:r w:rsidR="00BE2A1A" w:rsidRPr="00BE2A1A">
        <w:rPr>
          <w:rFonts w:ascii="Times New Roman" w:hAnsi="Times New Roman" w:cs="Times New Roman"/>
          <w:i/>
          <w:sz w:val="24"/>
          <w:szCs w:val="24"/>
        </w:rPr>
        <w:t>lis pendens</w:t>
      </w:r>
      <w:r w:rsidR="00874E14">
        <w:rPr>
          <w:rFonts w:ascii="Times New Roman" w:hAnsi="Times New Roman" w:cs="Times New Roman"/>
          <w:sz w:val="24"/>
          <w:szCs w:val="24"/>
        </w:rPr>
        <w:t>.  The defence which he raised</w:t>
      </w:r>
      <w:r w:rsidR="00EF7613">
        <w:rPr>
          <w:rFonts w:ascii="Times New Roman" w:hAnsi="Times New Roman" w:cs="Times New Roman"/>
          <w:sz w:val="24"/>
          <w:szCs w:val="24"/>
        </w:rPr>
        <w:t xml:space="preserve"> </w:t>
      </w:r>
      <w:r w:rsidR="005B3234">
        <w:rPr>
          <w:rFonts w:ascii="Times New Roman" w:hAnsi="Times New Roman" w:cs="Times New Roman"/>
          <w:sz w:val="24"/>
          <w:szCs w:val="24"/>
        </w:rPr>
        <w:t>has no substance as a</w:t>
      </w:r>
      <w:r w:rsidR="00BE2A1A">
        <w:rPr>
          <w:rFonts w:ascii="Times New Roman" w:hAnsi="Times New Roman" w:cs="Times New Roman"/>
          <w:sz w:val="24"/>
          <w:szCs w:val="24"/>
        </w:rPr>
        <w:t xml:space="preserve"> defence</w:t>
      </w:r>
      <w:r w:rsidR="0065558F">
        <w:rPr>
          <w:rFonts w:ascii="Times New Roman" w:hAnsi="Times New Roman" w:cs="Times New Roman"/>
          <w:sz w:val="24"/>
          <w:szCs w:val="24"/>
        </w:rPr>
        <w:t xml:space="preserve"> at law.  It was a defence in </w:t>
      </w:r>
      <w:r w:rsidR="0065558F" w:rsidRPr="0065558F">
        <w:rPr>
          <w:rFonts w:ascii="Times New Roman" w:hAnsi="Times New Roman" w:cs="Times New Roman"/>
          <w:i/>
          <w:sz w:val="24"/>
          <w:szCs w:val="24"/>
        </w:rPr>
        <w:t>terrorum</w:t>
      </w:r>
      <w:r w:rsidR="0065558F">
        <w:rPr>
          <w:rFonts w:ascii="Times New Roman" w:hAnsi="Times New Roman" w:cs="Times New Roman"/>
          <w:sz w:val="24"/>
          <w:szCs w:val="24"/>
        </w:rPr>
        <w:t xml:space="preserve"> </w:t>
      </w:r>
      <w:r w:rsidR="00BE2A1A">
        <w:rPr>
          <w:rFonts w:ascii="Times New Roman" w:hAnsi="Times New Roman" w:cs="Times New Roman"/>
          <w:sz w:val="24"/>
          <w:szCs w:val="24"/>
        </w:rPr>
        <w:t xml:space="preserve">because it is trite that </w:t>
      </w:r>
      <w:r w:rsidR="0069029C">
        <w:rPr>
          <w:rFonts w:ascii="Times New Roman" w:hAnsi="Times New Roman" w:cs="Times New Roman"/>
          <w:sz w:val="24"/>
          <w:szCs w:val="24"/>
        </w:rPr>
        <w:t xml:space="preserve">a party cannot rely upon a challenge to a statute which has not been repealed or struck down to avoid a lawful obligation.  </w:t>
      </w:r>
      <w:r w:rsidR="00202265">
        <w:rPr>
          <w:rFonts w:ascii="Times New Roman" w:hAnsi="Times New Roman" w:cs="Times New Roman"/>
          <w:sz w:val="24"/>
          <w:szCs w:val="24"/>
        </w:rPr>
        <w:t xml:space="preserve">Costs </w:t>
      </w:r>
      <w:r w:rsidR="0065558F">
        <w:rPr>
          <w:rFonts w:ascii="Times New Roman" w:hAnsi="Times New Roman" w:cs="Times New Roman"/>
          <w:sz w:val="24"/>
          <w:szCs w:val="24"/>
        </w:rPr>
        <w:t>are</w:t>
      </w:r>
      <w:r w:rsidR="00202265">
        <w:rPr>
          <w:rFonts w:ascii="Times New Roman" w:hAnsi="Times New Roman" w:cs="Times New Roman"/>
          <w:sz w:val="24"/>
          <w:szCs w:val="24"/>
        </w:rPr>
        <w:t xml:space="preserve"> in the discretion of the court which discretion must be judiciously exercised.  Costs </w:t>
      </w:r>
      <w:r w:rsidR="00AD082B">
        <w:rPr>
          <w:rFonts w:ascii="Times New Roman" w:hAnsi="Times New Roman" w:cs="Times New Roman"/>
          <w:sz w:val="24"/>
          <w:szCs w:val="24"/>
        </w:rPr>
        <w:t>on the higher scal</w:t>
      </w:r>
      <w:r w:rsidR="00202265">
        <w:rPr>
          <w:rFonts w:ascii="Times New Roman" w:hAnsi="Times New Roman" w:cs="Times New Roman"/>
          <w:sz w:val="24"/>
          <w:szCs w:val="24"/>
        </w:rPr>
        <w:t xml:space="preserve">e are justified and will be granted.  </w:t>
      </w:r>
      <w:r w:rsidR="0065558F">
        <w:rPr>
          <w:rFonts w:ascii="Times New Roman" w:hAnsi="Times New Roman" w:cs="Times New Roman"/>
          <w:sz w:val="24"/>
          <w:szCs w:val="24"/>
        </w:rPr>
        <w:t xml:space="preserve">The opposition filed by the respondent is so </w:t>
      </w:r>
      <w:r w:rsidR="0065558F" w:rsidRPr="0065558F">
        <w:rPr>
          <w:rFonts w:ascii="Times New Roman" w:hAnsi="Times New Roman" w:cs="Times New Roman"/>
          <w:i/>
          <w:sz w:val="24"/>
          <w:szCs w:val="24"/>
        </w:rPr>
        <w:t xml:space="preserve">devoid </w:t>
      </w:r>
      <w:r w:rsidR="0065558F">
        <w:rPr>
          <w:rFonts w:ascii="Times New Roman" w:hAnsi="Times New Roman" w:cs="Times New Roman"/>
          <w:sz w:val="24"/>
          <w:szCs w:val="24"/>
        </w:rPr>
        <w:t xml:space="preserve">of merit that it can only have been contrived and was </w:t>
      </w:r>
      <w:r w:rsidR="0065558F" w:rsidRPr="0065558F">
        <w:rPr>
          <w:rFonts w:ascii="Times New Roman" w:hAnsi="Times New Roman" w:cs="Times New Roman"/>
          <w:i/>
          <w:sz w:val="24"/>
          <w:szCs w:val="24"/>
        </w:rPr>
        <w:t>ma</w:t>
      </w:r>
      <w:r w:rsidR="0065558F">
        <w:rPr>
          <w:rFonts w:ascii="Times New Roman" w:hAnsi="Times New Roman" w:cs="Times New Roman"/>
          <w:i/>
          <w:sz w:val="24"/>
          <w:szCs w:val="24"/>
        </w:rPr>
        <w:t>la</w:t>
      </w:r>
      <w:r w:rsidR="0065558F" w:rsidRPr="0065558F">
        <w:rPr>
          <w:rFonts w:ascii="Times New Roman" w:hAnsi="Times New Roman" w:cs="Times New Roman"/>
          <w:i/>
          <w:sz w:val="24"/>
          <w:szCs w:val="24"/>
        </w:rPr>
        <w:t xml:space="preserve"> fide</w:t>
      </w:r>
      <w:r w:rsidR="0065558F">
        <w:rPr>
          <w:rFonts w:ascii="Times New Roman" w:hAnsi="Times New Roman" w:cs="Times New Roman"/>
          <w:sz w:val="24"/>
          <w:szCs w:val="24"/>
        </w:rPr>
        <w:t>.</w:t>
      </w:r>
    </w:p>
    <w:p w:rsidR="00202265" w:rsidRDefault="00202265" w:rsidP="00C96A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applicant has proved its case and the following order is made:</w:t>
      </w:r>
    </w:p>
    <w:p w:rsidR="00C96ABD" w:rsidRDefault="00202265" w:rsidP="00C96AB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8E4967">
        <w:rPr>
          <w:rFonts w:ascii="Times New Roman" w:hAnsi="Times New Roman" w:cs="Times New Roman"/>
          <w:b/>
          <w:sz w:val="24"/>
          <w:szCs w:val="24"/>
        </w:rPr>
        <w:t xml:space="preserve">IT </w:t>
      </w:r>
      <w:r w:rsidR="008E4967" w:rsidRPr="008E4967">
        <w:rPr>
          <w:rFonts w:ascii="Times New Roman" w:hAnsi="Times New Roman" w:cs="Times New Roman"/>
          <w:b/>
          <w:sz w:val="24"/>
          <w:szCs w:val="24"/>
        </w:rPr>
        <w:t>IS</w:t>
      </w:r>
      <w:r w:rsidRPr="008E4967">
        <w:rPr>
          <w:rFonts w:ascii="Times New Roman" w:hAnsi="Times New Roman" w:cs="Times New Roman"/>
          <w:b/>
          <w:sz w:val="24"/>
          <w:szCs w:val="24"/>
        </w:rPr>
        <w:t xml:space="preserve"> ORDERED THAT:  </w:t>
      </w:r>
      <w:r w:rsidR="0069029C" w:rsidRPr="008E4967">
        <w:rPr>
          <w:rFonts w:ascii="Times New Roman" w:hAnsi="Times New Roman" w:cs="Times New Roman"/>
          <w:b/>
          <w:sz w:val="24"/>
          <w:szCs w:val="24"/>
        </w:rPr>
        <w:t xml:space="preserve"> </w:t>
      </w:r>
      <w:r w:rsidR="00BE2A1A" w:rsidRPr="008E4967">
        <w:rPr>
          <w:rFonts w:ascii="Times New Roman" w:hAnsi="Times New Roman" w:cs="Times New Roman"/>
          <w:b/>
          <w:sz w:val="24"/>
          <w:szCs w:val="24"/>
        </w:rPr>
        <w:t xml:space="preserve">  </w:t>
      </w:r>
      <w:r w:rsidR="00D60B78" w:rsidRPr="008E4967">
        <w:rPr>
          <w:rFonts w:ascii="Times New Roman" w:hAnsi="Times New Roman" w:cs="Times New Roman"/>
          <w:b/>
          <w:sz w:val="24"/>
          <w:szCs w:val="24"/>
        </w:rPr>
        <w:t xml:space="preserve">    </w:t>
      </w:r>
      <w:r w:rsidR="00BF5EF5" w:rsidRPr="008E4967">
        <w:rPr>
          <w:rFonts w:ascii="Times New Roman" w:hAnsi="Times New Roman" w:cs="Times New Roman"/>
          <w:b/>
          <w:sz w:val="24"/>
          <w:szCs w:val="24"/>
        </w:rPr>
        <w:t xml:space="preserve"> </w:t>
      </w:r>
    </w:p>
    <w:p w:rsidR="00687882" w:rsidRDefault="00412F23" w:rsidP="00AD082B">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ab/>
      </w:r>
      <w:r w:rsidRPr="00412F23">
        <w:rPr>
          <w:rFonts w:ascii="Times New Roman" w:hAnsi="Times New Roman" w:cs="Times New Roman"/>
          <w:sz w:val="24"/>
          <w:szCs w:val="24"/>
        </w:rPr>
        <w:t>1.</w:t>
      </w:r>
      <w:r>
        <w:rPr>
          <w:rFonts w:ascii="Times New Roman" w:hAnsi="Times New Roman" w:cs="Times New Roman"/>
          <w:sz w:val="24"/>
          <w:szCs w:val="24"/>
        </w:rPr>
        <w:t xml:space="preserve">  </w:t>
      </w:r>
      <w:r w:rsidR="00AD082B">
        <w:rPr>
          <w:rFonts w:ascii="Times New Roman" w:hAnsi="Times New Roman" w:cs="Times New Roman"/>
          <w:sz w:val="24"/>
          <w:szCs w:val="24"/>
        </w:rPr>
        <w:tab/>
      </w:r>
      <w:r>
        <w:rPr>
          <w:rFonts w:ascii="Times New Roman" w:hAnsi="Times New Roman" w:cs="Times New Roman"/>
          <w:sz w:val="24"/>
          <w:szCs w:val="24"/>
        </w:rPr>
        <w:t xml:space="preserve">The respondent be and is hereby ordered to surrender possession of and to return to </w:t>
      </w:r>
      <w:r w:rsidR="00AD082B">
        <w:rPr>
          <w:rFonts w:ascii="Times New Roman" w:hAnsi="Times New Roman" w:cs="Times New Roman"/>
          <w:sz w:val="24"/>
          <w:szCs w:val="24"/>
        </w:rPr>
        <w:tab/>
      </w:r>
      <w:r>
        <w:rPr>
          <w:rFonts w:ascii="Times New Roman" w:hAnsi="Times New Roman" w:cs="Times New Roman"/>
          <w:sz w:val="24"/>
          <w:szCs w:val="24"/>
        </w:rPr>
        <w:t xml:space="preserve">the applicant, upon service of this Order, Mercedes Benz ML registration number </w:t>
      </w:r>
      <w:r w:rsidR="00AD082B">
        <w:rPr>
          <w:rFonts w:ascii="Times New Roman" w:hAnsi="Times New Roman" w:cs="Times New Roman"/>
          <w:sz w:val="24"/>
          <w:szCs w:val="24"/>
        </w:rPr>
        <w:tab/>
      </w:r>
      <w:r>
        <w:rPr>
          <w:rFonts w:ascii="Times New Roman" w:hAnsi="Times New Roman" w:cs="Times New Roman"/>
          <w:sz w:val="24"/>
          <w:szCs w:val="24"/>
        </w:rPr>
        <w:t>AEX 0509.</w:t>
      </w:r>
    </w:p>
    <w:p w:rsidR="00687882" w:rsidRDefault="00687882" w:rsidP="00687882">
      <w:pPr>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r>
      <w:r w:rsidR="00AD082B">
        <w:rPr>
          <w:rFonts w:ascii="Times New Roman" w:hAnsi="Times New Roman" w:cs="Times New Roman"/>
          <w:sz w:val="24"/>
          <w:szCs w:val="24"/>
        </w:rPr>
        <w:tab/>
      </w:r>
      <w:r>
        <w:rPr>
          <w:rFonts w:ascii="Times New Roman" w:hAnsi="Times New Roman" w:cs="Times New Roman"/>
          <w:sz w:val="24"/>
          <w:szCs w:val="24"/>
        </w:rPr>
        <w:t>In the event of the respondent failing to comply wit</w:t>
      </w:r>
      <w:r w:rsidR="0065558F">
        <w:rPr>
          <w:rFonts w:ascii="Times New Roman" w:hAnsi="Times New Roman" w:cs="Times New Roman"/>
          <w:sz w:val="24"/>
          <w:szCs w:val="24"/>
        </w:rPr>
        <w:t xml:space="preserve">h para 1 herein, the Sheriff </w:t>
      </w:r>
      <w:r w:rsidR="00AD082B">
        <w:rPr>
          <w:rFonts w:ascii="Times New Roman" w:hAnsi="Times New Roman" w:cs="Times New Roman"/>
          <w:sz w:val="24"/>
          <w:szCs w:val="24"/>
        </w:rPr>
        <w:tab/>
      </w:r>
      <w:r>
        <w:rPr>
          <w:rFonts w:ascii="Times New Roman" w:hAnsi="Times New Roman" w:cs="Times New Roman"/>
          <w:sz w:val="24"/>
          <w:szCs w:val="24"/>
        </w:rPr>
        <w:t>be and</w:t>
      </w:r>
      <w:r w:rsidR="0065558F">
        <w:rPr>
          <w:rFonts w:ascii="Times New Roman" w:hAnsi="Times New Roman" w:cs="Times New Roman"/>
          <w:sz w:val="24"/>
          <w:szCs w:val="24"/>
        </w:rPr>
        <w:t xml:space="preserve"> is</w:t>
      </w:r>
      <w:r>
        <w:rPr>
          <w:rFonts w:ascii="Times New Roman" w:hAnsi="Times New Roman" w:cs="Times New Roman"/>
          <w:sz w:val="24"/>
          <w:szCs w:val="24"/>
        </w:rPr>
        <w:t xml:space="preserve"> hereby authorized to take all and any such steps as may be necessary to </w:t>
      </w:r>
      <w:r w:rsidR="0065558F">
        <w:rPr>
          <w:rFonts w:ascii="Times New Roman" w:hAnsi="Times New Roman" w:cs="Times New Roman"/>
          <w:sz w:val="24"/>
          <w:szCs w:val="24"/>
        </w:rPr>
        <w:tab/>
      </w:r>
      <w:r>
        <w:rPr>
          <w:rFonts w:ascii="Times New Roman" w:hAnsi="Times New Roman" w:cs="Times New Roman"/>
          <w:sz w:val="24"/>
          <w:szCs w:val="24"/>
        </w:rPr>
        <w:t xml:space="preserve">recover the said property from the respondent or </w:t>
      </w:r>
      <w:r w:rsidR="0065558F">
        <w:rPr>
          <w:rFonts w:ascii="Times New Roman" w:hAnsi="Times New Roman" w:cs="Times New Roman"/>
          <w:sz w:val="24"/>
          <w:szCs w:val="24"/>
        </w:rPr>
        <w:t>a</w:t>
      </w:r>
      <w:r>
        <w:rPr>
          <w:rFonts w:ascii="Times New Roman" w:hAnsi="Times New Roman" w:cs="Times New Roman"/>
          <w:sz w:val="24"/>
          <w:szCs w:val="24"/>
        </w:rPr>
        <w:t xml:space="preserve">ny person whomsoever is in </w:t>
      </w:r>
      <w:r w:rsidR="0065558F">
        <w:rPr>
          <w:rFonts w:ascii="Times New Roman" w:hAnsi="Times New Roman" w:cs="Times New Roman"/>
          <w:sz w:val="24"/>
          <w:szCs w:val="24"/>
        </w:rPr>
        <w:tab/>
      </w:r>
      <w:r>
        <w:rPr>
          <w:rFonts w:ascii="Times New Roman" w:hAnsi="Times New Roman" w:cs="Times New Roman"/>
          <w:sz w:val="24"/>
          <w:szCs w:val="24"/>
        </w:rPr>
        <w:t>possession thereof on the authority of the respondent and return it to the applicant.</w:t>
      </w:r>
    </w:p>
    <w:p w:rsidR="00412F23" w:rsidRPr="00412F23" w:rsidRDefault="00687882" w:rsidP="00687882">
      <w:pPr>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D082B">
        <w:rPr>
          <w:rFonts w:ascii="Times New Roman" w:hAnsi="Times New Roman" w:cs="Times New Roman"/>
          <w:sz w:val="24"/>
          <w:szCs w:val="24"/>
        </w:rPr>
        <w:tab/>
      </w:r>
      <w:r>
        <w:rPr>
          <w:rFonts w:ascii="Times New Roman" w:hAnsi="Times New Roman" w:cs="Times New Roman"/>
          <w:sz w:val="24"/>
          <w:szCs w:val="24"/>
        </w:rPr>
        <w:t xml:space="preserve">The respondent shall pay the costs of this application on a legal practitioner and </w:t>
      </w:r>
      <w:r w:rsidR="00AD082B">
        <w:rPr>
          <w:rFonts w:ascii="Times New Roman" w:hAnsi="Times New Roman" w:cs="Times New Roman"/>
          <w:sz w:val="24"/>
          <w:szCs w:val="24"/>
        </w:rPr>
        <w:tab/>
      </w:r>
      <w:r>
        <w:rPr>
          <w:rFonts w:ascii="Times New Roman" w:hAnsi="Times New Roman" w:cs="Times New Roman"/>
          <w:sz w:val="24"/>
          <w:szCs w:val="24"/>
        </w:rPr>
        <w:t>client scale.</w:t>
      </w:r>
      <w:r w:rsidR="00412F23">
        <w:rPr>
          <w:rFonts w:ascii="Times New Roman" w:hAnsi="Times New Roman" w:cs="Times New Roman"/>
          <w:sz w:val="24"/>
          <w:szCs w:val="24"/>
        </w:rPr>
        <w:t xml:space="preserve"> </w:t>
      </w:r>
      <w:r w:rsidR="00412F23">
        <w:rPr>
          <w:rFonts w:ascii="Times New Roman" w:hAnsi="Times New Roman" w:cs="Times New Roman"/>
          <w:sz w:val="24"/>
          <w:szCs w:val="24"/>
        </w:rPr>
        <w:tab/>
      </w:r>
      <w:r w:rsidR="00412F23" w:rsidRPr="00412F23">
        <w:rPr>
          <w:rFonts w:ascii="Times New Roman" w:hAnsi="Times New Roman" w:cs="Times New Roman"/>
          <w:sz w:val="24"/>
          <w:szCs w:val="24"/>
        </w:rPr>
        <w:t xml:space="preserve"> </w:t>
      </w:r>
      <w:r w:rsidR="00412F23" w:rsidRPr="00412F23">
        <w:rPr>
          <w:rFonts w:ascii="Times New Roman" w:hAnsi="Times New Roman" w:cs="Times New Roman"/>
          <w:sz w:val="24"/>
          <w:szCs w:val="24"/>
        </w:rPr>
        <w:tab/>
      </w:r>
    </w:p>
    <w:p w:rsidR="00C96ABD" w:rsidRDefault="00C96ABD" w:rsidP="00532C14">
      <w:pPr>
        <w:spacing w:after="0" w:line="240" w:lineRule="auto"/>
        <w:jc w:val="both"/>
        <w:rPr>
          <w:rFonts w:ascii="Times New Roman" w:hAnsi="Times New Roman" w:cs="Times New Roman"/>
        </w:rPr>
      </w:pPr>
    </w:p>
    <w:p w:rsidR="007419EE" w:rsidRPr="004D4DC0" w:rsidRDefault="00532C14" w:rsidP="00532C14">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 xml:space="preserve"> </w:t>
      </w:r>
      <w:r w:rsidR="00773861">
        <w:rPr>
          <w:rFonts w:ascii="Times New Roman" w:hAnsi="Times New Roman" w:cs="Times New Roman"/>
          <w:sz w:val="24"/>
          <w:szCs w:val="24"/>
        </w:rPr>
        <w:t xml:space="preserve"> </w:t>
      </w:r>
      <w:r w:rsidR="00596B63">
        <w:rPr>
          <w:rFonts w:ascii="Times New Roman" w:hAnsi="Times New Roman" w:cs="Times New Roman"/>
          <w:sz w:val="24"/>
          <w:szCs w:val="24"/>
        </w:rPr>
        <w:t xml:space="preserve"> </w:t>
      </w:r>
      <w:r w:rsidR="0061408F">
        <w:rPr>
          <w:rFonts w:ascii="Times New Roman" w:hAnsi="Times New Roman" w:cs="Times New Roman"/>
          <w:sz w:val="24"/>
          <w:szCs w:val="24"/>
        </w:rPr>
        <w:t xml:space="preserve">     </w:t>
      </w:r>
      <w:r w:rsidR="00FD151C">
        <w:rPr>
          <w:rFonts w:ascii="Times New Roman" w:hAnsi="Times New Roman" w:cs="Times New Roman"/>
          <w:sz w:val="24"/>
          <w:szCs w:val="24"/>
        </w:rPr>
        <w:t xml:space="preserve"> </w:t>
      </w:r>
      <w:r w:rsidR="004D4DC0">
        <w:rPr>
          <w:rFonts w:ascii="Times New Roman" w:hAnsi="Times New Roman" w:cs="Times New Roman"/>
          <w:sz w:val="24"/>
          <w:szCs w:val="24"/>
        </w:rPr>
        <w:t xml:space="preserve">  </w:t>
      </w:r>
      <w:r w:rsidR="004D4DC0" w:rsidRPr="004D4DC0">
        <w:rPr>
          <w:rFonts w:ascii="Times New Roman" w:hAnsi="Times New Roman" w:cs="Times New Roman"/>
        </w:rPr>
        <w:t xml:space="preserve">                    </w:t>
      </w:r>
    </w:p>
    <w:p w:rsidR="00F833F4" w:rsidRDefault="00F833F4" w:rsidP="00F833F4">
      <w:pPr>
        <w:spacing w:after="0" w:line="360" w:lineRule="auto"/>
        <w:jc w:val="both"/>
        <w:rPr>
          <w:rFonts w:ascii="Times New Roman" w:hAnsi="Times New Roman" w:cs="Times New Roman"/>
          <w:sz w:val="24"/>
          <w:szCs w:val="24"/>
        </w:rPr>
      </w:pPr>
    </w:p>
    <w:p w:rsidR="00F833F4" w:rsidRDefault="00F833F4" w:rsidP="00F833F4">
      <w:pPr>
        <w:spacing w:after="0" w:line="360" w:lineRule="auto"/>
        <w:jc w:val="both"/>
        <w:rPr>
          <w:rFonts w:ascii="Times New Roman" w:hAnsi="Times New Roman" w:cs="Times New Roman"/>
          <w:sz w:val="24"/>
          <w:szCs w:val="24"/>
        </w:rPr>
      </w:pPr>
    </w:p>
    <w:p w:rsidR="00387764" w:rsidRDefault="00387764" w:rsidP="00387764">
      <w:pPr>
        <w:spacing w:after="0" w:line="360" w:lineRule="auto"/>
        <w:jc w:val="both"/>
        <w:rPr>
          <w:rFonts w:ascii="Times New Roman" w:hAnsi="Times New Roman" w:cs="Times New Roman"/>
          <w:sz w:val="24"/>
          <w:szCs w:val="24"/>
        </w:rPr>
      </w:pPr>
    </w:p>
    <w:p w:rsidR="00387764" w:rsidRDefault="00202265" w:rsidP="0038776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Kantor &amp; immerman, </w:t>
      </w:r>
      <w:r>
        <w:rPr>
          <w:rFonts w:ascii="Times New Roman" w:hAnsi="Times New Roman" w:cs="Times New Roman"/>
          <w:sz w:val="24"/>
          <w:szCs w:val="24"/>
        </w:rPr>
        <w:t>applicant’s</w:t>
      </w:r>
      <w:r w:rsidR="00387764">
        <w:rPr>
          <w:rFonts w:ascii="Times New Roman" w:hAnsi="Times New Roman" w:cs="Times New Roman"/>
          <w:sz w:val="24"/>
          <w:szCs w:val="24"/>
        </w:rPr>
        <w:t xml:space="preserve"> legal practitioners</w:t>
      </w:r>
    </w:p>
    <w:p w:rsidR="00387764" w:rsidRPr="00A30D04" w:rsidRDefault="00202265" w:rsidP="0038776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Hog</w:t>
      </w:r>
      <w:r w:rsidR="00412F23">
        <w:rPr>
          <w:rFonts w:ascii="Times New Roman" w:hAnsi="Times New Roman" w:cs="Times New Roman"/>
          <w:i/>
          <w:sz w:val="24"/>
          <w:szCs w:val="24"/>
        </w:rPr>
        <w:t>w</w:t>
      </w:r>
      <w:r>
        <w:rPr>
          <w:rFonts w:ascii="Times New Roman" w:hAnsi="Times New Roman" w:cs="Times New Roman"/>
          <w:i/>
          <w:sz w:val="24"/>
          <w:szCs w:val="24"/>
        </w:rPr>
        <w:t>e Nyengedza</w:t>
      </w:r>
      <w:r w:rsidR="00387764">
        <w:rPr>
          <w:rFonts w:ascii="Times New Roman" w:hAnsi="Times New Roman" w:cs="Times New Roman"/>
          <w:sz w:val="24"/>
          <w:szCs w:val="24"/>
        </w:rPr>
        <w:t>, r</w:t>
      </w:r>
      <w:r w:rsidR="00C81208">
        <w:rPr>
          <w:rFonts w:ascii="Times New Roman" w:hAnsi="Times New Roman" w:cs="Times New Roman"/>
          <w:sz w:val="24"/>
          <w:szCs w:val="24"/>
        </w:rPr>
        <w:t>espondent’s legal practitioners</w:t>
      </w:r>
      <w:r w:rsidR="00631159">
        <w:rPr>
          <w:rFonts w:ascii="Times New Roman" w:hAnsi="Times New Roman" w:cs="Times New Roman"/>
          <w:sz w:val="24"/>
          <w:szCs w:val="24"/>
        </w:rPr>
        <w:t xml:space="preserve">   </w:t>
      </w:r>
    </w:p>
    <w:p w:rsidR="00387764" w:rsidRDefault="00387764" w:rsidP="000F59C6">
      <w:pPr>
        <w:tabs>
          <w:tab w:val="left" w:pos="1080"/>
        </w:tabs>
        <w:spacing w:after="0" w:line="360" w:lineRule="auto"/>
        <w:jc w:val="both"/>
        <w:rPr>
          <w:rFonts w:ascii="Times New Roman" w:hAnsi="Times New Roman" w:cs="Times New Roman"/>
          <w:sz w:val="24"/>
          <w:szCs w:val="24"/>
        </w:rPr>
      </w:pPr>
    </w:p>
    <w:p w:rsidR="00387764" w:rsidRDefault="00387764" w:rsidP="000F59C6">
      <w:pPr>
        <w:tabs>
          <w:tab w:val="left" w:pos="1080"/>
        </w:tabs>
        <w:spacing w:after="0" w:line="360" w:lineRule="auto"/>
        <w:jc w:val="both"/>
        <w:rPr>
          <w:rFonts w:ascii="Times New Roman" w:hAnsi="Times New Roman" w:cs="Times New Roman"/>
          <w:sz w:val="24"/>
          <w:szCs w:val="24"/>
        </w:rPr>
      </w:pPr>
    </w:p>
    <w:p w:rsidR="000F59C6" w:rsidRDefault="00BE1BFC" w:rsidP="000F59C6">
      <w:pPr>
        <w:tabs>
          <w:tab w:val="left" w:pos="1080"/>
        </w:tabs>
        <w:spacing w:after="0" w:line="360" w:lineRule="auto"/>
        <w:jc w:val="both"/>
        <w:rPr>
          <w:rFonts w:ascii="Times New Roman" w:hAnsi="Times New Roman" w:cs="Times New Roman"/>
        </w:rPr>
      </w:pPr>
      <w:r>
        <w:rPr>
          <w:rFonts w:ascii="Times New Roman" w:hAnsi="Times New Roman" w:cs="Times New Roman"/>
          <w:sz w:val="24"/>
          <w:szCs w:val="24"/>
        </w:rPr>
        <w:t xml:space="preserve">  </w:t>
      </w:r>
      <w:r w:rsidR="00012E4F">
        <w:rPr>
          <w:rFonts w:ascii="Times New Roman" w:hAnsi="Times New Roman" w:cs="Times New Roman"/>
          <w:sz w:val="24"/>
          <w:szCs w:val="24"/>
        </w:rPr>
        <w:t xml:space="preserve">      </w:t>
      </w:r>
      <w:r w:rsidR="00B65155">
        <w:rPr>
          <w:rFonts w:ascii="Times New Roman" w:hAnsi="Times New Roman" w:cs="Times New Roman"/>
          <w:sz w:val="24"/>
          <w:szCs w:val="24"/>
        </w:rPr>
        <w:t xml:space="preserve">  </w:t>
      </w:r>
      <w:r w:rsidR="00E933A7">
        <w:rPr>
          <w:rFonts w:ascii="Times New Roman" w:hAnsi="Times New Roman" w:cs="Times New Roman"/>
          <w:sz w:val="24"/>
          <w:szCs w:val="24"/>
        </w:rPr>
        <w:t xml:space="preserve"> </w:t>
      </w:r>
      <w:r w:rsidR="000F59C6">
        <w:rPr>
          <w:rFonts w:ascii="Times New Roman" w:hAnsi="Times New Roman" w:cs="Times New Roman"/>
          <w:sz w:val="24"/>
          <w:szCs w:val="24"/>
        </w:rPr>
        <w:t xml:space="preserve"> </w:t>
      </w:r>
    </w:p>
    <w:p w:rsidR="00F739CD" w:rsidRDefault="00F739CD" w:rsidP="00A470CA">
      <w:pPr>
        <w:pStyle w:val="ListParagraph"/>
        <w:spacing w:after="0" w:line="240" w:lineRule="auto"/>
        <w:ind w:left="1440"/>
        <w:jc w:val="both"/>
        <w:rPr>
          <w:rFonts w:ascii="Times New Roman" w:hAnsi="Times New Roman" w:cs="Times New Roman"/>
        </w:rPr>
      </w:pPr>
    </w:p>
    <w:p w:rsidR="00F739CD" w:rsidRDefault="00F739CD" w:rsidP="00A470CA">
      <w:pPr>
        <w:pStyle w:val="ListParagraph"/>
        <w:spacing w:after="0" w:line="240" w:lineRule="auto"/>
        <w:ind w:left="1440"/>
        <w:jc w:val="both"/>
        <w:rPr>
          <w:rFonts w:ascii="Times New Roman" w:hAnsi="Times New Roman" w:cs="Times New Roman"/>
        </w:rPr>
      </w:pPr>
    </w:p>
    <w:p w:rsidR="00A712E4" w:rsidRPr="002E48C8" w:rsidRDefault="00A712E4" w:rsidP="00A470CA">
      <w:pPr>
        <w:pStyle w:val="ListParagraph"/>
        <w:spacing w:after="0" w:line="240" w:lineRule="auto"/>
        <w:ind w:left="1440"/>
        <w:jc w:val="both"/>
        <w:rPr>
          <w:rFonts w:ascii="Times New Roman" w:hAnsi="Times New Roman" w:cs="Times New Roman"/>
        </w:rPr>
      </w:pPr>
    </w:p>
    <w:sectPr w:rsidR="00A712E4" w:rsidRPr="002E48C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1D3" w:rsidRDefault="00ED41D3" w:rsidP="00F739CD">
      <w:pPr>
        <w:spacing w:after="0" w:line="240" w:lineRule="auto"/>
      </w:pPr>
      <w:r>
        <w:separator/>
      </w:r>
    </w:p>
  </w:endnote>
  <w:endnote w:type="continuationSeparator" w:id="0">
    <w:p w:rsidR="00ED41D3" w:rsidRDefault="00ED41D3"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1D3" w:rsidRDefault="00ED41D3" w:rsidP="00F739CD">
      <w:pPr>
        <w:spacing w:after="0" w:line="240" w:lineRule="auto"/>
      </w:pPr>
      <w:r>
        <w:separator/>
      </w:r>
    </w:p>
  </w:footnote>
  <w:footnote w:type="continuationSeparator" w:id="0">
    <w:p w:rsidR="00ED41D3" w:rsidRDefault="00ED41D3"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rsidR="00C465AA" w:rsidRDefault="00C465AA">
        <w:pPr>
          <w:pStyle w:val="Header"/>
          <w:jc w:val="right"/>
          <w:rPr>
            <w:noProof/>
          </w:rPr>
        </w:pPr>
        <w:r>
          <w:fldChar w:fldCharType="begin"/>
        </w:r>
        <w:r>
          <w:instrText xml:space="preserve"> PAGE   \* MERGEFORMAT </w:instrText>
        </w:r>
        <w:r>
          <w:fldChar w:fldCharType="separate"/>
        </w:r>
        <w:r w:rsidR="001B64E8">
          <w:rPr>
            <w:noProof/>
          </w:rPr>
          <w:t>1</w:t>
        </w:r>
        <w:r>
          <w:rPr>
            <w:noProof/>
          </w:rPr>
          <w:fldChar w:fldCharType="end"/>
        </w:r>
      </w:p>
      <w:p w:rsidR="00C465AA" w:rsidRDefault="00111A27">
        <w:pPr>
          <w:pStyle w:val="Header"/>
          <w:jc w:val="right"/>
          <w:rPr>
            <w:noProof/>
          </w:rPr>
        </w:pPr>
        <w:r>
          <w:rPr>
            <w:noProof/>
          </w:rPr>
          <w:t xml:space="preserve">HH </w:t>
        </w:r>
        <w:r w:rsidR="00197186">
          <w:rPr>
            <w:noProof/>
          </w:rPr>
          <w:t>608-22</w:t>
        </w:r>
      </w:p>
      <w:p w:rsidR="00C465AA" w:rsidRDefault="00C465AA">
        <w:pPr>
          <w:pStyle w:val="Header"/>
          <w:jc w:val="right"/>
        </w:pPr>
        <w:r>
          <w:rPr>
            <w:noProof/>
          </w:rPr>
          <w:t xml:space="preserve">HC </w:t>
        </w:r>
        <w:r w:rsidR="00F833F4">
          <w:rPr>
            <w:noProof/>
          </w:rPr>
          <w:t>1532/21</w:t>
        </w:r>
      </w:p>
    </w:sdtContent>
  </w:sdt>
  <w:p w:rsidR="00C465AA" w:rsidRDefault="00C465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D7961"/>
    <w:multiLevelType w:val="hybridMultilevel"/>
    <w:tmpl w:val="897CD0DE"/>
    <w:lvl w:ilvl="0" w:tplc="01CA0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168600A"/>
    <w:multiLevelType w:val="hybridMultilevel"/>
    <w:tmpl w:val="6A0846E4"/>
    <w:lvl w:ilvl="0" w:tplc="DDDCBFA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27B0"/>
    <w:rsid w:val="00012E4F"/>
    <w:rsid w:val="00046F4B"/>
    <w:rsid w:val="000A57FE"/>
    <w:rsid w:val="000B5B07"/>
    <w:rsid w:val="000C20B1"/>
    <w:rsid w:val="000D239D"/>
    <w:rsid w:val="000F59C6"/>
    <w:rsid w:val="00100457"/>
    <w:rsid w:val="001068CB"/>
    <w:rsid w:val="00111A27"/>
    <w:rsid w:val="00147D74"/>
    <w:rsid w:val="00165D06"/>
    <w:rsid w:val="0019644B"/>
    <w:rsid w:val="00197186"/>
    <w:rsid w:val="001A08BB"/>
    <w:rsid w:val="001B64E8"/>
    <w:rsid w:val="001B77FA"/>
    <w:rsid w:val="001D02C1"/>
    <w:rsid w:val="001E097E"/>
    <w:rsid w:val="00202265"/>
    <w:rsid w:val="002024C3"/>
    <w:rsid w:val="002161FD"/>
    <w:rsid w:val="00227EEF"/>
    <w:rsid w:val="0023204F"/>
    <w:rsid w:val="00243BF6"/>
    <w:rsid w:val="0026592D"/>
    <w:rsid w:val="00291E26"/>
    <w:rsid w:val="002A0354"/>
    <w:rsid w:val="002A1B94"/>
    <w:rsid w:val="002A48EF"/>
    <w:rsid w:val="002B1D92"/>
    <w:rsid w:val="002C2998"/>
    <w:rsid w:val="002D1EB3"/>
    <w:rsid w:val="002F1C8B"/>
    <w:rsid w:val="002F5313"/>
    <w:rsid w:val="00302CAF"/>
    <w:rsid w:val="00335A1C"/>
    <w:rsid w:val="00387764"/>
    <w:rsid w:val="003A091C"/>
    <w:rsid w:val="003C69A8"/>
    <w:rsid w:val="003F04A2"/>
    <w:rsid w:val="004024B2"/>
    <w:rsid w:val="00412F23"/>
    <w:rsid w:val="00435C97"/>
    <w:rsid w:val="00487034"/>
    <w:rsid w:val="004A2F67"/>
    <w:rsid w:val="004B04B1"/>
    <w:rsid w:val="004B340F"/>
    <w:rsid w:val="004D1BE1"/>
    <w:rsid w:val="004D4DC0"/>
    <w:rsid w:val="00505C1E"/>
    <w:rsid w:val="00532C14"/>
    <w:rsid w:val="005602FF"/>
    <w:rsid w:val="00586281"/>
    <w:rsid w:val="00596B63"/>
    <w:rsid w:val="00597EA5"/>
    <w:rsid w:val="005A22A0"/>
    <w:rsid w:val="005A6A0A"/>
    <w:rsid w:val="005B06B4"/>
    <w:rsid w:val="005B3234"/>
    <w:rsid w:val="005D7098"/>
    <w:rsid w:val="00602A2B"/>
    <w:rsid w:val="00611DF5"/>
    <w:rsid w:val="0061408F"/>
    <w:rsid w:val="00622D77"/>
    <w:rsid w:val="00631159"/>
    <w:rsid w:val="0065558F"/>
    <w:rsid w:val="006851E9"/>
    <w:rsid w:val="00687882"/>
    <w:rsid w:val="0069029C"/>
    <w:rsid w:val="00696CD1"/>
    <w:rsid w:val="006C4FA0"/>
    <w:rsid w:val="006C6C7E"/>
    <w:rsid w:val="006D779B"/>
    <w:rsid w:val="006F071B"/>
    <w:rsid w:val="0071651C"/>
    <w:rsid w:val="007419EE"/>
    <w:rsid w:val="00750881"/>
    <w:rsid w:val="007640D5"/>
    <w:rsid w:val="00767661"/>
    <w:rsid w:val="00773861"/>
    <w:rsid w:val="00780CD9"/>
    <w:rsid w:val="007B4D64"/>
    <w:rsid w:val="007C4230"/>
    <w:rsid w:val="007E468B"/>
    <w:rsid w:val="007E74EC"/>
    <w:rsid w:val="00826D63"/>
    <w:rsid w:val="00832418"/>
    <w:rsid w:val="0084189B"/>
    <w:rsid w:val="008426B5"/>
    <w:rsid w:val="00860E2D"/>
    <w:rsid w:val="00863FFA"/>
    <w:rsid w:val="00874E14"/>
    <w:rsid w:val="0087709E"/>
    <w:rsid w:val="00882EBF"/>
    <w:rsid w:val="00891470"/>
    <w:rsid w:val="008B51A4"/>
    <w:rsid w:val="008E4967"/>
    <w:rsid w:val="00925F59"/>
    <w:rsid w:val="0092639D"/>
    <w:rsid w:val="00926AA7"/>
    <w:rsid w:val="00926CA0"/>
    <w:rsid w:val="009274EC"/>
    <w:rsid w:val="00934E74"/>
    <w:rsid w:val="0093612D"/>
    <w:rsid w:val="009544A6"/>
    <w:rsid w:val="0097063A"/>
    <w:rsid w:val="00982BA8"/>
    <w:rsid w:val="0098356E"/>
    <w:rsid w:val="009A3650"/>
    <w:rsid w:val="009C3D3C"/>
    <w:rsid w:val="009E6D4F"/>
    <w:rsid w:val="009F4272"/>
    <w:rsid w:val="009F7C2F"/>
    <w:rsid w:val="00A22329"/>
    <w:rsid w:val="00A470CA"/>
    <w:rsid w:val="00A4742D"/>
    <w:rsid w:val="00A520E8"/>
    <w:rsid w:val="00A54A8C"/>
    <w:rsid w:val="00A65E48"/>
    <w:rsid w:val="00A712E4"/>
    <w:rsid w:val="00A8518E"/>
    <w:rsid w:val="00A86AAD"/>
    <w:rsid w:val="00AC102F"/>
    <w:rsid w:val="00AC4E69"/>
    <w:rsid w:val="00AD082B"/>
    <w:rsid w:val="00B36FAF"/>
    <w:rsid w:val="00B437D5"/>
    <w:rsid w:val="00B63CEF"/>
    <w:rsid w:val="00B65155"/>
    <w:rsid w:val="00B725C8"/>
    <w:rsid w:val="00B73BC4"/>
    <w:rsid w:val="00B82DA1"/>
    <w:rsid w:val="00B87F96"/>
    <w:rsid w:val="00BB342C"/>
    <w:rsid w:val="00BB4243"/>
    <w:rsid w:val="00BD78DF"/>
    <w:rsid w:val="00BE1BFC"/>
    <w:rsid w:val="00BE2A1A"/>
    <w:rsid w:val="00BF5EF5"/>
    <w:rsid w:val="00C03579"/>
    <w:rsid w:val="00C30ADC"/>
    <w:rsid w:val="00C354E3"/>
    <w:rsid w:val="00C465AA"/>
    <w:rsid w:val="00C6573E"/>
    <w:rsid w:val="00C81208"/>
    <w:rsid w:val="00C96ABD"/>
    <w:rsid w:val="00CA3F7C"/>
    <w:rsid w:val="00CB3501"/>
    <w:rsid w:val="00CC099B"/>
    <w:rsid w:val="00CD7A28"/>
    <w:rsid w:val="00CE192E"/>
    <w:rsid w:val="00D1366D"/>
    <w:rsid w:val="00D46DE3"/>
    <w:rsid w:val="00D54DE1"/>
    <w:rsid w:val="00D60B78"/>
    <w:rsid w:val="00D710E6"/>
    <w:rsid w:val="00DA3F5E"/>
    <w:rsid w:val="00DA4104"/>
    <w:rsid w:val="00DB78AA"/>
    <w:rsid w:val="00DD26D4"/>
    <w:rsid w:val="00E2572C"/>
    <w:rsid w:val="00E64DDE"/>
    <w:rsid w:val="00E66680"/>
    <w:rsid w:val="00E7095A"/>
    <w:rsid w:val="00E933A7"/>
    <w:rsid w:val="00EA46D0"/>
    <w:rsid w:val="00ED41D3"/>
    <w:rsid w:val="00EE22BE"/>
    <w:rsid w:val="00EF7613"/>
    <w:rsid w:val="00F037A6"/>
    <w:rsid w:val="00F03CEF"/>
    <w:rsid w:val="00F3699D"/>
    <w:rsid w:val="00F419EE"/>
    <w:rsid w:val="00F65F1D"/>
    <w:rsid w:val="00F739CD"/>
    <w:rsid w:val="00F833F4"/>
    <w:rsid w:val="00FA018F"/>
    <w:rsid w:val="00FB4109"/>
    <w:rsid w:val="00FB69F9"/>
    <w:rsid w:val="00FD151C"/>
    <w:rsid w:val="00FD573E"/>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2022-09-09T13:10:00Z</cp:lastPrinted>
  <dcterms:created xsi:type="dcterms:W3CDTF">2022-09-16T08:59:00Z</dcterms:created>
  <dcterms:modified xsi:type="dcterms:W3CDTF">2022-09-16T08:59:00Z</dcterms:modified>
</cp:coreProperties>
</file>