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F2" w:rsidRDefault="00FB2206" w:rsidP="00E02CDE">
      <w:pPr>
        <w:spacing w:after="0" w:line="240" w:lineRule="auto"/>
        <w:jc w:val="both"/>
        <w:rPr>
          <w:rFonts w:ascii="Times New Roman" w:hAnsi="Times New Roman" w:cs="Times New Roman"/>
          <w:sz w:val="24"/>
        </w:rPr>
      </w:pPr>
      <w:r>
        <w:rPr>
          <w:rFonts w:ascii="Times New Roman" w:hAnsi="Times New Roman" w:cs="Times New Roman"/>
          <w:sz w:val="24"/>
        </w:rPr>
        <w:t>PRISCA MBENGO</w:t>
      </w:r>
    </w:p>
    <w:p w:rsidR="00E02CDE" w:rsidRDefault="00E02CDE" w:rsidP="00E02CDE">
      <w:pPr>
        <w:spacing w:after="0" w:line="240" w:lineRule="auto"/>
        <w:jc w:val="both"/>
        <w:rPr>
          <w:rFonts w:ascii="Times New Roman" w:hAnsi="Times New Roman" w:cs="Times New Roman"/>
          <w:sz w:val="24"/>
        </w:rPr>
      </w:pPr>
      <w:proofErr w:type="gramStart"/>
      <w:r>
        <w:rPr>
          <w:rFonts w:ascii="Times New Roman" w:hAnsi="Times New Roman" w:cs="Times New Roman"/>
          <w:sz w:val="24"/>
        </w:rPr>
        <w:t>versus</w:t>
      </w:r>
      <w:proofErr w:type="gramEnd"/>
    </w:p>
    <w:p w:rsidR="00E02CDE" w:rsidRDefault="00FB2206" w:rsidP="00E02CDE">
      <w:pPr>
        <w:spacing w:after="0" w:line="240" w:lineRule="auto"/>
        <w:jc w:val="both"/>
        <w:rPr>
          <w:rFonts w:ascii="Times New Roman" w:hAnsi="Times New Roman" w:cs="Times New Roman"/>
          <w:sz w:val="24"/>
        </w:rPr>
      </w:pPr>
      <w:r>
        <w:rPr>
          <w:rFonts w:ascii="Times New Roman" w:hAnsi="Times New Roman" w:cs="Times New Roman"/>
          <w:sz w:val="24"/>
        </w:rPr>
        <w:t>ESTATE LATE ALICE NDORO</w:t>
      </w:r>
    </w:p>
    <w:p w:rsidR="00FB2206" w:rsidRDefault="00FB2206" w:rsidP="00E02CDE">
      <w:pPr>
        <w:spacing w:after="0" w:line="240" w:lineRule="auto"/>
        <w:jc w:val="both"/>
        <w:rPr>
          <w:rFonts w:ascii="Times New Roman" w:hAnsi="Times New Roman" w:cs="Times New Roman"/>
          <w:sz w:val="24"/>
        </w:rPr>
      </w:pPr>
      <w:proofErr w:type="gramStart"/>
      <w:r>
        <w:rPr>
          <w:rFonts w:ascii="Times New Roman" w:hAnsi="Times New Roman" w:cs="Times New Roman"/>
          <w:sz w:val="24"/>
        </w:rPr>
        <w:t>and</w:t>
      </w:r>
      <w:proofErr w:type="gramEnd"/>
    </w:p>
    <w:p w:rsidR="00FB2206" w:rsidRDefault="00FB2206"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JOSEPHINE CHINAKA </w:t>
      </w:r>
    </w:p>
    <w:p w:rsidR="00FB2206" w:rsidRDefault="00FB2206" w:rsidP="00E02CDE">
      <w:pPr>
        <w:spacing w:after="0" w:line="240" w:lineRule="auto"/>
        <w:jc w:val="both"/>
        <w:rPr>
          <w:rFonts w:ascii="Times New Roman" w:hAnsi="Times New Roman" w:cs="Times New Roman"/>
          <w:sz w:val="24"/>
        </w:rPr>
      </w:pPr>
      <w:proofErr w:type="gramStart"/>
      <w:r>
        <w:rPr>
          <w:rFonts w:ascii="Times New Roman" w:hAnsi="Times New Roman" w:cs="Times New Roman"/>
          <w:sz w:val="24"/>
        </w:rPr>
        <w:t>and</w:t>
      </w:r>
      <w:proofErr w:type="gramEnd"/>
    </w:p>
    <w:p w:rsidR="00FB2206" w:rsidRDefault="00FB2206" w:rsidP="00E02CDE">
      <w:pPr>
        <w:spacing w:after="0" w:line="240" w:lineRule="auto"/>
        <w:jc w:val="both"/>
        <w:rPr>
          <w:rFonts w:ascii="Times New Roman" w:hAnsi="Times New Roman" w:cs="Times New Roman"/>
          <w:sz w:val="24"/>
        </w:rPr>
      </w:pPr>
      <w:r>
        <w:rPr>
          <w:rFonts w:ascii="Times New Roman" w:hAnsi="Times New Roman" w:cs="Times New Roman"/>
          <w:sz w:val="24"/>
        </w:rPr>
        <w:t>CHARLES NDORO</w:t>
      </w:r>
    </w:p>
    <w:p w:rsidR="00E02CDE" w:rsidRDefault="00E02CDE"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HIGH COURT OF ZIMBABWE</w:t>
      </w:r>
    </w:p>
    <w:p w:rsidR="00E02CDE" w:rsidRDefault="00284022" w:rsidP="00E02CDE">
      <w:pPr>
        <w:spacing w:after="0" w:line="240" w:lineRule="auto"/>
        <w:jc w:val="both"/>
        <w:rPr>
          <w:rFonts w:ascii="Times New Roman" w:hAnsi="Times New Roman" w:cs="Times New Roman"/>
          <w:sz w:val="24"/>
        </w:rPr>
      </w:pPr>
      <w:r>
        <w:rPr>
          <w:rFonts w:ascii="Times New Roman" w:hAnsi="Times New Roman" w:cs="Times New Roman"/>
          <w:sz w:val="24"/>
        </w:rPr>
        <w:t>MUZENDA J</w:t>
      </w:r>
    </w:p>
    <w:p w:rsidR="00E02CDE" w:rsidRDefault="00B9207D"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MUTARE, 3 </w:t>
      </w:r>
      <w:r w:rsidR="005371CA">
        <w:rPr>
          <w:rFonts w:ascii="Times New Roman" w:hAnsi="Times New Roman" w:cs="Times New Roman"/>
          <w:sz w:val="24"/>
        </w:rPr>
        <w:t xml:space="preserve">March </w:t>
      </w:r>
      <w:r w:rsidR="00417CF1">
        <w:rPr>
          <w:rFonts w:ascii="Times New Roman" w:hAnsi="Times New Roman" w:cs="Times New Roman"/>
          <w:sz w:val="24"/>
        </w:rPr>
        <w:t>2022</w:t>
      </w:r>
      <w:r w:rsidR="00E842A7">
        <w:rPr>
          <w:rFonts w:ascii="Times New Roman" w:hAnsi="Times New Roman" w:cs="Times New Roman"/>
          <w:sz w:val="24"/>
        </w:rPr>
        <w:t xml:space="preserve"> </w:t>
      </w:r>
    </w:p>
    <w:p w:rsidR="005E1AEF" w:rsidRDefault="005E1AEF" w:rsidP="00E02CDE">
      <w:pPr>
        <w:spacing w:after="0" w:line="240" w:lineRule="auto"/>
        <w:jc w:val="both"/>
        <w:rPr>
          <w:rFonts w:ascii="Times New Roman" w:hAnsi="Times New Roman" w:cs="Times New Roman"/>
          <w:sz w:val="24"/>
        </w:rPr>
      </w:pPr>
    </w:p>
    <w:p w:rsidR="005E1AEF" w:rsidRDefault="005E1AEF" w:rsidP="00E02CDE">
      <w:pPr>
        <w:spacing w:after="0" w:line="240" w:lineRule="auto"/>
        <w:jc w:val="both"/>
        <w:rPr>
          <w:rFonts w:ascii="Times New Roman" w:hAnsi="Times New Roman" w:cs="Times New Roman"/>
          <w:sz w:val="24"/>
        </w:rPr>
      </w:pPr>
    </w:p>
    <w:p w:rsidR="005E1AEF" w:rsidRDefault="00E45688" w:rsidP="00794753">
      <w:pPr>
        <w:tabs>
          <w:tab w:val="right" w:pos="9026"/>
        </w:tabs>
        <w:spacing w:after="0" w:line="240" w:lineRule="auto"/>
        <w:jc w:val="both"/>
        <w:rPr>
          <w:rFonts w:ascii="Times New Roman" w:hAnsi="Times New Roman" w:cs="Times New Roman"/>
          <w:b/>
          <w:sz w:val="24"/>
        </w:rPr>
      </w:pPr>
      <w:r>
        <w:rPr>
          <w:rFonts w:ascii="Times New Roman" w:hAnsi="Times New Roman" w:cs="Times New Roman"/>
          <w:b/>
          <w:sz w:val="24"/>
        </w:rPr>
        <w:t xml:space="preserve">OPPOSED APPLICATION </w:t>
      </w:r>
      <w:r w:rsidR="00417CF1">
        <w:rPr>
          <w:rFonts w:ascii="Times New Roman" w:hAnsi="Times New Roman" w:cs="Times New Roman"/>
          <w:b/>
          <w:sz w:val="24"/>
        </w:rPr>
        <w:t xml:space="preserve"> </w:t>
      </w:r>
      <w:r w:rsidR="00794753">
        <w:rPr>
          <w:rFonts w:ascii="Times New Roman" w:hAnsi="Times New Roman" w:cs="Times New Roman"/>
          <w:b/>
          <w:sz w:val="24"/>
        </w:rPr>
        <w:tab/>
      </w:r>
      <w:bookmarkStart w:id="0" w:name="_GoBack"/>
      <w:bookmarkEnd w:id="0"/>
    </w:p>
    <w:p w:rsidR="000E12F5" w:rsidRDefault="000E12F5" w:rsidP="00E02CDE">
      <w:pPr>
        <w:spacing w:after="0" w:line="240" w:lineRule="auto"/>
        <w:jc w:val="both"/>
        <w:rPr>
          <w:rFonts w:ascii="Times New Roman" w:hAnsi="Times New Roman" w:cs="Times New Roman"/>
          <w:b/>
          <w:sz w:val="24"/>
        </w:rPr>
      </w:pPr>
    </w:p>
    <w:p w:rsidR="000E12F5" w:rsidRDefault="000E12F5" w:rsidP="00E02CDE">
      <w:pPr>
        <w:spacing w:after="0" w:line="240" w:lineRule="auto"/>
        <w:jc w:val="both"/>
        <w:rPr>
          <w:rFonts w:ascii="Times New Roman" w:hAnsi="Times New Roman" w:cs="Times New Roman"/>
          <w:b/>
          <w:sz w:val="24"/>
        </w:rPr>
      </w:pPr>
    </w:p>
    <w:p w:rsidR="005E1AEF" w:rsidRPr="007832FB" w:rsidRDefault="007832FB" w:rsidP="00E02CDE">
      <w:pPr>
        <w:spacing w:after="0" w:line="240" w:lineRule="auto"/>
        <w:jc w:val="both"/>
        <w:rPr>
          <w:rFonts w:ascii="Times New Roman" w:hAnsi="Times New Roman" w:cs="Times New Roman"/>
          <w:sz w:val="24"/>
        </w:rPr>
      </w:pPr>
      <w:r>
        <w:rPr>
          <w:rFonts w:ascii="Times New Roman" w:hAnsi="Times New Roman" w:cs="Times New Roman"/>
          <w:i/>
          <w:sz w:val="24"/>
        </w:rPr>
        <w:t xml:space="preserve">M </w:t>
      </w:r>
      <w:proofErr w:type="spellStart"/>
      <w:r>
        <w:rPr>
          <w:rFonts w:ascii="Times New Roman" w:hAnsi="Times New Roman" w:cs="Times New Roman"/>
          <w:i/>
          <w:sz w:val="24"/>
        </w:rPr>
        <w:t>Ma</w:t>
      </w:r>
      <w:r w:rsidR="000754A5">
        <w:rPr>
          <w:rFonts w:ascii="Times New Roman" w:hAnsi="Times New Roman" w:cs="Times New Roman"/>
          <w:i/>
          <w:sz w:val="24"/>
        </w:rPr>
        <w:t>reanadzo</w:t>
      </w:r>
      <w:proofErr w:type="spellEnd"/>
      <w:r>
        <w:rPr>
          <w:rFonts w:ascii="Times New Roman" w:hAnsi="Times New Roman" w:cs="Times New Roman"/>
          <w:sz w:val="24"/>
        </w:rPr>
        <w:t xml:space="preserve">, for the state </w:t>
      </w:r>
    </w:p>
    <w:p w:rsidR="009E302D" w:rsidRDefault="007832FB" w:rsidP="00E02CDE">
      <w:pPr>
        <w:spacing w:after="0" w:line="240" w:lineRule="auto"/>
        <w:jc w:val="both"/>
        <w:rPr>
          <w:rFonts w:ascii="Times New Roman" w:hAnsi="Times New Roman" w:cs="Times New Roman"/>
          <w:sz w:val="24"/>
        </w:rPr>
      </w:pPr>
      <w:r>
        <w:rPr>
          <w:rFonts w:ascii="Times New Roman" w:hAnsi="Times New Roman" w:cs="Times New Roman"/>
          <w:sz w:val="24"/>
        </w:rPr>
        <w:t>M</w:t>
      </w:r>
      <w:r w:rsidR="00A52108">
        <w:rPr>
          <w:rFonts w:ascii="Times New Roman" w:hAnsi="Times New Roman" w:cs="Times New Roman"/>
          <w:sz w:val="24"/>
        </w:rPr>
        <w:t>s</w:t>
      </w:r>
      <w:r>
        <w:rPr>
          <w:rFonts w:ascii="Times New Roman" w:hAnsi="Times New Roman" w:cs="Times New Roman"/>
          <w:sz w:val="24"/>
        </w:rPr>
        <w:t xml:space="preserve"> </w:t>
      </w:r>
      <w:r w:rsidR="00A52108" w:rsidRPr="00A52108">
        <w:rPr>
          <w:rFonts w:ascii="Times New Roman" w:hAnsi="Times New Roman" w:cs="Times New Roman"/>
          <w:i/>
          <w:sz w:val="24"/>
        </w:rPr>
        <w:t xml:space="preserve">E </w:t>
      </w:r>
      <w:proofErr w:type="spellStart"/>
      <w:r w:rsidR="00A52108" w:rsidRPr="00A52108">
        <w:rPr>
          <w:rFonts w:ascii="Times New Roman" w:hAnsi="Times New Roman" w:cs="Times New Roman"/>
          <w:i/>
          <w:sz w:val="24"/>
        </w:rPr>
        <w:t>Ngorima</w:t>
      </w:r>
      <w:proofErr w:type="spellEnd"/>
      <w:r w:rsidR="00A52108">
        <w:rPr>
          <w:rFonts w:ascii="Times New Roman" w:hAnsi="Times New Roman" w:cs="Times New Roman"/>
          <w:sz w:val="24"/>
        </w:rPr>
        <w:t xml:space="preserve">, </w:t>
      </w:r>
      <w:r w:rsidRPr="00A52108">
        <w:rPr>
          <w:rFonts w:ascii="Times New Roman" w:hAnsi="Times New Roman" w:cs="Times New Roman"/>
          <w:sz w:val="24"/>
        </w:rPr>
        <w:t>for</w:t>
      </w:r>
      <w:r>
        <w:rPr>
          <w:rFonts w:ascii="Times New Roman" w:hAnsi="Times New Roman" w:cs="Times New Roman"/>
          <w:sz w:val="24"/>
        </w:rPr>
        <w:t xml:space="preserve"> the accused</w:t>
      </w:r>
      <w:r w:rsidR="009E302D">
        <w:rPr>
          <w:rFonts w:ascii="Times New Roman" w:hAnsi="Times New Roman" w:cs="Times New Roman"/>
          <w:sz w:val="24"/>
        </w:rPr>
        <w:t xml:space="preserve"> </w:t>
      </w:r>
    </w:p>
    <w:p w:rsidR="009E302D" w:rsidRDefault="009E302D" w:rsidP="00E02CDE">
      <w:pPr>
        <w:spacing w:after="0" w:line="240" w:lineRule="auto"/>
        <w:jc w:val="both"/>
        <w:rPr>
          <w:rFonts w:ascii="Times New Roman" w:hAnsi="Times New Roman" w:cs="Times New Roman"/>
          <w:sz w:val="24"/>
        </w:rPr>
      </w:pPr>
    </w:p>
    <w:p w:rsidR="009E302D" w:rsidRDefault="009E302D" w:rsidP="00E02CDE">
      <w:pPr>
        <w:spacing w:after="0" w:line="240" w:lineRule="auto"/>
        <w:jc w:val="both"/>
        <w:rPr>
          <w:rFonts w:ascii="Times New Roman" w:hAnsi="Times New Roman" w:cs="Times New Roman"/>
          <w:sz w:val="24"/>
        </w:rPr>
      </w:pPr>
    </w:p>
    <w:p w:rsidR="00D4375D" w:rsidRDefault="009E302D" w:rsidP="00DA173B">
      <w:pPr>
        <w:spacing w:after="0" w:line="360" w:lineRule="auto"/>
        <w:jc w:val="both"/>
        <w:rPr>
          <w:rFonts w:ascii="Times New Roman" w:hAnsi="Times New Roman" w:cs="Times New Roman"/>
          <w:sz w:val="24"/>
        </w:rPr>
      </w:pPr>
      <w:r>
        <w:rPr>
          <w:rFonts w:ascii="Times New Roman" w:hAnsi="Times New Roman" w:cs="Times New Roman"/>
          <w:sz w:val="24"/>
        </w:rPr>
        <w:tab/>
      </w:r>
      <w:r w:rsidR="006A2BEE">
        <w:rPr>
          <w:rFonts w:ascii="Times New Roman" w:hAnsi="Times New Roman" w:cs="Times New Roman"/>
          <w:sz w:val="24"/>
        </w:rPr>
        <w:t>MUZENDA J</w:t>
      </w:r>
      <w:r w:rsidR="00DA173B">
        <w:rPr>
          <w:rFonts w:ascii="Times New Roman" w:hAnsi="Times New Roman" w:cs="Times New Roman"/>
          <w:sz w:val="24"/>
        </w:rPr>
        <w:t xml:space="preserve">: This is a court application </w:t>
      </w:r>
      <w:r w:rsidR="00C857E6">
        <w:rPr>
          <w:rFonts w:ascii="Times New Roman" w:hAnsi="Times New Roman" w:cs="Times New Roman"/>
          <w:sz w:val="24"/>
        </w:rPr>
        <w:t xml:space="preserve">for condonation of late filing of appeal where applicant seeks the following: </w:t>
      </w:r>
    </w:p>
    <w:p w:rsidR="00D4375D" w:rsidRPr="00D13559" w:rsidRDefault="00D4375D" w:rsidP="00D4375D">
      <w:pPr>
        <w:spacing w:after="0" w:line="240" w:lineRule="auto"/>
        <w:jc w:val="both"/>
        <w:rPr>
          <w:rFonts w:ascii="Times New Roman" w:hAnsi="Times New Roman" w:cs="Times New Roman"/>
          <w:b/>
          <w:i/>
        </w:rPr>
      </w:pPr>
      <w:r>
        <w:rPr>
          <w:rFonts w:ascii="Times New Roman" w:hAnsi="Times New Roman" w:cs="Times New Roman"/>
          <w:sz w:val="24"/>
        </w:rPr>
        <w:tab/>
      </w:r>
      <w:r w:rsidRPr="00D13559">
        <w:rPr>
          <w:rFonts w:ascii="Times New Roman" w:hAnsi="Times New Roman" w:cs="Times New Roman"/>
          <w:b/>
          <w:i/>
        </w:rPr>
        <w:t xml:space="preserve">“IT IS ORDERED THAT: </w:t>
      </w:r>
    </w:p>
    <w:p w:rsidR="00D5579F" w:rsidRPr="00D13559" w:rsidRDefault="00D4375D" w:rsidP="00D4375D">
      <w:pPr>
        <w:pStyle w:val="ListParagraph"/>
        <w:numPr>
          <w:ilvl w:val="0"/>
          <w:numId w:val="5"/>
        </w:numPr>
        <w:tabs>
          <w:tab w:val="left" w:pos="1276"/>
        </w:tabs>
        <w:spacing w:after="0" w:line="240" w:lineRule="auto"/>
        <w:ind w:left="709" w:firstLine="0"/>
        <w:jc w:val="both"/>
        <w:rPr>
          <w:rFonts w:ascii="Times New Roman" w:hAnsi="Times New Roman" w:cs="Times New Roman"/>
          <w:b/>
          <w:i/>
        </w:rPr>
      </w:pPr>
      <w:r w:rsidRPr="00D13559">
        <w:rPr>
          <w:rFonts w:ascii="Times New Roman" w:hAnsi="Times New Roman" w:cs="Times New Roman"/>
          <w:b/>
          <w:i/>
        </w:rPr>
        <w:t xml:space="preserve">The application for condonation of late filing of appeal </w:t>
      </w:r>
      <w:r w:rsidR="00DF1686" w:rsidRPr="00D13559">
        <w:rPr>
          <w:rFonts w:ascii="Times New Roman" w:hAnsi="Times New Roman" w:cs="Times New Roman"/>
          <w:b/>
          <w:i/>
        </w:rPr>
        <w:t xml:space="preserve">be and is hereby granted. </w:t>
      </w:r>
    </w:p>
    <w:p w:rsidR="00DF1686" w:rsidRPr="00D13559" w:rsidRDefault="00DF1686" w:rsidP="00DF1686">
      <w:pPr>
        <w:pStyle w:val="ListParagraph"/>
        <w:numPr>
          <w:ilvl w:val="0"/>
          <w:numId w:val="5"/>
        </w:numPr>
        <w:tabs>
          <w:tab w:val="left" w:pos="1276"/>
        </w:tabs>
        <w:spacing w:after="0" w:line="240" w:lineRule="auto"/>
        <w:ind w:left="1134" w:hanging="425"/>
        <w:jc w:val="both"/>
        <w:rPr>
          <w:rFonts w:ascii="Times New Roman" w:hAnsi="Times New Roman" w:cs="Times New Roman"/>
          <w:b/>
          <w:i/>
        </w:rPr>
      </w:pPr>
      <w:r w:rsidRPr="00D13559">
        <w:rPr>
          <w:rFonts w:ascii="Times New Roman" w:hAnsi="Times New Roman" w:cs="Times New Roman"/>
          <w:b/>
          <w:i/>
        </w:rPr>
        <w:t>The applicant be and is hereby ordered to file her appeal within ten (10) days from the date of this order.</w:t>
      </w:r>
    </w:p>
    <w:p w:rsidR="00C6445A" w:rsidRPr="00D61FD9" w:rsidRDefault="00C6445A" w:rsidP="00C6445A">
      <w:pPr>
        <w:pStyle w:val="ListParagraph"/>
        <w:numPr>
          <w:ilvl w:val="0"/>
          <w:numId w:val="5"/>
        </w:numPr>
        <w:tabs>
          <w:tab w:val="left" w:pos="1276"/>
        </w:tabs>
        <w:spacing w:after="0" w:line="240" w:lineRule="auto"/>
        <w:ind w:left="1134" w:hanging="425"/>
        <w:jc w:val="both"/>
        <w:rPr>
          <w:rFonts w:ascii="Times New Roman" w:hAnsi="Times New Roman" w:cs="Times New Roman"/>
        </w:rPr>
      </w:pPr>
      <w:r w:rsidRPr="00D13559">
        <w:rPr>
          <w:rFonts w:ascii="Times New Roman" w:hAnsi="Times New Roman" w:cs="Times New Roman"/>
          <w:b/>
          <w:i/>
        </w:rPr>
        <w:t>Each party to bear its own costs.”</w:t>
      </w:r>
      <w:r w:rsidRPr="00D61FD9">
        <w:rPr>
          <w:rFonts w:ascii="Times New Roman" w:hAnsi="Times New Roman" w:cs="Times New Roman"/>
        </w:rPr>
        <w:t xml:space="preserve"> </w:t>
      </w:r>
    </w:p>
    <w:p w:rsidR="00C6445A" w:rsidRDefault="00C6445A" w:rsidP="00C6445A">
      <w:pPr>
        <w:tabs>
          <w:tab w:val="left" w:pos="1276"/>
        </w:tabs>
        <w:spacing w:after="0" w:line="240" w:lineRule="auto"/>
        <w:jc w:val="both"/>
        <w:rPr>
          <w:rFonts w:ascii="Times New Roman" w:hAnsi="Times New Roman" w:cs="Times New Roman"/>
          <w:sz w:val="24"/>
        </w:rPr>
      </w:pPr>
    </w:p>
    <w:p w:rsidR="00C6445A" w:rsidRDefault="00C6445A" w:rsidP="00D61FD9">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r>
      <w:r w:rsidR="00D61FD9">
        <w:rPr>
          <w:rFonts w:ascii="Times New Roman" w:hAnsi="Times New Roman" w:cs="Times New Roman"/>
          <w:sz w:val="24"/>
        </w:rPr>
        <w:t xml:space="preserve">The application is opposed by the respondents. </w:t>
      </w:r>
    </w:p>
    <w:p w:rsidR="00D61FD9" w:rsidRDefault="00D61FD9" w:rsidP="00D61FD9">
      <w:pPr>
        <w:tabs>
          <w:tab w:val="left" w:pos="709"/>
        </w:tabs>
        <w:spacing w:after="0" w:line="360" w:lineRule="auto"/>
        <w:jc w:val="both"/>
        <w:rPr>
          <w:rFonts w:ascii="Times New Roman" w:hAnsi="Times New Roman" w:cs="Times New Roman"/>
          <w:sz w:val="24"/>
        </w:rPr>
      </w:pPr>
    </w:p>
    <w:p w:rsidR="00D61FD9" w:rsidRDefault="00D61FD9" w:rsidP="00D61FD9">
      <w:pPr>
        <w:tabs>
          <w:tab w:val="left" w:pos="709"/>
        </w:tabs>
        <w:spacing w:after="0" w:line="360" w:lineRule="auto"/>
        <w:jc w:val="both"/>
        <w:rPr>
          <w:rFonts w:ascii="Times New Roman" w:hAnsi="Times New Roman" w:cs="Times New Roman"/>
          <w:sz w:val="24"/>
          <w:u w:val="single"/>
        </w:rPr>
      </w:pPr>
      <w:r w:rsidRPr="00D61FD9">
        <w:rPr>
          <w:rFonts w:ascii="Times New Roman" w:hAnsi="Times New Roman" w:cs="Times New Roman"/>
          <w:sz w:val="24"/>
          <w:u w:val="single"/>
        </w:rPr>
        <w:t>Background facts</w:t>
      </w:r>
    </w:p>
    <w:p w:rsidR="00D61FD9" w:rsidRDefault="00D61FD9" w:rsidP="00D61FD9">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Applicant was customarily married to Elia </w:t>
      </w:r>
      <w:proofErr w:type="spellStart"/>
      <w:r>
        <w:rPr>
          <w:rFonts w:ascii="Times New Roman" w:hAnsi="Times New Roman" w:cs="Times New Roman"/>
          <w:sz w:val="24"/>
        </w:rPr>
        <w:t>Svosverai</w:t>
      </w:r>
      <w:proofErr w:type="spellEnd"/>
      <w:r>
        <w:rPr>
          <w:rFonts w:ascii="Times New Roman" w:hAnsi="Times New Roman" w:cs="Times New Roman"/>
          <w:sz w:val="24"/>
        </w:rPr>
        <w:t xml:space="preserve"> </w:t>
      </w:r>
      <w:proofErr w:type="spellStart"/>
      <w:r>
        <w:rPr>
          <w:rFonts w:ascii="Times New Roman" w:hAnsi="Times New Roman" w:cs="Times New Roman"/>
          <w:sz w:val="24"/>
        </w:rPr>
        <w:t>Ndoro</w:t>
      </w:r>
      <w:proofErr w:type="spellEnd"/>
      <w:r>
        <w:rPr>
          <w:rFonts w:ascii="Times New Roman" w:hAnsi="Times New Roman" w:cs="Times New Roman"/>
          <w:sz w:val="24"/>
        </w:rPr>
        <w:t xml:space="preserve"> who died intestate in 2010, she was the third wife. Alice </w:t>
      </w:r>
      <w:proofErr w:type="spellStart"/>
      <w:r>
        <w:rPr>
          <w:rFonts w:ascii="Times New Roman" w:hAnsi="Times New Roman" w:cs="Times New Roman"/>
          <w:sz w:val="24"/>
        </w:rPr>
        <w:t>Ndoro</w:t>
      </w:r>
      <w:proofErr w:type="spellEnd"/>
      <w:r>
        <w:rPr>
          <w:rFonts w:ascii="Times New Roman" w:hAnsi="Times New Roman" w:cs="Times New Roman"/>
          <w:sz w:val="24"/>
        </w:rPr>
        <w:t xml:space="preserve"> </w:t>
      </w:r>
      <w:r w:rsidR="005D439C">
        <w:rPr>
          <w:rFonts w:ascii="Times New Roman" w:hAnsi="Times New Roman" w:cs="Times New Roman"/>
          <w:sz w:val="24"/>
        </w:rPr>
        <w:t xml:space="preserve">was also married to Elia </w:t>
      </w:r>
      <w:proofErr w:type="spellStart"/>
      <w:r w:rsidR="005D439C">
        <w:rPr>
          <w:rFonts w:ascii="Times New Roman" w:hAnsi="Times New Roman" w:cs="Times New Roman"/>
          <w:sz w:val="24"/>
        </w:rPr>
        <w:t>Ndoro</w:t>
      </w:r>
      <w:proofErr w:type="spellEnd"/>
      <w:r w:rsidR="005D439C">
        <w:rPr>
          <w:rFonts w:ascii="Times New Roman" w:hAnsi="Times New Roman" w:cs="Times New Roman"/>
          <w:sz w:val="24"/>
        </w:rPr>
        <w:t xml:space="preserve"> and she was the second wife. Alice died in 2008 without leaving a will. When Alice </w:t>
      </w:r>
      <w:proofErr w:type="spellStart"/>
      <w:r w:rsidR="005D439C">
        <w:rPr>
          <w:rFonts w:ascii="Times New Roman" w:hAnsi="Times New Roman" w:cs="Times New Roman"/>
          <w:sz w:val="24"/>
        </w:rPr>
        <w:t>Ndoro</w:t>
      </w:r>
      <w:proofErr w:type="spellEnd"/>
      <w:r w:rsidR="005D439C">
        <w:rPr>
          <w:rFonts w:ascii="Times New Roman" w:hAnsi="Times New Roman" w:cs="Times New Roman"/>
          <w:sz w:val="24"/>
        </w:rPr>
        <w:t xml:space="preserve"> died Josephine </w:t>
      </w:r>
      <w:proofErr w:type="spellStart"/>
      <w:r w:rsidR="005D439C">
        <w:rPr>
          <w:rFonts w:ascii="Times New Roman" w:hAnsi="Times New Roman" w:cs="Times New Roman"/>
          <w:sz w:val="24"/>
        </w:rPr>
        <w:t>Chinaka</w:t>
      </w:r>
      <w:proofErr w:type="spellEnd"/>
      <w:r w:rsidR="005D439C">
        <w:rPr>
          <w:rFonts w:ascii="Times New Roman" w:hAnsi="Times New Roman" w:cs="Times New Roman"/>
          <w:sz w:val="24"/>
        </w:rPr>
        <w:t xml:space="preserve"> (“second respondent”)</w:t>
      </w:r>
      <w:r w:rsidR="00C9314E">
        <w:rPr>
          <w:rFonts w:ascii="Times New Roman" w:hAnsi="Times New Roman" w:cs="Times New Roman"/>
          <w:sz w:val="24"/>
        </w:rPr>
        <w:t xml:space="preserve"> was appointed executrix dative over Alice </w:t>
      </w:r>
      <w:proofErr w:type="spellStart"/>
      <w:r w:rsidR="00C9314E">
        <w:rPr>
          <w:rFonts w:ascii="Times New Roman" w:hAnsi="Times New Roman" w:cs="Times New Roman"/>
          <w:sz w:val="24"/>
        </w:rPr>
        <w:t>Ndoro’s</w:t>
      </w:r>
      <w:proofErr w:type="spellEnd"/>
      <w:r w:rsidR="00C9314E">
        <w:rPr>
          <w:rFonts w:ascii="Times New Roman" w:hAnsi="Times New Roman" w:cs="Times New Roman"/>
          <w:sz w:val="24"/>
        </w:rPr>
        <w:t xml:space="preserve"> estate and Joseph </w:t>
      </w:r>
      <w:proofErr w:type="spellStart"/>
      <w:r w:rsidR="00C9314E">
        <w:rPr>
          <w:rFonts w:ascii="Times New Roman" w:hAnsi="Times New Roman" w:cs="Times New Roman"/>
          <w:sz w:val="24"/>
        </w:rPr>
        <w:t>Chinake</w:t>
      </w:r>
      <w:proofErr w:type="spellEnd"/>
      <w:r w:rsidR="00C9314E">
        <w:rPr>
          <w:rFonts w:ascii="Times New Roman" w:hAnsi="Times New Roman" w:cs="Times New Roman"/>
          <w:sz w:val="24"/>
        </w:rPr>
        <w:t xml:space="preserve"> (“third respondent”) is cited as beneficiary. In compiling the </w:t>
      </w:r>
      <w:r w:rsidR="00403C46">
        <w:rPr>
          <w:rFonts w:ascii="Times New Roman" w:hAnsi="Times New Roman" w:cs="Times New Roman"/>
          <w:sz w:val="24"/>
        </w:rPr>
        <w:t xml:space="preserve">inventory of Alice </w:t>
      </w:r>
      <w:proofErr w:type="spellStart"/>
      <w:r w:rsidR="00403C46">
        <w:rPr>
          <w:rFonts w:ascii="Times New Roman" w:hAnsi="Times New Roman" w:cs="Times New Roman"/>
          <w:sz w:val="24"/>
        </w:rPr>
        <w:t>Ndoro’s</w:t>
      </w:r>
      <w:proofErr w:type="spellEnd"/>
      <w:r w:rsidR="00403C46">
        <w:rPr>
          <w:rFonts w:ascii="Times New Roman" w:hAnsi="Times New Roman" w:cs="Times New Roman"/>
          <w:sz w:val="24"/>
        </w:rPr>
        <w:t xml:space="preserve"> estate, a shop situated at </w:t>
      </w:r>
      <w:proofErr w:type="spellStart"/>
      <w:r w:rsidR="00403C46">
        <w:rPr>
          <w:rFonts w:ascii="Times New Roman" w:hAnsi="Times New Roman" w:cs="Times New Roman"/>
          <w:sz w:val="24"/>
        </w:rPr>
        <w:t>Chinyauhwera</w:t>
      </w:r>
      <w:proofErr w:type="spellEnd"/>
      <w:r w:rsidR="00403C46">
        <w:rPr>
          <w:rFonts w:ascii="Times New Roman" w:hAnsi="Times New Roman" w:cs="Times New Roman"/>
          <w:sz w:val="24"/>
        </w:rPr>
        <w:t xml:space="preserve"> was included as part of the estate of the late Alice </w:t>
      </w:r>
      <w:proofErr w:type="spellStart"/>
      <w:r w:rsidR="00403C46">
        <w:rPr>
          <w:rFonts w:ascii="Times New Roman" w:hAnsi="Times New Roman" w:cs="Times New Roman"/>
          <w:sz w:val="24"/>
        </w:rPr>
        <w:t>Ndoro</w:t>
      </w:r>
      <w:proofErr w:type="spellEnd"/>
      <w:r w:rsidR="00403C46">
        <w:rPr>
          <w:rFonts w:ascii="Times New Roman" w:hAnsi="Times New Roman" w:cs="Times New Roman"/>
          <w:sz w:val="24"/>
        </w:rPr>
        <w:t>.</w:t>
      </w:r>
    </w:p>
    <w:p w:rsidR="00420260" w:rsidRDefault="00420260" w:rsidP="00D61FD9">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Applicant was not happy with that inclusion. She made an application at Mutare Magistrates court under case number DRMT1/17 seeking an order for the court declaring the </w:t>
      </w:r>
      <w:r>
        <w:rPr>
          <w:rFonts w:ascii="Times New Roman" w:hAnsi="Times New Roman" w:cs="Times New Roman"/>
          <w:sz w:val="24"/>
        </w:rPr>
        <w:lastRenderedPageBreak/>
        <w:t xml:space="preserve">shop not forming part of the late Alice </w:t>
      </w:r>
      <w:proofErr w:type="spellStart"/>
      <w:r>
        <w:rPr>
          <w:rFonts w:ascii="Times New Roman" w:hAnsi="Times New Roman" w:cs="Times New Roman"/>
          <w:sz w:val="24"/>
        </w:rPr>
        <w:t>Ndoro’s</w:t>
      </w:r>
      <w:proofErr w:type="spellEnd"/>
      <w:r>
        <w:rPr>
          <w:rFonts w:ascii="Times New Roman" w:hAnsi="Times New Roman" w:cs="Times New Roman"/>
          <w:sz w:val="24"/>
        </w:rPr>
        <w:t xml:space="preserve"> estate. On 5 June 2020 the trial magistrate dismissed the </w:t>
      </w:r>
      <w:r w:rsidR="005F4DAF">
        <w:rPr>
          <w:rFonts w:ascii="Times New Roman" w:hAnsi="Times New Roman" w:cs="Times New Roman"/>
          <w:sz w:val="24"/>
        </w:rPr>
        <w:t>application with no order as to costs. The trial court in its judgment came to a conclusion that the lease agreement issued by the Chief Lands Officer</w:t>
      </w:r>
      <w:r w:rsidR="00FE4DD5">
        <w:rPr>
          <w:rFonts w:ascii="Times New Roman" w:hAnsi="Times New Roman" w:cs="Times New Roman"/>
          <w:sz w:val="24"/>
        </w:rPr>
        <w:t xml:space="preserve"> in respect of the shop was in the name of Alice </w:t>
      </w:r>
      <w:proofErr w:type="spellStart"/>
      <w:r w:rsidR="00FE4DD5">
        <w:rPr>
          <w:rFonts w:ascii="Times New Roman" w:hAnsi="Times New Roman" w:cs="Times New Roman"/>
          <w:sz w:val="24"/>
        </w:rPr>
        <w:t>Ndoro</w:t>
      </w:r>
      <w:proofErr w:type="spellEnd"/>
      <w:r w:rsidR="00FE4DD5">
        <w:rPr>
          <w:rFonts w:ascii="Times New Roman" w:hAnsi="Times New Roman" w:cs="Times New Roman"/>
          <w:sz w:val="24"/>
        </w:rPr>
        <w:t xml:space="preserve">, as such there was a high possibility that the late Alice </w:t>
      </w:r>
      <w:proofErr w:type="spellStart"/>
      <w:r w:rsidR="00FE4DD5">
        <w:rPr>
          <w:rFonts w:ascii="Times New Roman" w:hAnsi="Times New Roman" w:cs="Times New Roman"/>
          <w:sz w:val="24"/>
        </w:rPr>
        <w:t>Ndoro</w:t>
      </w:r>
      <w:proofErr w:type="spellEnd"/>
      <w:r w:rsidR="00FE4DD5">
        <w:rPr>
          <w:rFonts w:ascii="Times New Roman" w:hAnsi="Times New Roman" w:cs="Times New Roman"/>
          <w:sz w:val="24"/>
        </w:rPr>
        <w:t xml:space="preserve"> was the registered owner of the shop in dispute. Applicant </w:t>
      </w:r>
      <w:r w:rsidR="0003672D">
        <w:rPr>
          <w:rFonts w:ascii="Times New Roman" w:hAnsi="Times New Roman" w:cs="Times New Roman"/>
          <w:sz w:val="24"/>
        </w:rPr>
        <w:t xml:space="preserve">intends to appeal against that </w:t>
      </w:r>
      <w:r w:rsidR="00FE4DD5">
        <w:rPr>
          <w:rFonts w:ascii="Times New Roman" w:hAnsi="Times New Roman" w:cs="Times New Roman"/>
          <w:sz w:val="24"/>
        </w:rPr>
        <w:t xml:space="preserve">ruling contending that the shop belonged to the </w:t>
      </w:r>
      <w:proofErr w:type="spellStart"/>
      <w:r w:rsidR="00FE4DD5">
        <w:rPr>
          <w:rFonts w:ascii="Times New Roman" w:hAnsi="Times New Roman" w:cs="Times New Roman"/>
          <w:sz w:val="24"/>
        </w:rPr>
        <w:t>Ndoro</w:t>
      </w:r>
      <w:proofErr w:type="spellEnd"/>
      <w:r w:rsidR="00FE4DD5">
        <w:rPr>
          <w:rFonts w:ascii="Times New Roman" w:hAnsi="Times New Roman" w:cs="Times New Roman"/>
          <w:sz w:val="24"/>
        </w:rPr>
        <w:t xml:space="preserve"> family and the lease agreement was not conclusive evidence of ownership. To the applicant the shop was owned by </w:t>
      </w:r>
      <w:r w:rsidR="00672F9B">
        <w:rPr>
          <w:rFonts w:ascii="Times New Roman" w:hAnsi="Times New Roman" w:cs="Times New Roman"/>
          <w:sz w:val="24"/>
        </w:rPr>
        <w:t>the late</w:t>
      </w:r>
      <w:r w:rsidR="00FE4DD5">
        <w:rPr>
          <w:rFonts w:ascii="Times New Roman" w:hAnsi="Times New Roman" w:cs="Times New Roman"/>
          <w:sz w:val="24"/>
        </w:rPr>
        <w:t xml:space="preserve"> Elias </w:t>
      </w:r>
      <w:proofErr w:type="spellStart"/>
      <w:r w:rsidR="00FE4DD5">
        <w:rPr>
          <w:rFonts w:ascii="Times New Roman" w:hAnsi="Times New Roman" w:cs="Times New Roman"/>
          <w:sz w:val="24"/>
        </w:rPr>
        <w:t>Svosverai</w:t>
      </w:r>
      <w:proofErr w:type="spellEnd"/>
      <w:r w:rsidR="00FE4DD5">
        <w:rPr>
          <w:rFonts w:ascii="Times New Roman" w:hAnsi="Times New Roman" w:cs="Times New Roman"/>
          <w:sz w:val="24"/>
        </w:rPr>
        <w:t xml:space="preserve"> </w:t>
      </w:r>
      <w:proofErr w:type="spellStart"/>
      <w:r w:rsidR="00FE4DD5">
        <w:rPr>
          <w:rFonts w:ascii="Times New Roman" w:hAnsi="Times New Roman" w:cs="Times New Roman"/>
          <w:sz w:val="24"/>
        </w:rPr>
        <w:t>Ndoro</w:t>
      </w:r>
      <w:proofErr w:type="spellEnd"/>
      <w:r w:rsidR="00FE4DD5">
        <w:rPr>
          <w:rFonts w:ascii="Times New Roman" w:hAnsi="Times New Roman" w:cs="Times New Roman"/>
          <w:sz w:val="24"/>
        </w:rPr>
        <w:t xml:space="preserve"> and must benefit all family members and not the late Alice </w:t>
      </w:r>
      <w:proofErr w:type="spellStart"/>
      <w:r w:rsidR="00FE4DD5">
        <w:rPr>
          <w:rFonts w:ascii="Times New Roman" w:hAnsi="Times New Roman" w:cs="Times New Roman"/>
          <w:sz w:val="24"/>
        </w:rPr>
        <w:t>Ndoro’s</w:t>
      </w:r>
      <w:proofErr w:type="spellEnd"/>
      <w:r w:rsidR="00FE4DD5">
        <w:rPr>
          <w:rFonts w:ascii="Times New Roman" w:hAnsi="Times New Roman" w:cs="Times New Roman"/>
          <w:sz w:val="24"/>
        </w:rPr>
        <w:t xml:space="preserve"> children only. </w:t>
      </w:r>
      <w:r w:rsidR="005F4DAF">
        <w:rPr>
          <w:rFonts w:ascii="Times New Roman" w:hAnsi="Times New Roman" w:cs="Times New Roman"/>
          <w:sz w:val="24"/>
        </w:rPr>
        <w:t xml:space="preserve"> </w:t>
      </w:r>
    </w:p>
    <w:p w:rsidR="00DA0F07" w:rsidRDefault="00DA0F07" w:rsidP="00546AD1">
      <w:pPr>
        <w:tabs>
          <w:tab w:val="left" w:pos="0"/>
          <w:tab w:val="left" w:pos="567"/>
        </w:tabs>
        <w:spacing w:after="0" w:line="360" w:lineRule="auto"/>
        <w:jc w:val="both"/>
        <w:rPr>
          <w:rFonts w:ascii="Times New Roman" w:hAnsi="Times New Roman" w:cs="Times New Roman"/>
          <w:sz w:val="24"/>
        </w:rPr>
      </w:pPr>
      <w:r>
        <w:rPr>
          <w:rFonts w:ascii="Times New Roman" w:hAnsi="Times New Roman" w:cs="Times New Roman"/>
          <w:sz w:val="24"/>
        </w:rPr>
        <w:tab/>
        <w:t xml:space="preserve">Applicant realised that </w:t>
      </w:r>
      <w:r w:rsidR="004D74C3">
        <w:rPr>
          <w:rFonts w:ascii="Times New Roman" w:hAnsi="Times New Roman" w:cs="Times New Roman"/>
          <w:sz w:val="24"/>
        </w:rPr>
        <w:t>the date for filing the appeal wa</w:t>
      </w:r>
      <w:r>
        <w:rPr>
          <w:rFonts w:ascii="Times New Roman" w:hAnsi="Times New Roman" w:cs="Times New Roman"/>
          <w:sz w:val="24"/>
        </w:rPr>
        <w:t xml:space="preserve">s belated. Although judgment was delivered on 5 June </w:t>
      </w:r>
      <w:r w:rsidR="00546AD1">
        <w:rPr>
          <w:rFonts w:ascii="Times New Roman" w:hAnsi="Times New Roman" w:cs="Times New Roman"/>
          <w:sz w:val="24"/>
        </w:rPr>
        <w:t>20</w:t>
      </w:r>
      <w:r w:rsidR="00D13559">
        <w:rPr>
          <w:rFonts w:ascii="Times New Roman" w:hAnsi="Times New Roman" w:cs="Times New Roman"/>
          <w:sz w:val="24"/>
        </w:rPr>
        <w:t>20</w:t>
      </w:r>
      <w:r>
        <w:rPr>
          <w:rFonts w:ascii="Times New Roman" w:hAnsi="Times New Roman" w:cs="Times New Roman"/>
          <w:sz w:val="24"/>
        </w:rPr>
        <w:t>, she only learnt about it in October 2020 and got a copy on 2 November 2020. No one took the initiative to advise her of the judgment, not the respondents, not the court</w:t>
      </w:r>
      <w:r w:rsidR="007C71D5">
        <w:rPr>
          <w:rFonts w:ascii="Times New Roman" w:hAnsi="Times New Roman" w:cs="Times New Roman"/>
          <w:sz w:val="24"/>
        </w:rPr>
        <w:t>. S</w:t>
      </w:r>
      <w:r>
        <w:rPr>
          <w:rFonts w:ascii="Times New Roman" w:hAnsi="Times New Roman" w:cs="Times New Roman"/>
          <w:sz w:val="24"/>
        </w:rPr>
        <w:t xml:space="preserve">he feels that she has explained her delay and has high prospects of success on appeal. </w:t>
      </w:r>
    </w:p>
    <w:p w:rsidR="00546AD1" w:rsidRDefault="00DA0F07" w:rsidP="00D61FD9">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 </w:t>
      </w:r>
      <w:r w:rsidR="00E42C81">
        <w:rPr>
          <w:rFonts w:ascii="Times New Roman" w:hAnsi="Times New Roman" w:cs="Times New Roman"/>
          <w:sz w:val="24"/>
        </w:rPr>
        <w:t>Respondents on the other hand a</w:t>
      </w:r>
      <w:r w:rsidR="00EE3DFA">
        <w:rPr>
          <w:rFonts w:ascii="Times New Roman" w:hAnsi="Times New Roman" w:cs="Times New Roman"/>
          <w:sz w:val="24"/>
        </w:rPr>
        <w:t xml:space="preserve">ver that since the applicant is the one who had made the application to court, and the trial court had indicated </w:t>
      </w:r>
      <w:r w:rsidR="00F1161D">
        <w:rPr>
          <w:rFonts w:ascii="Times New Roman" w:hAnsi="Times New Roman" w:cs="Times New Roman"/>
          <w:sz w:val="24"/>
        </w:rPr>
        <w:t xml:space="preserve">to </w:t>
      </w:r>
      <w:r w:rsidR="00EE3DFA">
        <w:rPr>
          <w:rFonts w:ascii="Times New Roman" w:hAnsi="Times New Roman" w:cs="Times New Roman"/>
          <w:sz w:val="24"/>
        </w:rPr>
        <w:t>parties to periodically check the judgment, the applicant was expected to do so. She did not.</w:t>
      </w:r>
      <w:r w:rsidR="003D6A70">
        <w:rPr>
          <w:rFonts w:ascii="Times New Roman" w:hAnsi="Times New Roman" w:cs="Times New Roman"/>
          <w:sz w:val="24"/>
        </w:rPr>
        <w:t xml:space="preserve"> She delayed to note the appeal and in any case to the respondents the decision made by the trial court is beyond reproach. The prospects of success on appeal were </w:t>
      </w:r>
      <w:r w:rsidR="0003672D">
        <w:rPr>
          <w:rFonts w:ascii="Times New Roman" w:hAnsi="Times New Roman" w:cs="Times New Roman"/>
          <w:sz w:val="24"/>
        </w:rPr>
        <w:t>nil</w:t>
      </w:r>
      <w:r w:rsidR="003D6A70">
        <w:rPr>
          <w:rFonts w:ascii="Times New Roman" w:hAnsi="Times New Roman" w:cs="Times New Roman"/>
          <w:sz w:val="24"/>
        </w:rPr>
        <w:t xml:space="preserve"> and respondents pray for the dismissal of the application for condonation with costs. </w:t>
      </w:r>
    </w:p>
    <w:p w:rsidR="00546AD1" w:rsidRDefault="00546AD1" w:rsidP="00D61FD9">
      <w:pPr>
        <w:tabs>
          <w:tab w:val="left" w:pos="709"/>
        </w:tabs>
        <w:spacing w:after="0" w:line="360" w:lineRule="auto"/>
        <w:jc w:val="both"/>
        <w:rPr>
          <w:rFonts w:ascii="Times New Roman" w:hAnsi="Times New Roman" w:cs="Times New Roman"/>
          <w:sz w:val="24"/>
        </w:rPr>
      </w:pPr>
    </w:p>
    <w:p w:rsidR="00DA0F07" w:rsidRPr="00546AD1" w:rsidRDefault="00546AD1" w:rsidP="00D61FD9">
      <w:pPr>
        <w:tabs>
          <w:tab w:val="left" w:pos="709"/>
        </w:tabs>
        <w:spacing w:after="0" w:line="360" w:lineRule="auto"/>
        <w:jc w:val="both"/>
        <w:rPr>
          <w:rFonts w:ascii="Times New Roman" w:hAnsi="Times New Roman" w:cs="Times New Roman"/>
          <w:sz w:val="24"/>
          <w:u w:val="single"/>
        </w:rPr>
      </w:pPr>
      <w:r w:rsidRPr="00546AD1">
        <w:rPr>
          <w:rFonts w:ascii="Times New Roman" w:hAnsi="Times New Roman" w:cs="Times New Roman"/>
          <w:sz w:val="24"/>
          <w:u w:val="single"/>
        </w:rPr>
        <w:t>Applicant’s Submission</w:t>
      </w:r>
      <w:r w:rsidR="00EE3DFA" w:rsidRPr="00546AD1">
        <w:rPr>
          <w:rFonts w:ascii="Times New Roman" w:hAnsi="Times New Roman" w:cs="Times New Roman"/>
          <w:sz w:val="24"/>
          <w:u w:val="single"/>
        </w:rPr>
        <w:t xml:space="preserve"> </w:t>
      </w:r>
    </w:p>
    <w:p w:rsidR="00D61E5E" w:rsidRDefault="001530A1" w:rsidP="00CC6C14">
      <w:pPr>
        <w:tabs>
          <w:tab w:val="left" w:pos="709"/>
          <w:tab w:val="left" w:pos="1134"/>
        </w:tabs>
        <w:spacing w:after="0" w:line="360" w:lineRule="auto"/>
        <w:jc w:val="both"/>
        <w:rPr>
          <w:rFonts w:ascii="Times New Roman" w:hAnsi="Times New Roman" w:cs="Times New Roman"/>
          <w:sz w:val="24"/>
        </w:rPr>
      </w:pPr>
      <w:r>
        <w:rPr>
          <w:rFonts w:ascii="Times New Roman" w:hAnsi="Times New Roman" w:cs="Times New Roman"/>
          <w:sz w:val="24"/>
        </w:rPr>
        <w:tab/>
      </w:r>
      <w:r w:rsidR="00546AD1">
        <w:rPr>
          <w:rFonts w:ascii="Times New Roman" w:hAnsi="Times New Roman" w:cs="Times New Roman"/>
          <w:sz w:val="24"/>
        </w:rPr>
        <w:t>It was submitted on behalf of applicant that she had been waiting for the ruling since June 2019</w:t>
      </w:r>
      <w:r w:rsidR="00CC6C14">
        <w:rPr>
          <w:rFonts w:ascii="Times New Roman" w:hAnsi="Times New Roman" w:cs="Times New Roman"/>
          <w:sz w:val="24"/>
        </w:rPr>
        <w:t xml:space="preserve"> when judgment was reserved. She continuously checked for the ruling and the situation was worsened by the Covid-19 pandemic. It was argued further that the delay was not inordinate and she has tendered a reasonable explanation for the delay. Counsel for applicant cited the matter of </w:t>
      </w:r>
      <w:proofErr w:type="spellStart"/>
      <w:r w:rsidR="00CC6C14">
        <w:rPr>
          <w:rFonts w:ascii="Times New Roman" w:hAnsi="Times New Roman" w:cs="Times New Roman"/>
          <w:i/>
          <w:sz w:val="24"/>
        </w:rPr>
        <w:t>Moyo</w:t>
      </w:r>
      <w:proofErr w:type="spellEnd"/>
      <w:r w:rsidR="00CC6C14">
        <w:rPr>
          <w:rFonts w:ascii="Times New Roman" w:hAnsi="Times New Roman" w:cs="Times New Roman"/>
          <w:i/>
          <w:sz w:val="24"/>
        </w:rPr>
        <w:t xml:space="preserve"> </w:t>
      </w:r>
      <w:r w:rsidR="00CC6C14">
        <w:rPr>
          <w:rFonts w:ascii="Times New Roman" w:hAnsi="Times New Roman" w:cs="Times New Roman"/>
          <w:sz w:val="24"/>
        </w:rPr>
        <w:t xml:space="preserve">v </w:t>
      </w:r>
      <w:r w:rsidR="00CC6C14">
        <w:rPr>
          <w:rFonts w:ascii="Times New Roman" w:hAnsi="Times New Roman" w:cs="Times New Roman"/>
          <w:i/>
          <w:sz w:val="24"/>
        </w:rPr>
        <w:t>National Prosecuting A</w:t>
      </w:r>
      <w:r w:rsidR="009E30DF">
        <w:rPr>
          <w:rFonts w:ascii="Times New Roman" w:hAnsi="Times New Roman" w:cs="Times New Roman"/>
          <w:i/>
          <w:sz w:val="24"/>
        </w:rPr>
        <w:t>uthority</w:t>
      </w:r>
      <w:r w:rsidR="009E30DF">
        <w:rPr>
          <w:rStyle w:val="FootnoteReference"/>
          <w:rFonts w:ascii="Times New Roman" w:hAnsi="Times New Roman" w:cs="Times New Roman"/>
          <w:i/>
          <w:sz w:val="24"/>
        </w:rPr>
        <w:footnoteReference w:id="1"/>
      </w:r>
      <w:r w:rsidR="00460DAD">
        <w:rPr>
          <w:rFonts w:ascii="Times New Roman" w:hAnsi="Times New Roman" w:cs="Times New Roman"/>
          <w:sz w:val="24"/>
        </w:rPr>
        <w:t xml:space="preserve">. </w:t>
      </w:r>
      <w:r w:rsidR="00E22DA2">
        <w:rPr>
          <w:rFonts w:ascii="Times New Roman" w:hAnsi="Times New Roman" w:cs="Times New Roman"/>
          <w:sz w:val="24"/>
        </w:rPr>
        <w:t>After having learnt of the ruling on 2 November 2020, she proceeded to file the application for condonation on 12 November 2020. To the applicant she has bright prospects of success on appeal.</w:t>
      </w:r>
    </w:p>
    <w:p w:rsidR="008D6152" w:rsidRDefault="008D6152" w:rsidP="00CC6C14">
      <w:pPr>
        <w:tabs>
          <w:tab w:val="left" w:pos="709"/>
          <w:tab w:val="left" w:pos="1134"/>
        </w:tabs>
        <w:spacing w:after="0" w:line="360" w:lineRule="auto"/>
        <w:jc w:val="both"/>
        <w:rPr>
          <w:rFonts w:ascii="Times New Roman" w:hAnsi="Times New Roman" w:cs="Times New Roman"/>
          <w:sz w:val="24"/>
        </w:rPr>
      </w:pPr>
    </w:p>
    <w:p w:rsidR="008D6152" w:rsidRDefault="008D6152" w:rsidP="00CC6C14">
      <w:pPr>
        <w:tabs>
          <w:tab w:val="left" w:pos="709"/>
          <w:tab w:val="left" w:pos="1134"/>
        </w:tabs>
        <w:spacing w:after="0" w:line="360" w:lineRule="auto"/>
        <w:jc w:val="both"/>
        <w:rPr>
          <w:rFonts w:ascii="Times New Roman" w:hAnsi="Times New Roman" w:cs="Times New Roman"/>
          <w:sz w:val="24"/>
        </w:rPr>
      </w:pPr>
    </w:p>
    <w:p w:rsidR="008D6152" w:rsidRPr="008D6152" w:rsidRDefault="008D6152" w:rsidP="00CC6C14">
      <w:pPr>
        <w:tabs>
          <w:tab w:val="left" w:pos="709"/>
          <w:tab w:val="left" w:pos="1134"/>
        </w:tabs>
        <w:spacing w:after="0" w:line="360" w:lineRule="auto"/>
        <w:jc w:val="both"/>
        <w:rPr>
          <w:rFonts w:ascii="Times New Roman" w:hAnsi="Times New Roman" w:cs="Times New Roman"/>
          <w:sz w:val="24"/>
          <w:u w:val="single"/>
        </w:rPr>
      </w:pPr>
      <w:r w:rsidRPr="008D6152">
        <w:rPr>
          <w:rFonts w:ascii="Times New Roman" w:hAnsi="Times New Roman" w:cs="Times New Roman"/>
          <w:sz w:val="24"/>
          <w:u w:val="single"/>
        </w:rPr>
        <w:lastRenderedPageBreak/>
        <w:t>Respondent’s Submission</w:t>
      </w:r>
    </w:p>
    <w:p w:rsidR="0006634D" w:rsidRDefault="006C419C" w:rsidP="00CC6C14">
      <w:pPr>
        <w:tabs>
          <w:tab w:val="left" w:pos="709"/>
          <w:tab w:val="left" w:pos="1134"/>
        </w:tabs>
        <w:spacing w:after="0" w:line="360" w:lineRule="auto"/>
        <w:jc w:val="both"/>
        <w:rPr>
          <w:rFonts w:ascii="Times New Roman" w:hAnsi="Times New Roman" w:cs="Times New Roman"/>
          <w:sz w:val="24"/>
        </w:rPr>
      </w:pPr>
      <w:r>
        <w:rPr>
          <w:rFonts w:ascii="Times New Roman" w:hAnsi="Times New Roman" w:cs="Times New Roman"/>
          <w:sz w:val="24"/>
        </w:rPr>
        <w:tab/>
        <w:t xml:space="preserve">The respondents in their heads submitted that applicant has failed to meet the requirements for condonation and cited the matter of </w:t>
      </w:r>
      <w:r>
        <w:rPr>
          <w:rFonts w:ascii="Times New Roman" w:hAnsi="Times New Roman" w:cs="Times New Roman"/>
          <w:i/>
          <w:sz w:val="24"/>
        </w:rPr>
        <w:t xml:space="preserve">Forestry Commission </w:t>
      </w:r>
      <w:r>
        <w:rPr>
          <w:rFonts w:ascii="Times New Roman" w:hAnsi="Times New Roman" w:cs="Times New Roman"/>
          <w:sz w:val="24"/>
        </w:rPr>
        <w:t>v</w:t>
      </w:r>
      <w:r>
        <w:rPr>
          <w:rFonts w:ascii="Times New Roman" w:hAnsi="Times New Roman" w:cs="Times New Roman"/>
          <w:i/>
          <w:sz w:val="24"/>
        </w:rPr>
        <w:t xml:space="preserve"> </w:t>
      </w:r>
      <w:proofErr w:type="spellStart"/>
      <w:r>
        <w:rPr>
          <w:rFonts w:ascii="Times New Roman" w:hAnsi="Times New Roman" w:cs="Times New Roman"/>
          <w:i/>
          <w:sz w:val="24"/>
        </w:rPr>
        <w:t>Moyo</w:t>
      </w:r>
      <w:proofErr w:type="spellEnd"/>
      <w:r>
        <w:rPr>
          <w:rStyle w:val="FootnoteReference"/>
          <w:rFonts w:ascii="Times New Roman" w:hAnsi="Times New Roman" w:cs="Times New Roman"/>
          <w:i/>
          <w:sz w:val="24"/>
        </w:rPr>
        <w:footnoteReference w:id="2"/>
      </w:r>
      <w:r w:rsidR="000A5CC6">
        <w:rPr>
          <w:rFonts w:ascii="Times New Roman" w:hAnsi="Times New Roman" w:cs="Times New Roman"/>
          <w:i/>
          <w:sz w:val="24"/>
        </w:rPr>
        <w:t xml:space="preserve"> </w:t>
      </w:r>
      <w:r w:rsidR="000A5CC6">
        <w:rPr>
          <w:rFonts w:ascii="Times New Roman" w:hAnsi="Times New Roman" w:cs="Times New Roman"/>
          <w:sz w:val="24"/>
        </w:rPr>
        <w:t xml:space="preserve">and </w:t>
      </w:r>
      <w:proofErr w:type="spellStart"/>
      <w:r w:rsidR="00CC2E73">
        <w:rPr>
          <w:rFonts w:ascii="Times New Roman" w:hAnsi="Times New Roman" w:cs="Times New Roman"/>
          <w:i/>
          <w:sz w:val="24"/>
        </w:rPr>
        <w:t>Komba</w:t>
      </w:r>
      <w:r w:rsidR="000A5CC6">
        <w:rPr>
          <w:rFonts w:ascii="Times New Roman" w:hAnsi="Times New Roman" w:cs="Times New Roman"/>
          <w:i/>
          <w:sz w:val="24"/>
        </w:rPr>
        <w:t>yi</w:t>
      </w:r>
      <w:proofErr w:type="spellEnd"/>
      <w:r w:rsidR="000A5CC6">
        <w:rPr>
          <w:rFonts w:ascii="Times New Roman" w:hAnsi="Times New Roman" w:cs="Times New Roman"/>
          <w:sz w:val="24"/>
        </w:rPr>
        <w:t xml:space="preserve"> v</w:t>
      </w:r>
      <w:r w:rsidR="000A5CC6">
        <w:rPr>
          <w:rFonts w:ascii="Times New Roman" w:hAnsi="Times New Roman" w:cs="Times New Roman"/>
          <w:i/>
          <w:sz w:val="24"/>
        </w:rPr>
        <w:t xml:space="preserve"> </w:t>
      </w:r>
      <w:proofErr w:type="spellStart"/>
      <w:r w:rsidR="000A5CC6">
        <w:rPr>
          <w:rFonts w:ascii="Times New Roman" w:hAnsi="Times New Roman" w:cs="Times New Roman"/>
          <w:i/>
          <w:sz w:val="24"/>
        </w:rPr>
        <w:t>Berout</w:t>
      </w:r>
      <w:proofErr w:type="spellEnd"/>
      <w:r w:rsidR="000A5CC6">
        <w:rPr>
          <w:rStyle w:val="FootnoteReference"/>
          <w:rFonts w:ascii="Times New Roman" w:hAnsi="Times New Roman" w:cs="Times New Roman"/>
          <w:i/>
          <w:sz w:val="24"/>
        </w:rPr>
        <w:footnoteReference w:id="3"/>
      </w:r>
      <w:r w:rsidR="00CD24B2">
        <w:rPr>
          <w:rFonts w:ascii="Times New Roman" w:hAnsi="Times New Roman" w:cs="Times New Roman"/>
          <w:sz w:val="24"/>
        </w:rPr>
        <w:t>. It was argued on behalf of the respondents that applicant was not vigilant and took four months to learn about a judgment. They added that applicant had no one to blame for the inordinate delay but herself. It was further argued that applicant is not candid and honest in her application</w:t>
      </w:r>
      <w:r w:rsidR="00B55A17">
        <w:rPr>
          <w:rFonts w:ascii="Times New Roman" w:hAnsi="Times New Roman" w:cs="Times New Roman"/>
          <w:sz w:val="24"/>
        </w:rPr>
        <w:t xml:space="preserve"> for the delay</w:t>
      </w:r>
      <w:r w:rsidR="00B55A17">
        <w:rPr>
          <w:rStyle w:val="FootnoteReference"/>
          <w:rFonts w:ascii="Times New Roman" w:hAnsi="Times New Roman" w:cs="Times New Roman"/>
          <w:sz w:val="24"/>
        </w:rPr>
        <w:footnoteReference w:id="4"/>
      </w:r>
      <w:r w:rsidR="00195F77">
        <w:rPr>
          <w:rFonts w:ascii="Times New Roman" w:hAnsi="Times New Roman" w:cs="Times New Roman"/>
          <w:sz w:val="24"/>
        </w:rPr>
        <w:t xml:space="preserve">. On the prospects of success it was submitted that the decision of the trial magistrate </w:t>
      </w:r>
      <w:r w:rsidR="00D202D0">
        <w:rPr>
          <w:rFonts w:ascii="Times New Roman" w:hAnsi="Times New Roman" w:cs="Times New Roman"/>
          <w:sz w:val="24"/>
        </w:rPr>
        <w:t xml:space="preserve">was supported by facts and documents adduced in court. It ought not to be interfered with even on appeal. Respondents prayed for the dismissal of the application with costs. </w:t>
      </w:r>
    </w:p>
    <w:p w:rsidR="0006634D" w:rsidRDefault="0006634D" w:rsidP="0006634D">
      <w:pPr>
        <w:tabs>
          <w:tab w:val="left" w:pos="709"/>
          <w:tab w:val="left" w:pos="1134"/>
        </w:tabs>
        <w:spacing w:after="0" w:line="360" w:lineRule="auto"/>
        <w:ind w:firstLine="720"/>
        <w:jc w:val="both"/>
        <w:rPr>
          <w:rFonts w:ascii="Times New Roman" w:hAnsi="Times New Roman" w:cs="Times New Roman"/>
          <w:sz w:val="24"/>
        </w:rPr>
      </w:pPr>
    </w:p>
    <w:p w:rsidR="0006634D" w:rsidRPr="00DB7335" w:rsidRDefault="0006634D" w:rsidP="00CC6C14">
      <w:pPr>
        <w:tabs>
          <w:tab w:val="left" w:pos="709"/>
          <w:tab w:val="left" w:pos="1134"/>
        </w:tabs>
        <w:spacing w:after="0" w:line="360" w:lineRule="auto"/>
        <w:jc w:val="both"/>
        <w:rPr>
          <w:rFonts w:ascii="Times New Roman" w:hAnsi="Times New Roman" w:cs="Times New Roman"/>
          <w:b/>
          <w:i/>
          <w:sz w:val="24"/>
          <w:u w:val="single"/>
        </w:rPr>
      </w:pPr>
      <w:r w:rsidRPr="0006634D">
        <w:rPr>
          <w:rFonts w:ascii="Times New Roman" w:hAnsi="Times New Roman" w:cs="Times New Roman"/>
          <w:sz w:val="24"/>
          <w:u w:val="single"/>
        </w:rPr>
        <w:t xml:space="preserve">Issues for determination </w:t>
      </w:r>
    </w:p>
    <w:p w:rsidR="0006634D" w:rsidRPr="00DB7335" w:rsidRDefault="0006634D" w:rsidP="0006634D">
      <w:pPr>
        <w:pStyle w:val="ListParagraph"/>
        <w:numPr>
          <w:ilvl w:val="0"/>
          <w:numId w:val="6"/>
        </w:numPr>
        <w:tabs>
          <w:tab w:val="left" w:pos="709"/>
          <w:tab w:val="left" w:pos="1134"/>
        </w:tabs>
        <w:spacing w:after="0" w:line="360" w:lineRule="auto"/>
        <w:jc w:val="both"/>
        <w:rPr>
          <w:rFonts w:ascii="Times New Roman" w:hAnsi="Times New Roman" w:cs="Times New Roman"/>
          <w:b/>
          <w:i/>
          <w:sz w:val="24"/>
        </w:rPr>
      </w:pPr>
      <w:r w:rsidRPr="00DB7335">
        <w:rPr>
          <w:rFonts w:ascii="Times New Roman" w:hAnsi="Times New Roman" w:cs="Times New Roman"/>
          <w:b/>
          <w:i/>
          <w:sz w:val="24"/>
        </w:rPr>
        <w:t>Whether the applicant has managed to explain her delay?</w:t>
      </w:r>
    </w:p>
    <w:p w:rsidR="0006634D" w:rsidRPr="00DB7335" w:rsidRDefault="0006634D" w:rsidP="0006634D">
      <w:pPr>
        <w:pStyle w:val="ListParagraph"/>
        <w:numPr>
          <w:ilvl w:val="0"/>
          <w:numId w:val="6"/>
        </w:numPr>
        <w:tabs>
          <w:tab w:val="left" w:pos="709"/>
          <w:tab w:val="left" w:pos="1134"/>
        </w:tabs>
        <w:spacing w:after="0" w:line="360" w:lineRule="auto"/>
        <w:jc w:val="both"/>
        <w:rPr>
          <w:rFonts w:ascii="Times New Roman" w:hAnsi="Times New Roman" w:cs="Times New Roman"/>
          <w:b/>
          <w:i/>
          <w:sz w:val="24"/>
        </w:rPr>
      </w:pPr>
      <w:r w:rsidRPr="00DB7335">
        <w:rPr>
          <w:rFonts w:ascii="Times New Roman" w:hAnsi="Times New Roman" w:cs="Times New Roman"/>
          <w:b/>
          <w:i/>
          <w:sz w:val="24"/>
        </w:rPr>
        <w:t>Whether there are prospects of success on appeal?</w:t>
      </w:r>
    </w:p>
    <w:p w:rsidR="0006634D" w:rsidRDefault="0006634D" w:rsidP="0006634D">
      <w:pPr>
        <w:tabs>
          <w:tab w:val="left" w:pos="709"/>
          <w:tab w:val="left" w:pos="1134"/>
        </w:tabs>
        <w:spacing w:after="0" w:line="360" w:lineRule="auto"/>
        <w:jc w:val="both"/>
        <w:rPr>
          <w:rFonts w:ascii="Times New Roman" w:hAnsi="Times New Roman" w:cs="Times New Roman"/>
          <w:sz w:val="24"/>
        </w:rPr>
      </w:pPr>
    </w:p>
    <w:p w:rsidR="0006634D" w:rsidRDefault="0006634D" w:rsidP="0006634D">
      <w:pPr>
        <w:tabs>
          <w:tab w:val="left" w:pos="709"/>
          <w:tab w:val="left" w:pos="1134"/>
        </w:tabs>
        <w:spacing w:after="0" w:line="360" w:lineRule="auto"/>
        <w:jc w:val="both"/>
        <w:rPr>
          <w:rFonts w:ascii="Times New Roman" w:hAnsi="Times New Roman" w:cs="Times New Roman"/>
          <w:sz w:val="24"/>
          <w:u w:val="single"/>
        </w:rPr>
      </w:pPr>
      <w:r w:rsidRPr="0006634D">
        <w:rPr>
          <w:rFonts w:ascii="Times New Roman" w:hAnsi="Times New Roman" w:cs="Times New Roman"/>
          <w:sz w:val="24"/>
          <w:u w:val="single"/>
        </w:rPr>
        <w:t xml:space="preserve">The </w:t>
      </w:r>
      <w:r>
        <w:rPr>
          <w:rFonts w:ascii="Times New Roman" w:hAnsi="Times New Roman" w:cs="Times New Roman"/>
          <w:sz w:val="24"/>
          <w:u w:val="single"/>
        </w:rPr>
        <w:t>L</w:t>
      </w:r>
      <w:r w:rsidRPr="0006634D">
        <w:rPr>
          <w:rFonts w:ascii="Times New Roman" w:hAnsi="Times New Roman" w:cs="Times New Roman"/>
          <w:sz w:val="24"/>
          <w:u w:val="single"/>
        </w:rPr>
        <w:t xml:space="preserve">aw </w:t>
      </w:r>
    </w:p>
    <w:p w:rsidR="00D04B75" w:rsidRDefault="00D04B75" w:rsidP="0006634D">
      <w:pPr>
        <w:tabs>
          <w:tab w:val="left" w:pos="709"/>
          <w:tab w:val="left" w:pos="1134"/>
        </w:tabs>
        <w:spacing w:after="0" w:line="360" w:lineRule="auto"/>
        <w:jc w:val="both"/>
        <w:rPr>
          <w:rFonts w:ascii="Times New Roman" w:hAnsi="Times New Roman" w:cs="Times New Roman"/>
          <w:sz w:val="24"/>
        </w:rPr>
      </w:pPr>
      <w:r w:rsidRPr="00D04B75">
        <w:rPr>
          <w:rFonts w:ascii="Times New Roman" w:hAnsi="Times New Roman" w:cs="Times New Roman"/>
          <w:sz w:val="24"/>
        </w:rPr>
        <w:tab/>
      </w:r>
      <w:r>
        <w:rPr>
          <w:rFonts w:ascii="Times New Roman" w:hAnsi="Times New Roman" w:cs="Times New Roman"/>
          <w:sz w:val="24"/>
        </w:rPr>
        <w:t xml:space="preserve"> The principles guiding condonation are well trodden in my view and basically three of them among others feature prominently and these are:</w:t>
      </w:r>
      <w:r>
        <w:rPr>
          <w:rStyle w:val="FootnoteReference"/>
          <w:rFonts w:ascii="Times New Roman" w:hAnsi="Times New Roman" w:cs="Times New Roman"/>
          <w:sz w:val="24"/>
        </w:rPr>
        <w:footnoteReference w:id="5"/>
      </w:r>
    </w:p>
    <w:p w:rsidR="00EB71AD" w:rsidRDefault="00EB71AD" w:rsidP="0006634D">
      <w:pPr>
        <w:tabs>
          <w:tab w:val="left" w:pos="709"/>
          <w:tab w:val="left" w:pos="1134"/>
        </w:tabs>
        <w:spacing w:after="0" w:line="360" w:lineRule="auto"/>
        <w:jc w:val="both"/>
        <w:rPr>
          <w:rFonts w:ascii="Times New Roman" w:hAnsi="Times New Roman" w:cs="Times New Roman"/>
          <w:sz w:val="24"/>
        </w:rPr>
      </w:pPr>
      <w:r>
        <w:rPr>
          <w:rFonts w:ascii="Times New Roman" w:hAnsi="Times New Roman" w:cs="Times New Roman"/>
          <w:sz w:val="24"/>
        </w:rPr>
        <w:tab/>
        <w:t>(</w:t>
      </w:r>
      <w:proofErr w:type="spellStart"/>
      <w:r>
        <w:rPr>
          <w:rFonts w:ascii="Times New Roman" w:hAnsi="Times New Roman" w:cs="Times New Roman"/>
          <w:sz w:val="24"/>
        </w:rPr>
        <w:t>i</w:t>
      </w:r>
      <w:proofErr w:type="spellEnd"/>
      <w:r>
        <w:rPr>
          <w:rFonts w:ascii="Times New Roman" w:hAnsi="Times New Roman" w:cs="Times New Roman"/>
          <w:sz w:val="24"/>
        </w:rPr>
        <w:t>)</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length of the delay;</w:t>
      </w:r>
    </w:p>
    <w:p w:rsidR="00EB71AD" w:rsidRDefault="00EB71AD" w:rsidP="0006634D">
      <w:pPr>
        <w:tabs>
          <w:tab w:val="left" w:pos="709"/>
          <w:tab w:val="left" w:pos="1134"/>
        </w:tabs>
        <w:spacing w:after="0" w:line="360" w:lineRule="auto"/>
        <w:jc w:val="both"/>
        <w:rPr>
          <w:rFonts w:ascii="Times New Roman" w:hAnsi="Times New Roman" w:cs="Times New Roman"/>
          <w:sz w:val="24"/>
        </w:rPr>
      </w:pPr>
      <w:r>
        <w:rPr>
          <w:rFonts w:ascii="Times New Roman" w:hAnsi="Times New Roman" w:cs="Times New Roman"/>
          <w:sz w:val="24"/>
        </w:rPr>
        <w:tab/>
        <w:t>(ii)</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reasonableness of the explanation for the delay</w:t>
      </w:r>
    </w:p>
    <w:p w:rsidR="00EB71AD" w:rsidRDefault="00EB71AD" w:rsidP="00634334">
      <w:pPr>
        <w:tabs>
          <w:tab w:val="left" w:pos="709"/>
          <w:tab w:val="left" w:pos="1134"/>
        </w:tabs>
        <w:spacing w:after="0" w:line="360" w:lineRule="auto"/>
        <w:ind w:left="1134" w:hanging="1134"/>
        <w:jc w:val="both"/>
        <w:rPr>
          <w:rFonts w:ascii="Times New Roman" w:hAnsi="Times New Roman" w:cs="Times New Roman"/>
          <w:sz w:val="24"/>
        </w:rPr>
      </w:pPr>
      <w:r>
        <w:rPr>
          <w:rFonts w:ascii="Times New Roman" w:hAnsi="Times New Roman" w:cs="Times New Roman"/>
          <w:sz w:val="24"/>
        </w:rPr>
        <w:tab/>
        <w:t>(iii)</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prospects of success if leave to appeal is granted and the following are bonus additions. </w:t>
      </w:r>
    </w:p>
    <w:p w:rsidR="00634334" w:rsidRDefault="00634334" w:rsidP="00634334">
      <w:pPr>
        <w:tabs>
          <w:tab w:val="left" w:pos="709"/>
          <w:tab w:val="left" w:pos="1134"/>
        </w:tabs>
        <w:spacing w:after="0" w:line="360" w:lineRule="auto"/>
        <w:ind w:left="1134" w:hanging="1134"/>
        <w:jc w:val="both"/>
        <w:rPr>
          <w:rFonts w:ascii="Times New Roman" w:hAnsi="Times New Roman" w:cs="Times New Roman"/>
          <w:sz w:val="24"/>
        </w:rPr>
      </w:pPr>
      <w:r>
        <w:rPr>
          <w:rFonts w:ascii="Times New Roman" w:hAnsi="Times New Roman" w:cs="Times New Roman"/>
          <w:sz w:val="24"/>
        </w:rPr>
        <w:tab/>
        <w:t>(iv)</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importance of the case</w:t>
      </w:r>
    </w:p>
    <w:p w:rsidR="00634334" w:rsidRDefault="00634334" w:rsidP="00634334">
      <w:pPr>
        <w:tabs>
          <w:tab w:val="left" w:pos="709"/>
          <w:tab w:val="left" w:pos="1134"/>
        </w:tabs>
        <w:spacing w:after="0" w:line="360" w:lineRule="auto"/>
        <w:ind w:left="1134" w:hanging="1134"/>
        <w:jc w:val="both"/>
        <w:rPr>
          <w:rFonts w:ascii="Times New Roman" w:hAnsi="Times New Roman" w:cs="Times New Roman"/>
          <w:sz w:val="24"/>
        </w:rPr>
      </w:pPr>
      <w:r>
        <w:rPr>
          <w:rFonts w:ascii="Times New Roman" w:hAnsi="Times New Roman" w:cs="Times New Roman"/>
          <w:sz w:val="24"/>
        </w:rPr>
        <w:tab/>
        <w:t>(v)</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need for finality to litigation</w:t>
      </w:r>
    </w:p>
    <w:p w:rsidR="00634334" w:rsidRDefault="00634334" w:rsidP="00634334">
      <w:pPr>
        <w:tabs>
          <w:tab w:val="left" w:pos="709"/>
          <w:tab w:val="left" w:pos="1134"/>
        </w:tabs>
        <w:spacing w:after="0" w:line="360" w:lineRule="auto"/>
        <w:ind w:left="1134" w:hanging="1134"/>
        <w:jc w:val="both"/>
        <w:rPr>
          <w:rFonts w:ascii="Times New Roman" w:hAnsi="Times New Roman" w:cs="Times New Roman"/>
          <w:sz w:val="24"/>
        </w:rPr>
      </w:pPr>
      <w:r>
        <w:rPr>
          <w:rFonts w:ascii="Times New Roman" w:hAnsi="Times New Roman" w:cs="Times New Roman"/>
          <w:sz w:val="24"/>
        </w:rPr>
        <w:tab/>
        <w:t>(vi)</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convenience of the court.</w:t>
      </w:r>
    </w:p>
    <w:p w:rsidR="00634334" w:rsidRDefault="00634334" w:rsidP="00634334">
      <w:pPr>
        <w:tabs>
          <w:tab w:val="left" w:pos="709"/>
          <w:tab w:val="left" w:pos="1134"/>
        </w:tabs>
        <w:spacing w:after="0" w:line="360" w:lineRule="auto"/>
        <w:ind w:left="1134" w:hanging="1134"/>
        <w:jc w:val="both"/>
        <w:rPr>
          <w:rFonts w:ascii="Times New Roman" w:hAnsi="Times New Roman" w:cs="Times New Roman"/>
          <w:sz w:val="24"/>
        </w:rPr>
      </w:pPr>
      <w:r>
        <w:rPr>
          <w:rFonts w:ascii="Times New Roman" w:hAnsi="Times New Roman" w:cs="Times New Roman"/>
          <w:sz w:val="24"/>
        </w:rPr>
        <w:tab/>
        <w:t>(vii)</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prejudice to the respondent. </w:t>
      </w:r>
    </w:p>
    <w:p w:rsidR="00D22C2A" w:rsidRDefault="00224332" w:rsidP="00224332">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lastRenderedPageBreak/>
        <w:tab/>
      </w:r>
      <w:r w:rsidR="00C145F7">
        <w:rPr>
          <w:rFonts w:ascii="Times New Roman" w:hAnsi="Times New Roman" w:cs="Times New Roman"/>
          <w:sz w:val="24"/>
        </w:rPr>
        <w:t xml:space="preserve">No </w:t>
      </w:r>
      <w:r w:rsidR="008E6BC2">
        <w:rPr>
          <w:rFonts w:ascii="Times New Roman" w:hAnsi="Times New Roman" w:cs="Times New Roman"/>
          <w:sz w:val="24"/>
        </w:rPr>
        <w:t>single factor</w:t>
      </w:r>
      <w:r w:rsidR="00CD6E19">
        <w:rPr>
          <w:rFonts w:ascii="Times New Roman" w:hAnsi="Times New Roman" w:cs="Times New Roman"/>
          <w:sz w:val="24"/>
        </w:rPr>
        <w:t xml:space="preserve"> is</w:t>
      </w:r>
      <w:r w:rsidR="00C145F7">
        <w:rPr>
          <w:rFonts w:ascii="Times New Roman" w:hAnsi="Times New Roman" w:cs="Times New Roman"/>
          <w:sz w:val="24"/>
        </w:rPr>
        <w:t xml:space="preserve"> decisive</w:t>
      </w:r>
      <w:r w:rsidR="00C145F7">
        <w:rPr>
          <w:rStyle w:val="FootnoteReference"/>
          <w:rFonts w:ascii="Times New Roman" w:hAnsi="Times New Roman" w:cs="Times New Roman"/>
          <w:sz w:val="24"/>
        </w:rPr>
        <w:footnoteReference w:id="6"/>
      </w:r>
      <w:r w:rsidR="008E6BC2">
        <w:rPr>
          <w:rFonts w:ascii="Times New Roman" w:hAnsi="Times New Roman" w:cs="Times New Roman"/>
          <w:sz w:val="24"/>
        </w:rPr>
        <w:t xml:space="preserve">, but are inter-related </w:t>
      </w:r>
      <w:r w:rsidR="00E40544">
        <w:rPr>
          <w:rFonts w:ascii="Times New Roman" w:hAnsi="Times New Roman" w:cs="Times New Roman"/>
          <w:sz w:val="24"/>
        </w:rPr>
        <w:t>and must</w:t>
      </w:r>
      <w:r w:rsidR="008E6BC2">
        <w:rPr>
          <w:rFonts w:ascii="Times New Roman" w:hAnsi="Times New Roman" w:cs="Times New Roman"/>
          <w:sz w:val="24"/>
        </w:rPr>
        <w:t xml:space="preserve"> be weighed against the </w:t>
      </w:r>
      <w:r>
        <w:rPr>
          <w:rFonts w:ascii="Times New Roman" w:hAnsi="Times New Roman" w:cs="Times New Roman"/>
          <w:sz w:val="24"/>
        </w:rPr>
        <w:t>other</w:t>
      </w:r>
      <w:r w:rsidR="008E6BC2">
        <w:rPr>
          <w:rFonts w:ascii="Times New Roman" w:hAnsi="Times New Roman" w:cs="Times New Roman"/>
          <w:sz w:val="24"/>
        </w:rPr>
        <w:t xml:space="preserve">, thus a slight delay and a good explanation may help to compensate for </w:t>
      </w:r>
      <w:r w:rsidR="00F569ED">
        <w:rPr>
          <w:rFonts w:ascii="Times New Roman" w:hAnsi="Times New Roman" w:cs="Times New Roman"/>
          <w:sz w:val="24"/>
        </w:rPr>
        <w:t xml:space="preserve">prospects of success which are not strong. </w:t>
      </w:r>
    </w:p>
    <w:p w:rsidR="00D22C2A" w:rsidRDefault="00D22C2A" w:rsidP="00224332">
      <w:pPr>
        <w:tabs>
          <w:tab w:val="left" w:pos="0"/>
        </w:tabs>
        <w:spacing w:after="0" w:line="360" w:lineRule="auto"/>
        <w:jc w:val="both"/>
        <w:rPr>
          <w:rFonts w:ascii="Times New Roman" w:hAnsi="Times New Roman" w:cs="Times New Roman"/>
          <w:sz w:val="24"/>
        </w:rPr>
      </w:pPr>
    </w:p>
    <w:p w:rsidR="00634334" w:rsidRPr="00156EC1" w:rsidRDefault="00D22C2A" w:rsidP="00224332">
      <w:pPr>
        <w:tabs>
          <w:tab w:val="left" w:pos="0"/>
        </w:tabs>
        <w:spacing w:after="0" w:line="360" w:lineRule="auto"/>
        <w:jc w:val="both"/>
        <w:rPr>
          <w:rFonts w:ascii="Times New Roman" w:hAnsi="Times New Roman" w:cs="Times New Roman"/>
          <w:sz w:val="24"/>
          <w:u w:val="single"/>
        </w:rPr>
      </w:pPr>
      <w:r w:rsidRPr="00156EC1">
        <w:rPr>
          <w:rFonts w:ascii="Times New Roman" w:hAnsi="Times New Roman" w:cs="Times New Roman"/>
          <w:sz w:val="24"/>
          <w:u w:val="single"/>
        </w:rPr>
        <w:t>Applying Law to the Facts</w:t>
      </w:r>
      <w:r w:rsidR="008E6BC2" w:rsidRPr="00156EC1">
        <w:rPr>
          <w:rFonts w:ascii="Times New Roman" w:hAnsi="Times New Roman" w:cs="Times New Roman"/>
          <w:sz w:val="24"/>
          <w:u w:val="single"/>
        </w:rPr>
        <w:t xml:space="preserve">  </w:t>
      </w:r>
    </w:p>
    <w:p w:rsidR="008E6BC2" w:rsidRDefault="00156EC1" w:rsidP="00BE3949">
      <w:pPr>
        <w:tabs>
          <w:tab w:val="left" w:pos="0"/>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r>
      <w:r w:rsidR="00BE3949">
        <w:rPr>
          <w:rFonts w:ascii="Times New Roman" w:hAnsi="Times New Roman" w:cs="Times New Roman"/>
          <w:sz w:val="24"/>
        </w:rPr>
        <w:t>Applicant has all along been legally represented and even up</w:t>
      </w:r>
      <w:r w:rsidR="00CB53C7">
        <w:rPr>
          <w:rFonts w:ascii="Times New Roman" w:hAnsi="Times New Roman" w:cs="Times New Roman"/>
          <w:sz w:val="24"/>
        </w:rPr>
        <w:t xml:space="preserve"> </w:t>
      </w:r>
      <w:r w:rsidR="00BE3949">
        <w:rPr>
          <w:rFonts w:ascii="Times New Roman" w:hAnsi="Times New Roman" w:cs="Times New Roman"/>
          <w:sz w:val="24"/>
        </w:rPr>
        <w:t xml:space="preserve">to this date. The trial court </w:t>
      </w:r>
      <w:r w:rsidR="00F32C1C">
        <w:rPr>
          <w:rFonts w:ascii="Times New Roman" w:hAnsi="Times New Roman" w:cs="Times New Roman"/>
          <w:sz w:val="24"/>
        </w:rPr>
        <w:t xml:space="preserve">promptly alerted both parties that it was going to reserve its judgment but parties had to constantly check for the judgment. Applicant only filed an application for condonation on 12 November five months after judgment was delivered on 5 June 2020. </w:t>
      </w:r>
      <w:r w:rsidR="007D4B60">
        <w:rPr>
          <w:rFonts w:ascii="Times New Roman" w:hAnsi="Times New Roman" w:cs="Times New Roman"/>
          <w:sz w:val="24"/>
        </w:rPr>
        <w:t xml:space="preserve">In her affidavit and submissions in court she shifts blame to third parties without exonerating herself. Her explanation falls short of adequacy </w:t>
      </w:r>
      <w:r w:rsidR="00C650C0">
        <w:rPr>
          <w:rFonts w:ascii="Times New Roman" w:hAnsi="Times New Roman" w:cs="Times New Roman"/>
          <w:sz w:val="24"/>
        </w:rPr>
        <w:t xml:space="preserve">and reasonableness and left a lot of issues </w:t>
      </w:r>
      <w:r w:rsidR="009644A8">
        <w:rPr>
          <w:rFonts w:ascii="Times New Roman" w:hAnsi="Times New Roman" w:cs="Times New Roman"/>
          <w:sz w:val="24"/>
        </w:rPr>
        <w:t>unexplained</w:t>
      </w:r>
      <w:r w:rsidR="00C650C0">
        <w:rPr>
          <w:rFonts w:ascii="Times New Roman" w:hAnsi="Times New Roman" w:cs="Times New Roman"/>
          <w:sz w:val="24"/>
        </w:rPr>
        <w:t xml:space="preserve">. I am not satisfied with her explanation for a delay of 5 months, even if I could allow a grace period of a month, the period </w:t>
      </w:r>
      <w:r w:rsidR="009644A8">
        <w:rPr>
          <w:rFonts w:ascii="Times New Roman" w:hAnsi="Times New Roman" w:cs="Times New Roman"/>
          <w:sz w:val="24"/>
        </w:rPr>
        <w:t>still remains</w:t>
      </w:r>
      <w:r w:rsidR="00C650C0">
        <w:rPr>
          <w:rFonts w:ascii="Times New Roman" w:hAnsi="Times New Roman" w:cs="Times New Roman"/>
          <w:sz w:val="24"/>
        </w:rPr>
        <w:t xml:space="preserve"> four months which to me is patently inordinate given the circumstances of this matter. </w:t>
      </w:r>
      <w:r w:rsidR="009644A8">
        <w:rPr>
          <w:rFonts w:ascii="Times New Roman" w:hAnsi="Times New Roman" w:cs="Times New Roman"/>
          <w:sz w:val="24"/>
        </w:rPr>
        <w:t>Applicant</w:t>
      </w:r>
      <w:r w:rsidR="00C650C0">
        <w:rPr>
          <w:rFonts w:ascii="Times New Roman" w:hAnsi="Times New Roman" w:cs="Times New Roman"/>
          <w:sz w:val="24"/>
        </w:rPr>
        <w:t xml:space="preserve"> seems to have another insurmountable task on the prospects of success</w:t>
      </w:r>
      <w:r w:rsidR="005602C5">
        <w:rPr>
          <w:rFonts w:ascii="Times New Roman" w:hAnsi="Times New Roman" w:cs="Times New Roman"/>
          <w:sz w:val="24"/>
        </w:rPr>
        <w:t xml:space="preserve">. </w:t>
      </w:r>
    </w:p>
    <w:p w:rsidR="005602C5" w:rsidRDefault="005602C5" w:rsidP="00BE3949">
      <w:pPr>
        <w:tabs>
          <w:tab w:val="left" w:pos="0"/>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The court </w:t>
      </w:r>
      <w:r>
        <w:rPr>
          <w:rFonts w:ascii="Times New Roman" w:hAnsi="Times New Roman" w:cs="Times New Roman"/>
          <w:i/>
          <w:sz w:val="24"/>
        </w:rPr>
        <w:t>a quo</w:t>
      </w:r>
      <w:r>
        <w:rPr>
          <w:rFonts w:ascii="Times New Roman" w:hAnsi="Times New Roman" w:cs="Times New Roman"/>
          <w:sz w:val="24"/>
        </w:rPr>
        <w:t xml:space="preserve"> dealt with the existence of the late Alice </w:t>
      </w:r>
      <w:proofErr w:type="spellStart"/>
      <w:r>
        <w:rPr>
          <w:rFonts w:ascii="Times New Roman" w:hAnsi="Times New Roman" w:cs="Times New Roman"/>
          <w:sz w:val="24"/>
        </w:rPr>
        <w:t>Ndoro</w:t>
      </w:r>
      <w:proofErr w:type="spellEnd"/>
      <w:r>
        <w:rPr>
          <w:rFonts w:ascii="Times New Roman" w:hAnsi="Times New Roman" w:cs="Times New Roman"/>
          <w:sz w:val="24"/>
        </w:rPr>
        <w:t xml:space="preserve">. She looked at birth certificates as well as the lease agreement. Having looked at both records the court came to a conclusion that respondents had proved on a balance of probabilities that the controversial shop was publicly registered </w:t>
      </w:r>
      <w:r w:rsidR="00A068F7">
        <w:rPr>
          <w:rFonts w:ascii="Times New Roman" w:hAnsi="Times New Roman" w:cs="Times New Roman"/>
          <w:sz w:val="24"/>
        </w:rPr>
        <w:t xml:space="preserve">in the late Alice </w:t>
      </w:r>
      <w:proofErr w:type="spellStart"/>
      <w:r w:rsidR="00A068F7">
        <w:rPr>
          <w:rFonts w:ascii="Times New Roman" w:hAnsi="Times New Roman" w:cs="Times New Roman"/>
          <w:sz w:val="24"/>
        </w:rPr>
        <w:t>Ndoro’s</w:t>
      </w:r>
      <w:proofErr w:type="spellEnd"/>
      <w:r w:rsidR="00A068F7">
        <w:rPr>
          <w:rFonts w:ascii="Times New Roman" w:hAnsi="Times New Roman" w:cs="Times New Roman"/>
          <w:sz w:val="24"/>
        </w:rPr>
        <w:t xml:space="preserve"> name and as such belongs to the Estate. Given the evidence placed before the trial court, I can hardly find any fault with her finding. </w:t>
      </w:r>
      <w:r w:rsidR="00DD1A77">
        <w:rPr>
          <w:rFonts w:ascii="Times New Roman" w:hAnsi="Times New Roman" w:cs="Times New Roman"/>
          <w:sz w:val="24"/>
        </w:rPr>
        <w:t>I discern</w:t>
      </w:r>
      <w:r w:rsidR="00A068F7">
        <w:rPr>
          <w:rFonts w:ascii="Times New Roman" w:hAnsi="Times New Roman" w:cs="Times New Roman"/>
          <w:sz w:val="24"/>
        </w:rPr>
        <w:t xml:space="preserve"> no misdirection at all and come to a conclusion that the prospects of success on appeal are remote. </w:t>
      </w:r>
    </w:p>
    <w:p w:rsidR="00DD1A77" w:rsidRDefault="00DD1A77" w:rsidP="00BE3949">
      <w:pPr>
        <w:tabs>
          <w:tab w:val="left" w:pos="0"/>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On the question of costs, I see no legal basis for granting costs on </w:t>
      </w:r>
      <w:r w:rsidR="00FA10E7">
        <w:rPr>
          <w:rFonts w:ascii="Times New Roman" w:hAnsi="Times New Roman" w:cs="Times New Roman"/>
          <w:sz w:val="24"/>
        </w:rPr>
        <w:t>legal practitioner client scale. I</w:t>
      </w:r>
      <w:r>
        <w:rPr>
          <w:rFonts w:ascii="Times New Roman" w:hAnsi="Times New Roman" w:cs="Times New Roman"/>
          <w:sz w:val="24"/>
        </w:rPr>
        <w:t xml:space="preserve">n my view applicant genuinely believed her legal practitioners to pursue the application for condonation. Ordinary costs would be justified. </w:t>
      </w:r>
    </w:p>
    <w:p w:rsidR="004B2448" w:rsidRDefault="004B2448" w:rsidP="00BE3949">
      <w:pPr>
        <w:tabs>
          <w:tab w:val="left" w:pos="0"/>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Accordingly the following order is returned:</w:t>
      </w:r>
    </w:p>
    <w:p w:rsidR="004B2448" w:rsidRPr="00874354" w:rsidRDefault="004B2448" w:rsidP="004B2448">
      <w:pPr>
        <w:pStyle w:val="ListParagraph"/>
        <w:numPr>
          <w:ilvl w:val="0"/>
          <w:numId w:val="7"/>
        </w:numPr>
        <w:tabs>
          <w:tab w:val="left" w:pos="0"/>
          <w:tab w:val="left" w:pos="709"/>
        </w:tabs>
        <w:spacing w:after="0" w:line="360" w:lineRule="auto"/>
        <w:jc w:val="both"/>
        <w:rPr>
          <w:rFonts w:ascii="Times New Roman" w:hAnsi="Times New Roman" w:cs="Times New Roman"/>
          <w:b/>
          <w:i/>
          <w:sz w:val="24"/>
        </w:rPr>
      </w:pPr>
      <w:r w:rsidRPr="00874354">
        <w:rPr>
          <w:rFonts w:ascii="Times New Roman" w:hAnsi="Times New Roman" w:cs="Times New Roman"/>
          <w:b/>
          <w:i/>
          <w:sz w:val="24"/>
        </w:rPr>
        <w:t>The application for condonation of late filing of appeal is dismissed.</w:t>
      </w:r>
    </w:p>
    <w:p w:rsidR="004B2448" w:rsidRPr="00874354" w:rsidRDefault="004B2448" w:rsidP="004B2448">
      <w:pPr>
        <w:pStyle w:val="ListParagraph"/>
        <w:numPr>
          <w:ilvl w:val="0"/>
          <w:numId w:val="7"/>
        </w:numPr>
        <w:tabs>
          <w:tab w:val="left" w:pos="0"/>
          <w:tab w:val="left" w:pos="709"/>
        </w:tabs>
        <w:spacing w:after="0" w:line="360" w:lineRule="auto"/>
        <w:jc w:val="both"/>
        <w:rPr>
          <w:rFonts w:ascii="Times New Roman" w:hAnsi="Times New Roman" w:cs="Times New Roman"/>
          <w:b/>
          <w:i/>
          <w:sz w:val="24"/>
        </w:rPr>
      </w:pPr>
      <w:r w:rsidRPr="00874354">
        <w:rPr>
          <w:rFonts w:ascii="Times New Roman" w:hAnsi="Times New Roman" w:cs="Times New Roman"/>
          <w:b/>
          <w:i/>
          <w:sz w:val="24"/>
        </w:rPr>
        <w:t xml:space="preserve">Applicant to pay </w:t>
      </w:r>
      <w:r w:rsidR="00FE2861" w:rsidRPr="00874354">
        <w:rPr>
          <w:rFonts w:ascii="Times New Roman" w:hAnsi="Times New Roman" w:cs="Times New Roman"/>
          <w:b/>
          <w:i/>
          <w:sz w:val="24"/>
        </w:rPr>
        <w:t>respondent’s</w:t>
      </w:r>
      <w:r w:rsidRPr="00874354">
        <w:rPr>
          <w:rFonts w:ascii="Times New Roman" w:hAnsi="Times New Roman" w:cs="Times New Roman"/>
          <w:b/>
          <w:i/>
          <w:sz w:val="24"/>
        </w:rPr>
        <w:t xml:space="preserve"> costs on party and party basis. </w:t>
      </w:r>
    </w:p>
    <w:p w:rsidR="009333F2" w:rsidRDefault="009333F2" w:rsidP="009333F2">
      <w:pPr>
        <w:tabs>
          <w:tab w:val="left" w:pos="0"/>
          <w:tab w:val="left" w:pos="709"/>
        </w:tabs>
        <w:spacing w:after="0" w:line="360" w:lineRule="auto"/>
        <w:jc w:val="both"/>
        <w:rPr>
          <w:rFonts w:ascii="Times New Roman" w:hAnsi="Times New Roman" w:cs="Times New Roman"/>
          <w:sz w:val="24"/>
        </w:rPr>
      </w:pPr>
    </w:p>
    <w:p w:rsidR="009333F2" w:rsidRDefault="009333F2" w:rsidP="009333F2">
      <w:pPr>
        <w:tabs>
          <w:tab w:val="left" w:pos="0"/>
          <w:tab w:val="left" w:pos="709"/>
        </w:tabs>
        <w:spacing w:after="0" w:line="360" w:lineRule="auto"/>
        <w:jc w:val="both"/>
        <w:rPr>
          <w:rFonts w:ascii="Times New Roman" w:hAnsi="Times New Roman" w:cs="Times New Roman"/>
          <w:sz w:val="24"/>
        </w:rPr>
      </w:pPr>
    </w:p>
    <w:p w:rsidR="009333F2" w:rsidRDefault="009333F2" w:rsidP="009333F2">
      <w:pPr>
        <w:tabs>
          <w:tab w:val="left" w:pos="0"/>
          <w:tab w:val="left" w:pos="709"/>
        </w:tabs>
        <w:spacing w:after="0" w:line="360" w:lineRule="auto"/>
        <w:jc w:val="both"/>
        <w:rPr>
          <w:rFonts w:ascii="Times New Roman" w:hAnsi="Times New Roman" w:cs="Times New Roman"/>
          <w:sz w:val="24"/>
        </w:rPr>
      </w:pPr>
    </w:p>
    <w:p w:rsidR="009333F2" w:rsidRDefault="009333F2" w:rsidP="009333F2">
      <w:pPr>
        <w:tabs>
          <w:tab w:val="left" w:pos="0"/>
          <w:tab w:val="left" w:pos="709"/>
        </w:tabs>
        <w:spacing w:after="0" w:line="240" w:lineRule="auto"/>
        <w:jc w:val="both"/>
        <w:rPr>
          <w:rFonts w:ascii="Times New Roman" w:hAnsi="Times New Roman" w:cs="Times New Roman"/>
          <w:sz w:val="24"/>
        </w:rPr>
      </w:pPr>
      <w:proofErr w:type="spellStart"/>
      <w:r>
        <w:rPr>
          <w:rFonts w:ascii="Times New Roman" w:hAnsi="Times New Roman" w:cs="Times New Roman"/>
          <w:i/>
          <w:sz w:val="24"/>
        </w:rPr>
        <w:lastRenderedPageBreak/>
        <w:t>Chikamhi</w:t>
      </w:r>
      <w:proofErr w:type="spellEnd"/>
      <w:r>
        <w:rPr>
          <w:rFonts w:ascii="Times New Roman" w:hAnsi="Times New Roman" w:cs="Times New Roman"/>
          <w:i/>
          <w:sz w:val="24"/>
        </w:rPr>
        <w:t xml:space="preserve"> </w:t>
      </w:r>
      <w:proofErr w:type="spellStart"/>
      <w:r w:rsidR="000147E0">
        <w:rPr>
          <w:rFonts w:ascii="Times New Roman" w:hAnsi="Times New Roman" w:cs="Times New Roman"/>
          <w:i/>
          <w:sz w:val="24"/>
        </w:rPr>
        <w:t>M</w:t>
      </w:r>
      <w:r>
        <w:rPr>
          <w:rFonts w:ascii="Times New Roman" w:hAnsi="Times New Roman" w:cs="Times New Roman"/>
          <w:i/>
          <w:sz w:val="24"/>
        </w:rPr>
        <w:t>areanadzo</w:t>
      </w:r>
      <w:proofErr w:type="spellEnd"/>
      <w:r>
        <w:rPr>
          <w:rFonts w:ascii="Times New Roman" w:hAnsi="Times New Roman" w:cs="Times New Roman"/>
          <w:sz w:val="24"/>
        </w:rPr>
        <w:t xml:space="preserve">, applicant’s legal practitioners </w:t>
      </w:r>
    </w:p>
    <w:p w:rsidR="003456A0" w:rsidRPr="003456A0" w:rsidRDefault="003456A0" w:rsidP="009333F2">
      <w:pPr>
        <w:tabs>
          <w:tab w:val="left" w:pos="0"/>
          <w:tab w:val="left" w:pos="709"/>
        </w:tabs>
        <w:spacing w:after="0" w:line="240" w:lineRule="auto"/>
        <w:jc w:val="both"/>
        <w:rPr>
          <w:rFonts w:ascii="Times New Roman" w:hAnsi="Times New Roman" w:cs="Times New Roman"/>
          <w:sz w:val="24"/>
        </w:rPr>
      </w:pPr>
      <w:r>
        <w:rPr>
          <w:rFonts w:ascii="Times New Roman" w:hAnsi="Times New Roman" w:cs="Times New Roman"/>
          <w:i/>
          <w:sz w:val="24"/>
        </w:rPr>
        <w:t>Legal Aid Directorate</w:t>
      </w:r>
      <w:r>
        <w:rPr>
          <w:rFonts w:ascii="Times New Roman" w:hAnsi="Times New Roman" w:cs="Times New Roman"/>
          <w:sz w:val="24"/>
        </w:rPr>
        <w:t xml:space="preserve">, respondents’ legal practitioners </w:t>
      </w:r>
    </w:p>
    <w:p w:rsidR="009333F2" w:rsidRPr="009333F2" w:rsidRDefault="009333F2" w:rsidP="009333F2">
      <w:pPr>
        <w:tabs>
          <w:tab w:val="left" w:pos="0"/>
          <w:tab w:val="left" w:pos="709"/>
        </w:tabs>
        <w:spacing w:after="0" w:line="360" w:lineRule="auto"/>
        <w:jc w:val="both"/>
        <w:rPr>
          <w:rFonts w:ascii="Times New Roman" w:hAnsi="Times New Roman" w:cs="Times New Roman"/>
          <w:sz w:val="24"/>
        </w:rPr>
      </w:pPr>
    </w:p>
    <w:p w:rsidR="00634334" w:rsidRPr="00D04B75" w:rsidRDefault="00634334" w:rsidP="00634334">
      <w:pPr>
        <w:tabs>
          <w:tab w:val="left" w:pos="709"/>
          <w:tab w:val="left" w:pos="1134"/>
        </w:tabs>
        <w:spacing w:after="0" w:line="360" w:lineRule="auto"/>
        <w:ind w:left="1134" w:hanging="1134"/>
        <w:jc w:val="both"/>
        <w:rPr>
          <w:rFonts w:ascii="Times New Roman" w:hAnsi="Times New Roman" w:cs="Times New Roman"/>
          <w:sz w:val="24"/>
        </w:rPr>
      </w:pPr>
      <w:r>
        <w:rPr>
          <w:rFonts w:ascii="Times New Roman" w:hAnsi="Times New Roman" w:cs="Times New Roman"/>
          <w:sz w:val="24"/>
        </w:rPr>
        <w:tab/>
      </w:r>
    </w:p>
    <w:p w:rsidR="0006634D" w:rsidRDefault="0006634D" w:rsidP="00CC6C14">
      <w:pPr>
        <w:tabs>
          <w:tab w:val="left" w:pos="709"/>
          <w:tab w:val="left" w:pos="1134"/>
        </w:tabs>
        <w:spacing w:after="0" w:line="360" w:lineRule="auto"/>
        <w:jc w:val="both"/>
        <w:rPr>
          <w:rFonts w:ascii="Times New Roman" w:hAnsi="Times New Roman" w:cs="Times New Roman"/>
          <w:sz w:val="24"/>
        </w:rPr>
      </w:pPr>
      <w:r>
        <w:rPr>
          <w:rFonts w:ascii="Times New Roman" w:hAnsi="Times New Roman" w:cs="Times New Roman"/>
          <w:sz w:val="24"/>
        </w:rPr>
        <w:tab/>
      </w:r>
    </w:p>
    <w:p w:rsidR="007405C4" w:rsidRDefault="00D202D0" w:rsidP="003456A0">
      <w:pPr>
        <w:tabs>
          <w:tab w:val="left" w:pos="709"/>
          <w:tab w:val="left" w:pos="1134"/>
        </w:tabs>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D2032B" w:rsidRDefault="00D2032B" w:rsidP="002D587B">
      <w:pPr>
        <w:spacing w:after="0" w:line="360" w:lineRule="auto"/>
        <w:jc w:val="both"/>
        <w:rPr>
          <w:rFonts w:ascii="Times New Roman" w:hAnsi="Times New Roman" w:cs="Times New Roman"/>
          <w:sz w:val="24"/>
        </w:rPr>
      </w:pPr>
    </w:p>
    <w:p w:rsidR="00261685" w:rsidRPr="00D02E01" w:rsidRDefault="00286D15" w:rsidP="002D587B">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sectPr w:rsidR="00261685" w:rsidRPr="00D02E0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52A" w:rsidRDefault="00C2352A" w:rsidP="007461D8">
      <w:pPr>
        <w:spacing w:after="0" w:line="240" w:lineRule="auto"/>
      </w:pPr>
      <w:r>
        <w:separator/>
      </w:r>
    </w:p>
  </w:endnote>
  <w:endnote w:type="continuationSeparator" w:id="0">
    <w:p w:rsidR="00C2352A" w:rsidRDefault="00C2352A" w:rsidP="007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52A" w:rsidRDefault="00C2352A" w:rsidP="007461D8">
      <w:pPr>
        <w:spacing w:after="0" w:line="240" w:lineRule="auto"/>
      </w:pPr>
      <w:r>
        <w:separator/>
      </w:r>
    </w:p>
  </w:footnote>
  <w:footnote w:type="continuationSeparator" w:id="0">
    <w:p w:rsidR="00C2352A" w:rsidRDefault="00C2352A" w:rsidP="007461D8">
      <w:pPr>
        <w:spacing w:after="0" w:line="240" w:lineRule="auto"/>
      </w:pPr>
      <w:r>
        <w:continuationSeparator/>
      </w:r>
    </w:p>
  </w:footnote>
  <w:footnote w:id="1">
    <w:p w:rsidR="009E30DF" w:rsidRDefault="009E30DF">
      <w:pPr>
        <w:pStyle w:val="FootnoteText"/>
      </w:pPr>
      <w:r>
        <w:rPr>
          <w:rStyle w:val="FootnoteReference"/>
        </w:rPr>
        <w:footnoteRef/>
      </w:r>
      <w:r>
        <w:t xml:space="preserve"> HMA 16/20</w:t>
      </w:r>
    </w:p>
  </w:footnote>
  <w:footnote w:id="2">
    <w:p w:rsidR="006C419C" w:rsidRDefault="006C419C">
      <w:pPr>
        <w:pStyle w:val="FootnoteText"/>
      </w:pPr>
      <w:r>
        <w:rPr>
          <w:rStyle w:val="FootnoteReference"/>
        </w:rPr>
        <w:footnoteRef/>
      </w:r>
      <w:r>
        <w:t xml:space="preserve"> 1997 (1) ZLR 254(S) </w:t>
      </w:r>
    </w:p>
  </w:footnote>
  <w:footnote w:id="3">
    <w:p w:rsidR="000A5CC6" w:rsidRDefault="000A5CC6">
      <w:pPr>
        <w:pStyle w:val="FootnoteText"/>
      </w:pPr>
      <w:r>
        <w:rPr>
          <w:rStyle w:val="FootnoteReference"/>
        </w:rPr>
        <w:footnoteRef/>
      </w:r>
      <w:r>
        <w:t xml:space="preserve"> 1988 (1) ZLR 53 (SC)</w:t>
      </w:r>
    </w:p>
  </w:footnote>
  <w:footnote w:id="4">
    <w:p w:rsidR="00B55A17" w:rsidRDefault="00B55A17">
      <w:pPr>
        <w:pStyle w:val="FootnoteText"/>
      </w:pPr>
      <w:r>
        <w:rPr>
          <w:rStyle w:val="FootnoteReference"/>
        </w:rPr>
        <w:footnoteRef/>
      </w:r>
      <w:r>
        <w:t xml:space="preserve"> Friendship V Cargo Carriers Ltd +1 SC 1/13</w:t>
      </w:r>
    </w:p>
  </w:footnote>
  <w:footnote w:id="5">
    <w:p w:rsidR="00D04B75" w:rsidRDefault="00D04B75">
      <w:pPr>
        <w:pStyle w:val="FootnoteText"/>
      </w:pPr>
      <w:r>
        <w:rPr>
          <w:rStyle w:val="FootnoteReference"/>
        </w:rPr>
        <w:footnoteRef/>
      </w:r>
      <w:r>
        <w:t xml:space="preserve"> </w:t>
      </w:r>
      <w:r w:rsidR="00EB71AD">
        <w:t xml:space="preserve">De </w:t>
      </w:r>
      <w:proofErr w:type="spellStart"/>
      <w:r w:rsidR="00EB71AD">
        <w:t>Kuszabas</w:t>
      </w:r>
      <w:proofErr w:type="spellEnd"/>
      <w:r w:rsidR="00EB71AD">
        <w:t xml:space="preserve"> – </w:t>
      </w:r>
      <w:proofErr w:type="spellStart"/>
      <w:r w:rsidR="00EB71AD">
        <w:t>Dabrowski</w:t>
      </w:r>
      <w:proofErr w:type="spellEnd"/>
      <w:r w:rsidR="00EB71AD">
        <w:t xml:space="preserve"> and Another V Steel N. O 1966 RLR </w:t>
      </w:r>
    </w:p>
  </w:footnote>
  <w:footnote w:id="6">
    <w:p w:rsidR="00C145F7" w:rsidRDefault="00C145F7">
      <w:pPr>
        <w:pStyle w:val="FootnoteText"/>
      </w:pPr>
      <w:r>
        <w:rPr>
          <w:rStyle w:val="FootnoteReference"/>
        </w:rPr>
        <w:footnoteRef/>
      </w:r>
      <w:r>
        <w:t xml:space="preserve"> United Plant Hire (Pty) v Hills and </w:t>
      </w:r>
      <w:proofErr w:type="spellStart"/>
      <w:r>
        <w:t>Ors</w:t>
      </w:r>
      <w:proofErr w:type="spellEnd"/>
      <w:r>
        <w:t xml:space="preserve"> 1976 (1) SA 717 (A) at g720 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9013"/>
      <w:docPartObj>
        <w:docPartGallery w:val="Page Numbers (Top of Page)"/>
        <w:docPartUnique/>
      </w:docPartObj>
    </w:sdtPr>
    <w:sdtEndPr>
      <w:rPr>
        <w:noProof/>
      </w:rPr>
    </w:sdtEndPr>
    <w:sdtContent>
      <w:p w:rsidR="00DA34C2" w:rsidRDefault="00DA34C2">
        <w:pPr>
          <w:pStyle w:val="Header"/>
          <w:jc w:val="right"/>
          <w:rPr>
            <w:noProof/>
          </w:rPr>
        </w:pPr>
        <w:r>
          <w:fldChar w:fldCharType="begin"/>
        </w:r>
        <w:r>
          <w:instrText xml:space="preserve"> PAGE   \* MERGEFORMAT </w:instrText>
        </w:r>
        <w:r>
          <w:fldChar w:fldCharType="separate"/>
        </w:r>
        <w:r w:rsidR="00794753">
          <w:rPr>
            <w:noProof/>
          </w:rPr>
          <w:t>1</w:t>
        </w:r>
        <w:r>
          <w:rPr>
            <w:noProof/>
          </w:rPr>
          <w:fldChar w:fldCharType="end"/>
        </w:r>
      </w:p>
      <w:p w:rsidR="00417CF1" w:rsidRDefault="00417CF1">
        <w:pPr>
          <w:pStyle w:val="Header"/>
          <w:jc w:val="right"/>
          <w:rPr>
            <w:noProof/>
          </w:rPr>
        </w:pPr>
        <w:r>
          <w:rPr>
            <w:noProof/>
          </w:rPr>
          <w:t>HMT</w:t>
        </w:r>
        <w:r w:rsidR="00794753">
          <w:rPr>
            <w:noProof/>
          </w:rPr>
          <w:t xml:space="preserve"> 13-22</w:t>
        </w:r>
      </w:p>
      <w:p w:rsidR="00417CF1" w:rsidRDefault="009669D5">
        <w:pPr>
          <w:pStyle w:val="Header"/>
          <w:jc w:val="right"/>
          <w:rPr>
            <w:noProof/>
          </w:rPr>
        </w:pPr>
        <w:r>
          <w:rPr>
            <w:noProof/>
          </w:rPr>
          <w:t>HC 259/20</w:t>
        </w:r>
      </w:p>
      <w:p w:rsidR="00DA34C2" w:rsidRDefault="00C2352A">
        <w:pPr>
          <w:pStyle w:val="Header"/>
          <w:jc w:val="right"/>
        </w:pPr>
      </w:p>
    </w:sdtContent>
  </w:sdt>
  <w:p w:rsidR="00DA34C2" w:rsidRDefault="00DA34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7C50"/>
    <w:multiLevelType w:val="hybridMultilevel"/>
    <w:tmpl w:val="DE8C5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A82C26"/>
    <w:multiLevelType w:val="hybridMultilevel"/>
    <w:tmpl w:val="F50C68E4"/>
    <w:lvl w:ilvl="0" w:tplc="30090017">
      <w:start w:val="1"/>
      <w:numFmt w:val="lowerLetter"/>
      <w:lvlText w:val="%1)"/>
      <w:lvlJc w:val="left"/>
      <w:pPr>
        <w:ind w:left="1500" w:hanging="360"/>
      </w:pPr>
    </w:lvl>
    <w:lvl w:ilvl="1" w:tplc="30090019">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2" w15:restartNumberingAfterBreak="0">
    <w:nsid w:val="1E816EE7"/>
    <w:multiLevelType w:val="hybridMultilevel"/>
    <w:tmpl w:val="C6844798"/>
    <w:lvl w:ilvl="0" w:tplc="3009000F">
      <w:start w:val="1"/>
      <w:numFmt w:val="decimal"/>
      <w:lvlText w:val="%1."/>
      <w:lvlJc w:val="left"/>
      <w:pPr>
        <w:ind w:left="1680" w:hanging="360"/>
      </w:p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3" w15:restartNumberingAfterBreak="0">
    <w:nsid w:val="38472840"/>
    <w:multiLevelType w:val="hybridMultilevel"/>
    <w:tmpl w:val="B04CCBA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2BD3E9C"/>
    <w:multiLevelType w:val="hybridMultilevel"/>
    <w:tmpl w:val="CAA6E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03858D0"/>
    <w:multiLevelType w:val="hybridMultilevel"/>
    <w:tmpl w:val="DA76835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7387EE0"/>
    <w:multiLevelType w:val="hybridMultilevel"/>
    <w:tmpl w:val="56F217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2D"/>
    <w:rsid w:val="000006E7"/>
    <w:rsid w:val="00007E1F"/>
    <w:rsid w:val="000147E0"/>
    <w:rsid w:val="00033749"/>
    <w:rsid w:val="0003672D"/>
    <w:rsid w:val="00043E59"/>
    <w:rsid w:val="00050143"/>
    <w:rsid w:val="00056B90"/>
    <w:rsid w:val="0006634D"/>
    <w:rsid w:val="000754A5"/>
    <w:rsid w:val="000A5CC6"/>
    <w:rsid w:val="000B105B"/>
    <w:rsid w:val="000C0B5A"/>
    <w:rsid w:val="000C17F1"/>
    <w:rsid w:val="000C67C7"/>
    <w:rsid w:val="000E12F5"/>
    <w:rsid w:val="000E773E"/>
    <w:rsid w:val="000F5673"/>
    <w:rsid w:val="000F5A65"/>
    <w:rsid w:val="00104484"/>
    <w:rsid w:val="0014603A"/>
    <w:rsid w:val="001514B2"/>
    <w:rsid w:val="001530A1"/>
    <w:rsid w:val="00156EC1"/>
    <w:rsid w:val="00164AD7"/>
    <w:rsid w:val="001675F6"/>
    <w:rsid w:val="001675FA"/>
    <w:rsid w:val="00170C35"/>
    <w:rsid w:val="00172DBF"/>
    <w:rsid w:val="00190272"/>
    <w:rsid w:val="0019165C"/>
    <w:rsid w:val="00195F77"/>
    <w:rsid w:val="00196C10"/>
    <w:rsid w:val="001A6B24"/>
    <w:rsid w:val="001C0644"/>
    <w:rsid w:val="001D564E"/>
    <w:rsid w:val="00202B3F"/>
    <w:rsid w:val="002107C5"/>
    <w:rsid w:val="00216BF3"/>
    <w:rsid w:val="00224332"/>
    <w:rsid w:val="00261685"/>
    <w:rsid w:val="00265A82"/>
    <w:rsid w:val="0026703F"/>
    <w:rsid w:val="00273B07"/>
    <w:rsid w:val="00277DE1"/>
    <w:rsid w:val="00284022"/>
    <w:rsid w:val="0028423C"/>
    <w:rsid w:val="00286998"/>
    <w:rsid w:val="00286D15"/>
    <w:rsid w:val="002A76E6"/>
    <w:rsid w:val="002B0A37"/>
    <w:rsid w:val="002C5358"/>
    <w:rsid w:val="002D5835"/>
    <w:rsid w:val="002D587B"/>
    <w:rsid w:val="002D7480"/>
    <w:rsid w:val="002F2E15"/>
    <w:rsid w:val="00306490"/>
    <w:rsid w:val="00314D52"/>
    <w:rsid w:val="003456A0"/>
    <w:rsid w:val="00363C75"/>
    <w:rsid w:val="003861AE"/>
    <w:rsid w:val="003A2507"/>
    <w:rsid w:val="003B5793"/>
    <w:rsid w:val="003B5B3D"/>
    <w:rsid w:val="003D6A70"/>
    <w:rsid w:val="003F488C"/>
    <w:rsid w:val="00403C46"/>
    <w:rsid w:val="00407E19"/>
    <w:rsid w:val="00417CF1"/>
    <w:rsid w:val="00420260"/>
    <w:rsid w:val="0042789C"/>
    <w:rsid w:val="00436EBE"/>
    <w:rsid w:val="00460DAD"/>
    <w:rsid w:val="004635B1"/>
    <w:rsid w:val="00486902"/>
    <w:rsid w:val="00487994"/>
    <w:rsid w:val="00487C47"/>
    <w:rsid w:val="00490DEF"/>
    <w:rsid w:val="004A71ED"/>
    <w:rsid w:val="004B2448"/>
    <w:rsid w:val="004C108F"/>
    <w:rsid w:val="004D080E"/>
    <w:rsid w:val="004D74C3"/>
    <w:rsid w:val="005025D0"/>
    <w:rsid w:val="00512F1F"/>
    <w:rsid w:val="00535EF2"/>
    <w:rsid w:val="005371CA"/>
    <w:rsid w:val="00546AD1"/>
    <w:rsid w:val="005513FC"/>
    <w:rsid w:val="005602C5"/>
    <w:rsid w:val="00565704"/>
    <w:rsid w:val="00585B81"/>
    <w:rsid w:val="005A627C"/>
    <w:rsid w:val="005D439C"/>
    <w:rsid w:val="005E1AEF"/>
    <w:rsid w:val="005E6FE4"/>
    <w:rsid w:val="005F4DAF"/>
    <w:rsid w:val="005F6E5C"/>
    <w:rsid w:val="00604B14"/>
    <w:rsid w:val="00621330"/>
    <w:rsid w:val="00634334"/>
    <w:rsid w:val="006358B9"/>
    <w:rsid w:val="00635E9C"/>
    <w:rsid w:val="006365EB"/>
    <w:rsid w:val="006372B9"/>
    <w:rsid w:val="00647C95"/>
    <w:rsid w:val="00672F9B"/>
    <w:rsid w:val="006830FD"/>
    <w:rsid w:val="006929F3"/>
    <w:rsid w:val="006A2BEE"/>
    <w:rsid w:val="006C407B"/>
    <w:rsid w:val="006C419C"/>
    <w:rsid w:val="006D2CFE"/>
    <w:rsid w:val="006F0A40"/>
    <w:rsid w:val="0070599B"/>
    <w:rsid w:val="00730635"/>
    <w:rsid w:val="007405C4"/>
    <w:rsid w:val="007461D8"/>
    <w:rsid w:val="0076636A"/>
    <w:rsid w:val="00777E71"/>
    <w:rsid w:val="007832FB"/>
    <w:rsid w:val="007872D5"/>
    <w:rsid w:val="00792D53"/>
    <w:rsid w:val="0079360D"/>
    <w:rsid w:val="00794753"/>
    <w:rsid w:val="007C71D5"/>
    <w:rsid w:val="007D03AD"/>
    <w:rsid w:val="007D4B60"/>
    <w:rsid w:val="007D56AB"/>
    <w:rsid w:val="007F033F"/>
    <w:rsid w:val="00801F30"/>
    <w:rsid w:val="00816A7D"/>
    <w:rsid w:val="0082440B"/>
    <w:rsid w:val="00824CF2"/>
    <w:rsid w:val="00832BD8"/>
    <w:rsid w:val="00837315"/>
    <w:rsid w:val="00865E99"/>
    <w:rsid w:val="00874354"/>
    <w:rsid w:val="00881BE5"/>
    <w:rsid w:val="00893E2A"/>
    <w:rsid w:val="008A62F0"/>
    <w:rsid w:val="008D6152"/>
    <w:rsid w:val="008E6BC2"/>
    <w:rsid w:val="00917313"/>
    <w:rsid w:val="00924EA5"/>
    <w:rsid w:val="009333F2"/>
    <w:rsid w:val="009348EF"/>
    <w:rsid w:val="0094651C"/>
    <w:rsid w:val="00947F4D"/>
    <w:rsid w:val="009600D6"/>
    <w:rsid w:val="009644A8"/>
    <w:rsid w:val="009669D5"/>
    <w:rsid w:val="00967702"/>
    <w:rsid w:val="00982A35"/>
    <w:rsid w:val="009B1821"/>
    <w:rsid w:val="009C51DA"/>
    <w:rsid w:val="009D1ECD"/>
    <w:rsid w:val="009E1FAD"/>
    <w:rsid w:val="009E302D"/>
    <w:rsid w:val="009E30DF"/>
    <w:rsid w:val="00A030F5"/>
    <w:rsid w:val="00A068F7"/>
    <w:rsid w:val="00A21E8E"/>
    <w:rsid w:val="00A52108"/>
    <w:rsid w:val="00A61038"/>
    <w:rsid w:val="00A67F08"/>
    <w:rsid w:val="00AC4718"/>
    <w:rsid w:val="00AE527C"/>
    <w:rsid w:val="00AF65D2"/>
    <w:rsid w:val="00B11965"/>
    <w:rsid w:val="00B159B0"/>
    <w:rsid w:val="00B1621B"/>
    <w:rsid w:val="00B305D4"/>
    <w:rsid w:val="00B55A17"/>
    <w:rsid w:val="00B67879"/>
    <w:rsid w:val="00B9207D"/>
    <w:rsid w:val="00BA3FFE"/>
    <w:rsid w:val="00BB36E1"/>
    <w:rsid w:val="00BC4A86"/>
    <w:rsid w:val="00BE3949"/>
    <w:rsid w:val="00BF043B"/>
    <w:rsid w:val="00BF5C4B"/>
    <w:rsid w:val="00C04291"/>
    <w:rsid w:val="00C06E4E"/>
    <w:rsid w:val="00C145F7"/>
    <w:rsid w:val="00C2352A"/>
    <w:rsid w:val="00C42810"/>
    <w:rsid w:val="00C4594E"/>
    <w:rsid w:val="00C56EE3"/>
    <w:rsid w:val="00C6445A"/>
    <w:rsid w:val="00C650C0"/>
    <w:rsid w:val="00C66BB4"/>
    <w:rsid w:val="00C857E6"/>
    <w:rsid w:val="00C9314E"/>
    <w:rsid w:val="00CB53C7"/>
    <w:rsid w:val="00CC2E73"/>
    <w:rsid w:val="00CC6C14"/>
    <w:rsid w:val="00CD24B2"/>
    <w:rsid w:val="00CD6E19"/>
    <w:rsid w:val="00D02E01"/>
    <w:rsid w:val="00D04B75"/>
    <w:rsid w:val="00D13559"/>
    <w:rsid w:val="00D1612B"/>
    <w:rsid w:val="00D202D0"/>
    <w:rsid w:val="00D2032B"/>
    <w:rsid w:val="00D22C2A"/>
    <w:rsid w:val="00D331A5"/>
    <w:rsid w:val="00D36B53"/>
    <w:rsid w:val="00D4375D"/>
    <w:rsid w:val="00D5579F"/>
    <w:rsid w:val="00D562A8"/>
    <w:rsid w:val="00D61E5E"/>
    <w:rsid w:val="00D61FD9"/>
    <w:rsid w:val="00D70FFB"/>
    <w:rsid w:val="00D7542D"/>
    <w:rsid w:val="00D90FDC"/>
    <w:rsid w:val="00DA0978"/>
    <w:rsid w:val="00DA0F07"/>
    <w:rsid w:val="00DA173B"/>
    <w:rsid w:val="00DA34C2"/>
    <w:rsid w:val="00DB408C"/>
    <w:rsid w:val="00DB56D6"/>
    <w:rsid w:val="00DB7335"/>
    <w:rsid w:val="00DD1A77"/>
    <w:rsid w:val="00DD4D2B"/>
    <w:rsid w:val="00DF1686"/>
    <w:rsid w:val="00DF7EA0"/>
    <w:rsid w:val="00E01DE9"/>
    <w:rsid w:val="00E02CDE"/>
    <w:rsid w:val="00E1656F"/>
    <w:rsid w:val="00E22DA2"/>
    <w:rsid w:val="00E309EF"/>
    <w:rsid w:val="00E40544"/>
    <w:rsid w:val="00E42C81"/>
    <w:rsid w:val="00E44DD7"/>
    <w:rsid w:val="00E45688"/>
    <w:rsid w:val="00E47D05"/>
    <w:rsid w:val="00E55BBF"/>
    <w:rsid w:val="00E55C13"/>
    <w:rsid w:val="00E648DC"/>
    <w:rsid w:val="00E728D1"/>
    <w:rsid w:val="00E842A7"/>
    <w:rsid w:val="00EB45CD"/>
    <w:rsid w:val="00EB71AD"/>
    <w:rsid w:val="00EE1FD7"/>
    <w:rsid w:val="00EE3DFA"/>
    <w:rsid w:val="00EF30F5"/>
    <w:rsid w:val="00F00900"/>
    <w:rsid w:val="00F1161D"/>
    <w:rsid w:val="00F148C8"/>
    <w:rsid w:val="00F1558A"/>
    <w:rsid w:val="00F20979"/>
    <w:rsid w:val="00F221C6"/>
    <w:rsid w:val="00F32C1C"/>
    <w:rsid w:val="00F33975"/>
    <w:rsid w:val="00F569ED"/>
    <w:rsid w:val="00F8010E"/>
    <w:rsid w:val="00F821E5"/>
    <w:rsid w:val="00F87B60"/>
    <w:rsid w:val="00FA10E7"/>
    <w:rsid w:val="00FA5D54"/>
    <w:rsid w:val="00FB2206"/>
    <w:rsid w:val="00FC0099"/>
    <w:rsid w:val="00FD1352"/>
    <w:rsid w:val="00FE2861"/>
    <w:rsid w:val="00FE4D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51761A-EF78-4920-BDB0-EFC61B87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D8"/>
  </w:style>
  <w:style w:type="paragraph" w:styleId="Footer">
    <w:name w:val="footer"/>
    <w:basedOn w:val="Normal"/>
    <w:link w:val="FooterChar"/>
    <w:uiPriority w:val="99"/>
    <w:unhideWhenUsed/>
    <w:rsid w:val="0074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D8"/>
  </w:style>
  <w:style w:type="paragraph" w:styleId="ListParagraph">
    <w:name w:val="List Paragraph"/>
    <w:basedOn w:val="Normal"/>
    <w:uiPriority w:val="34"/>
    <w:qFormat/>
    <w:rsid w:val="007872D5"/>
    <w:pPr>
      <w:ind w:left="720"/>
      <w:contextualSpacing/>
    </w:pPr>
  </w:style>
  <w:style w:type="paragraph" w:styleId="FootnoteText">
    <w:name w:val="footnote text"/>
    <w:basedOn w:val="Normal"/>
    <w:link w:val="FootnoteTextChar"/>
    <w:uiPriority w:val="99"/>
    <w:semiHidden/>
    <w:unhideWhenUsed/>
    <w:rsid w:val="00801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F30"/>
    <w:rPr>
      <w:sz w:val="20"/>
      <w:szCs w:val="20"/>
    </w:rPr>
  </w:style>
  <w:style w:type="character" w:styleId="FootnoteReference">
    <w:name w:val="footnote reference"/>
    <w:basedOn w:val="DefaultParagraphFont"/>
    <w:uiPriority w:val="99"/>
    <w:semiHidden/>
    <w:unhideWhenUsed/>
    <w:rsid w:val="00801F30"/>
    <w:rPr>
      <w:vertAlign w:val="superscript"/>
    </w:rPr>
  </w:style>
  <w:style w:type="paragraph" w:styleId="BalloonText">
    <w:name w:val="Balloon Text"/>
    <w:basedOn w:val="Normal"/>
    <w:link w:val="BalloonTextChar"/>
    <w:uiPriority w:val="99"/>
    <w:semiHidden/>
    <w:unhideWhenUsed/>
    <w:rsid w:val="00D3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2BD20-9E96-4E21-A5C5-6512A61B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94</cp:revision>
  <cp:lastPrinted>2022-03-17T08:36:00Z</cp:lastPrinted>
  <dcterms:created xsi:type="dcterms:W3CDTF">2022-03-09T09:17:00Z</dcterms:created>
  <dcterms:modified xsi:type="dcterms:W3CDTF">2022-03-17T12:22:00Z</dcterms:modified>
</cp:coreProperties>
</file>