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E91" w:rsidRDefault="00EC00FA">
      <w:pPr>
        <w:spacing w:after="0" w:line="240" w:lineRule="auto"/>
        <w:jc w:val="both"/>
        <w:rPr>
          <w:rFonts w:ascii="Times New Roman" w:hAnsi="Times New Roman" w:cs="Times New Roman"/>
          <w:sz w:val="24"/>
          <w:szCs w:val="24"/>
        </w:rPr>
      </w:pPr>
      <w:bookmarkStart w:id="0" w:name="_Hlk198727269"/>
      <w:bookmarkStart w:id="1" w:name="_GoBack"/>
      <w:bookmarkEnd w:id="1"/>
      <w:r>
        <w:rPr>
          <w:rFonts w:ascii="Times New Roman" w:hAnsi="Times New Roman" w:cs="Times New Roman"/>
          <w:sz w:val="24"/>
          <w:szCs w:val="24"/>
        </w:rPr>
        <w:t xml:space="preserve">PRESBYTERY OF ZIMBABWE OF THE UNITING PRESBYTERIAN CHURCH IN SOUTHERN AFRICA </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PRESBYTERY OF ZIMBABWE EDUCATION TRUST </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REVEREND PAUL NESHANGWE </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REVEREND WILBERT RUNYARARO SAYIMANI </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FRED MATTHEW CHIGWIDA </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SIMISO MTSHANE KHUMALO </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GILBERT MATIKA </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VUSUMUZI ROBERT SINYOKA </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JONATHAN MOYO </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REGISTRAR OF DEEDS </w:t>
      </w:r>
    </w:p>
    <w:p w:rsidR="00B27E91" w:rsidRDefault="00B27E91">
      <w:pPr>
        <w:jc w:val="both"/>
        <w:rPr>
          <w:rFonts w:ascii="Times New Roman" w:hAnsi="Times New Roman" w:cs="Times New Roman"/>
          <w:sz w:val="24"/>
          <w:szCs w:val="24"/>
        </w:rPr>
      </w:pP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B27E91" w:rsidRDefault="00EC00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MUSHURE J </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13-17 &amp; 27- 31 January; 31 March; 1-4 April; 8 May &amp; 2</w:t>
      </w:r>
      <w:r>
        <w:rPr>
          <w:rFonts w:ascii="Times New Roman" w:hAnsi="Times New Roman" w:cs="Times New Roman"/>
          <w:sz w:val="24"/>
          <w:szCs w:val="24"/>
          <w:lang w:val="en-US"/>
        </w:rPr>
        <w:t>1</w:t>
      </w:r>
      <w:r>
        <w:rPr>
          <w:rFonts w:ascii="Times New Roman" w:hAnsi="Times New Roman" w:cs="Times New Roman"/>
          <w:sz w:val="24"/>
          <w:szCs w:val="24"/>
        </w:rPr>
        <w:t xml:space="preserve"> August 2025</w:t>
      </w:r>
    </w:p>
    <w:p w:rsidR="00B27E91" w:rsidRDefault="00B27E91">
      <w:pPr>
        <w:jc w:val="both"/>
        <w:rPr>
          <w:rFonts w:ascii="Times New Roman" w:hAnsi="Times New Roman" w:cs="Times New Roman"/>
          <w:sz w:val="24"/>
          <w:szCs w:val="24"/>
        </w:rPr>
      </w:pPr>
    </w:p>
    <w:p w:rsidR="00B27E91" w:rsidRDefault="00EC00FA">
      <w:pPr>
        <w:jc w:val="both"/>
        <w:rPr>
          <w:rFonts w:ascii="Times New Roman" w:hAnsi="Times New Roman" w:cs="Times New Roman"/>
          <w:b/>
          <w:sz w:val="24"/>
          <w:szCs w:val="24"/>
        </w:rPr>
      </w:pPr>
      <w:r>
        <w:rPr>
          <w:rFonts w:ascii="Times New Roman" w:hAnsi="Times New Roman" w:cs="Times New Roman"/>
          <w:b/>
          <w:sz w:val="24"/>
          <w:szCs w:val="24"/>
        </w:rPr>
        <w:t xml:space="preserve">Absolution from the </w:t>
      </w:r>
      <w:r>
        <w:rPr>
          <w:rFonts w:ascii="Times New Roman" w:hAnsi="Times New Roman" w:cs="Times New Roman"/>
          <w:b/>
          <w:sz w:val="24"/>
          <w:szCs w:val="24"/>
        </w:rPr>
        <w:t xml:space="preserve">instance </w:t>
      </w:r>
    </w:p>
    <w:p w:rsidR="00B27E91" w:rsidRDefault="00B27E91">
      <w:pPr>
        <w:spacing w:after="0" w:line="240" w:lineRule="auto"/>
        <w:jc w:val="both"/>
        <w:rPr>
          <w:rFonts w:ascii="Times New Roman" w:hAnsi="Times New Roman" w:cs="Times New Roman"/>
          <w:sz w:val="24"/>
          <w:szCs w:val="24"/>
        </w:rPr>
      </w:pP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Biti</w:t>
      </w:r>
      <w:r>
        <w:rPr>
          <w:rFonts w:ascii="Times New Roman" w:hAnsi="Times New Roman" w:cs="Times New Roman"/>
          <w:sz w:val="24"/>
          <w:szCs w:val="24"/>
        </w:rPr>
        <w:t xml:space="preserve"> for the plaintiff </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 Tshuma </w:t>
      </w:r>
      <w:r>
        <w:rPr>
          <w:rFonts w:ascii="Times New Roman" w:hAnsi="Times New Roman" w:cs="Times New Roman"/>
          <w:iCs/>
          <w:sz w:val="24"/>
          <w:szCs w:val="24"/>
        </w:rPr>
        <w:t>&amp;</w:t>
      </w:r>
      <w:r>
        <w:rPr>
          <w:rFonts w:ascii="Times New Roman" w:hAnsi="Times New Roman" w:cs="Times New Roman"/>
          <w:i/>
          <w:sz w:val="24"/>
          <w:szCs w:val="24"/>
        </w:rPr>
        <w:t xml:space="preserve"> K. Mpofu</w:t>
      </w:r>
      <w:r>
        <w:rPr>
          <w:rFonts w:ascii="Times New Roman" w:hAnsi="Times New Roman" w:cs="Times New Roman"/>
          <w:sz w:val="24"/>
          <w:szCs w:val="24"/>
        </w:rPr>
        <w:t xml:space="preserve"> for the first and the fourth to the eighth defendants </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for the second, third and ninth defendants </w:t>
      </w:r>
    </w:p>
    <w:p w:rsidR="00B27E91" w:rsidRDefault="00B27E91">
      <w:pPr>
        <w:jc w:val="both"/>
        <w:rPr>
          <w:rFonts w:ascii="Times New Roman" w:hAnsi="Times New Roman" w:cs="Times New Roman"/>
          <w:sz w:val="24"/>
          <w:szCs w:val="24"/>
        </w:rPr>
      </w:pPr>
    </w:p>
    <w:p w:rsidR="00B27E91" w:rsidRDefault="00EC00FA">
      <w:pPr>
        <w:ind w:firstLine="720"/>
        <w:jc w:val="both"/>
        <w:rPr>
          <w:rFonts w:ascii="Times New Roman" w:hAnsi="Times New Roman" w:cs="Times New Roman"/>
          <w:sz w:val="24"/>
          <w:szCs w:val="24"/>
        </w:rPr>
      </w:pPr>
      <w:r>
        <w:rPr>
          <w:rFonts w:ascii="Times New Roman" w:hAnsi="Times New Roman" w:cs="Times New Roman"/>
          <w:sz w:val="24"/>
          <w:szCs w:val="24"/>
        </w:rPr>
        <w:t xml:space="preserve">MUSHURE J: </w:t>
      </w:r>
    </w:p>
    <w:p w:rsidR="00B27E91" w:rsidRDefault="00EC00FA">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INTRODUCTION </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This is an application for absolution from the instance. The application is made in terms of r 56(6) of the High Court Rules, 2021 (‘the Rules’). </w:t>
      </w:r>
    </w:p>
    <w:p w:rsidR="00B27E91" w:rsidRDefault="00EC00FA">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BACKGROUND</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The plaintiff is a duly constituted corporate body. It is constituted by its constitution, known a</w:t>
      </w:r>
      <w:r>
        <w:rPr>
          <w:rFonts w:ascii="Times New Roman" w:hAnsi="Times New Roman" w:cs="Times New Roman"/>
          <w:sz w:val="24"/>
          <w:szCs w:val="24"/>
        </w:rPr>
        <w:t>s the Manual of Faith and Order (“the Manual”). The first defendant (“the Trust”) is a trust, which, it is claimed, was registered twice with the Registrar of Deeds deed of trust no. MA25/2010. The Trust is in charge of running the plaintiff’s schools. The</w:t>
      </w:r>
      <w:r>
        <w:rPr>
          <w:rFonts w:ascii="Times New Roman" w:hAnsi="Times New Roman" w:cs="Times New Roman"/>
          <w:sz w:val="24"/>
          <w:szCs w:val="24"/>
        </w:rPr>
        <w:t xml:space="preserve"> second </w:t>
      </w:r>
      <w:r>
        <w:rPr>
          <w:rFonts w:ascii="Times New Roman" w:hAnsi="Times New Roman" w:cs="Times New Roman"/>
          <w:sz w:val="24"/>
          <w:szCs w:val="24"/>
        </w:rPr>
        <w:lastRenderedPageBreak/>
        <w:t>and third defendants are former Moderators of the plaintiff. The plaintiff’s Moderators are akin to Bishops of a church. The fourth to seventh defendants are trustees of the first defendant and are cited in their official capacity as such. The eigh</w:t>
      </w:r>
      <w:r>
        <w:rPr>
          <w:rFonts w:ascii="Times New Roman" w:hAnsi="Times New Roman" w:cs="Times New Roman"/>
          <w:sz w:val="24"/>
          <w:szCs w:val="24"/>
        </w:rPr>
        <w:t xml:space="preserve">th defendant is a legal practitioner and a notary public. The ninth defendant is the Registrar of Deeds.  </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The plaintiff claims that the third to the seventh defendants and one, Martin Young, who is now late, appeared before the eighth defendant in his cap</w:t>
      </w:r>
      <w:r>
        <w:rPr>
          <w:rFonts w:ascii="Times New Roman" w:hAnsi="Times New Roman" w:cs="Times New Roman"/>
          <w:sz w:val="24"/>
          <w:szCs w:val="24"/>
        </w:rPr>
        <w:t>acity as a notary public to register the deed of trust MA25/10. On 9 March 2010, the ninth defendant registered the first defendant as a Trust under No. 25/2010. That deed of trust indicates that the third defendant is the founder and creator of the Trust,</w:t>
      </w:r>
      <w:r>
        <w:rPr>
          <w:rFonts w:ascii="Times New Roman" w:hAnsi="Times New Roman" w:cs="Times New Roman"/>
          <w:sz w:val="24"/>
          <w:szCs w:val="24"/>
        </w:rPr>
        <w:t xml:space="preserve"> and that the fourth to the seventh defendants and Martin Young were appointed as trustees of the first defendant. </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The plaintiff also claims that on 24 July 2008, the third defendant appeared before the eighth defendant in his capacity as a notary public,</w:t>
      </w:r>
      <w:r>
        <w:rPr>
          <w:rFonts w:ascii="Times New Roman" w:hAnsi="Times New Roman" w:cs="Times New Roman"/>
          <w:sz w:val="24"/>
          <w:szCs w:val="24"/>
        </w:rPr>
        <w:t xml:space="preserve"> together with the third to the seventh defendants and Martin Young, and registered the Trust in the name of the first defendant. This Trust, it is alleged, was also registered on 9 March 2010 under MA25/2010. In terms of the trust deed, the second defenda</w:t>
      </w:r>
      <w:r>
        <w:rPr>
          <w:rFonts w:ascii="Times New Roman" w:hAnsi="Times New Roman" w:cs="Times New Roman"/>
          <w:sz w:val="24"/>
          <w:szCs w:val="24"/>
        </w:rPr>
        <w:t>nt is the founder and creator of the Trust, and he appointed the fourth to eighth defendants, together with Martin Young, as its trustees. In the result, there are purportedly two deeds of trust creating the first defendant namely deed of trust A, being th</w:t>
      </w:r>
      <w:r>
        <w:rPr>
          <w:rFonts w:ascii="Times New Roman" w:hAnsi="Times New Roman" w:cs="Times New Roman"/>
          <w:sz w:val="24"/>
          <w:szCs w:val="24"/>
        </w:rPr>
        <w:t xml:space="preserve">e deed of trust wherein the founder is the third defendant, Reverend Sayimani and deed of trust B, being the deed of trust wherein the second defendant, Reverend Neshangwe, is the founder of the Trust. </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The plaintiff asserts that the deeds of trust are a n</w:t>
      </w:r>
      <w:r>
        <w:rPr>
          <w:rFonts w:ascii="Times New Roman" w:hAnsi="Times New Roman" w:cs="Times New Roman"/>
          <w:sz w:val="24"/>
          <w:szCs w:val="24"/>
        </w:rPr>
        <w:t>ullity and seeks to have them set aside. It questions the procedure adopted in registering the deeds, especially that firstly, neither the second nor the third defendant had the authority to establish the Trust as they purportedly did. Secondly, that the t</w:t>
      </w:r>
      <w:r>
        <w:rPr>
          <w:rFonts w:ascii="Times New Roman" w:hAnsi="Times New Roman" w:cs="Times New Roman"/>
          <w:sz w:val="24"/>
          <w:szCs w:val="24"/>
        </w:rPr>
        <w:t xml:space="preserve">rustees did not appear before a notary public to execute the trust deeds. Thirdly, that the two founders, namely the second and the third defendants, could not create a single Trust using two different trust deeds. Fourthly, that the Trust does not have a </w:t>
      </w:r>
      <w:r>
        <w:rPr>
          <w:rFonts w:ascii="Times New Roman" w:hAnsi="Times New Roman" w:cs="Times New Roman"/>
          <w:sz w:val="24"/>
          <w:szCs w:val="24"/>
        </w:rPr>
        <w:t>beneficiary. Finally, that deed of trust B purports that Reverend Sayimani and the fourth to seventh defendants, along with Martin Young, appeared before the eighth defendant in his capacity as a notary public on 24 July 2008, yet, the very same deed furth</w:t>
      </w:r>
      <w:r>
        <w:rPr>
          <w:rFonts w:ascii="Times New Roman" w:hAnsi="Times New Roman" w:cs="Times New Roman"/>
          <w:sz w:val="24"/>
          <w:szCs w:val="24"/>
        </w:rPr>
        <w:t>er refers to a later date as the date of appearance, that is 15 January 2010.</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In the alternative, the plaintiff seeks the dissolution of the Trust, arguing that the second to the seventh defendants have failed to discharge their duties as trustees of the p</w:t>
      </w:r>
      <w:r>
        <w:rPr>
          <w:rFonts w:ascii="Times New Roman" w:hAnsi="Times New Roman" w:cs="Times New Roman"/>
          <w:sz w:val="24"/>
          <w:szCs w:val="24"/>
        </w:rPr>
        <w:t xml:space="preserve">laintiff, who run the plaintiff’s schools. The plaintiff claims the trustees have failed to account to </w:t>
      </w:r>
      <w:r>
        <w:rPr>
          <w:rFonts w:ascii="Times New Roman" w:hAnsi="Times New Roman" w:cs="Times New Roman"/>
          <w:sz w:val="24"/>
          <w:szCs w:val="24"/>
        </w:rPr>
        <w:lastRenderedPageBreak/>
        <w:t>the plaintiff on how the schools are being run; to provide annual audited statements in respect of the first defendant; to provide income and expenditure</w:t>
      </w:r>
      <w:r>
        <w:rPr>
          <w:rFonts w:ascii="Times New Roman" w:hAnsi="Times New Roman" w:cs="Times New Roman"/>
          <w:sz w:val="24"/>
          <w:szCs w:val="24"/>
        </w:rPr>
        <w:t xml:space="preserve"> statements to the plaintiff explaining how the schools are being run and have managed the schools incompetently. As a result, the plaintiff claims that, through a special commission appointed on 26 February 2022, it resolved to dissolve the first defendan</w:t>
      </w:r>
      <w:r>
        <w:rPr>
          <w:rFonts w:ascii="Times New Roman" w:hAnsi="Times New Roman" w:cs="Times New Roman"/>
          <w:sz w:val="24"/>
          <w:szCs w:val="24"/>
        </w:rPr>
        <w:t xml:space="preserve">t. </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After the plaintiff sued out and served the summons in this matter, only the first and the fourth to the eighth defendants entered an appearance to defend. In their plea, the said defendants argued that there is no entity named Presbytery of Zimbabwe o</w:t>
      </w:r>
      <w:r>
        <w:rPr>
          <w:rFonts w:ascii="Times New Roman" w:hAnsi="Times New Roman" w:cs="Times New Roman"/>
          <w:sz w:val="24"/>
          <w:szCs w:val="24"/>
        </w:rPr>
        <w:t>f the Uniting Presbyterian Church in Southern Africa. They stated that these are in fact two distinct entities, that is, the Presbytery of Zimbabwe on one hand and the Uniting Presbyterian Church in Southern Africa on the other. They further averred that t</w:t>
      </w:r>
      <w:r>
        <w:rPr>
          <w:rFonts w:ascii="Times New Roman" w:hAnsi="Times New Roman" w:cs="Times New Roman"/>
          <w:sz w:val="24"/>
          <w:szCs w:val="24"/>
        </w:rPr>
        <w:t>he Uniting Presbyterian Church in Southern Africa owns the schools as reflected by the first defendant’s deed of trust and the Manual. In the circumstances, they contended that, the Uniting Presbyterian Church in Southern Africa, having not been a party to</w:t>
      </w:r>
      <w:r>
        <w:rPr>
          <w:rFonts w:ascii="Times New Roman" w:hAnsi="Times New Roman" w:cs="Times New Roman"/>
          <w:sz w:val="24"/>
          <w:szCs w:val="24"/>
        </w:rPr>
        <w:t xml:space="preserve"> the claim or consented to the action, the plaintiff had no </w:t>
      </w:r>
      <w:r>
        <w:rPr>
          <w:rFonts w:ascii="Times New Roman" w:hAnsi="Times New Roman" w:cs="Times New Roman"/>
          <w:i/>
          <w:iCs/>
          <w:sz w:val="24"/>
          <w:szCs w:val="24"/>
        </w:rPr>
        <w:t>locus standi</w:t>
      </w:r>
      <w:r>
        <w:rPr>
          <w:rFonts w:ascii="Times New Roman" w:hAnsi="Times New Roman" w:cs="Times New Roman"/>
          <w:sz w:val="24"/>
          <w:szCs w:val="24"/>
        </w:rPr>
        <w:t xml:space="preserve"> in the present matter. </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The said defendants, however, admitted that the deed of trust MA25/10 was registered on 9 March 2010 and that the third to seventh defendants appeared before t</w:t>
      </w:r>
      <w:r>
        <w:rPr>
          <w:rFonts w:ascii="Times New Roman" w:hAnsi="Times New Roman" w:cs="Times New Roman"/>
          <w:sz w:val="24"/>
          <w:szCs w:val="24"/>
        </w:rPr>
        <w:t>he eighth defendant on 24 July 2008. They added that, upon registration of the trust deed, the ninth defendant refused to register the deed of trust as amendments were required to be done by the eighth respondent. After attending to the amendments, the dee</w:t>
      </w:r>
      <w:r>
        <w:rPr>
          <w:rFonts w:ascii="Times New Roman" w:hAnsi="Times New Roman" w:cs="Times New Roman"/>
          <w:sz w:val="24"/>
          <w:szCs w:val="24"/>
        </w:rPr>
        <w:t>d of trust was registered on 9 March 2010 under MA25/2010. They refuted the plaintiff’s claim that two deeds of trust were registered by the ninth defendant. Instead, they averred that the plaintiff duplicated the cover page of MA25/2010 and superimposed i</w:t>
      </w:r>
      <w:r>
        <w:rPr>
          <w:rFonts w:ascii="Times New Roman" w:hAnsi="Times New Roman" w:cs="Times New Roman"/>
          <w:sz w:val="24"/>
          <w:szCs w:val="24"/>
        </w:rPr>
        <w:t>t on a fictitious deed of trust in a bid to mislead the court. Further, they stated that the deed of trust was duly and procedurally registered and that they were given express authority to do so by both the plaintiff and the Uniting Presbyterian Church in</w:t>
      </w:r>
      <w:r>
        <w:rPr>
          <w:rFonts w:ascii="Times New Roman" w:hAnsi="Times New Roman" w:cs="Times New Roman"/>
          <w:sz w:val="24"/>
          <w:szCs w:val="24"/>
        </w:rPr>
        <w:t xml:space="preserve"> Southern Africa. It is their firm belief that they have discharged their duties as trustees of the first defendant. Finally, they claimed that the special commission of the plaintiff has no effect without the consent of the Uniting Presbyterian Church in </w:t>
      </w:r>
      <w:r>
        <w:rPr>
          <w:rFonts w:ascii="Times New Roman" w:hAnsi="Times New Roman" w:cs="Times New Roman"/>
          <w:sz w:val="24"/>
          <w:szCs w:val="24"/>
        </w:rPr>
        <w:t xml:space="preserve">Southern Africa or its General Assembly, which is the owner of the schools run by the first defendant. </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At the conclusion of the pre-trial conference, it was resolved that the matter be referred to trial on the following issues:</w:t>
      </w:r>
    </w:p>
    <w:p w:rsidR="00B27E91" w:rsidRDefault="00EC00FA">
      <w:pPr>
        <w:pStyle w:val="ListParagraph"/>
        <w:numPr>
          <w:ilvl w:val="0"/>
          <w:numId w:val="2"/>
        </w:numPr>
        <w:spacing w:line="360" w:lineRule="auto"/>
        <w:jc w:val="both"/>
        <w:rPr>
          <w:rFonts w:ascii="Times New Roman" w:hAnsi="Times New Roman" w:cs="Times New Roman"/>
          <w:sz w:val="24"/>
          <w:szCs w:val="24"/>
        </w:rPr>
      </w:pPr>
      <w:bookmarkStart w:id="2" w:name="_Hlk206185347"/>
      <w:bookmarkStart w:id="3" w:name="_Hlk200096200"/>
      <w:bookmarkStart w:id="4" w:name="_Hlk200045595"/>
      <w:r>
        <w:rPr>
          <w:rFonts w:ascii="Times New Roman" w:hAnsi="Times New Roman" w:cs="Times New Roman"/>
          <w:sz w:val="24"/>
          <w:szCs w:val="24"/>
        </w:rPr>
        <w:t>Whether the deed of trust o</w:t>
      </w:r>
      <w:r>
        <w:rPr>
          <w:rFonts w:ascii="Times New Roman" w:hAnsi="Times New Roman" w:cs="Times New Roman"/>
          <w:sz w:val="24"/>
          <w:szCs w:val="24"/>
        </w:rPr>
        <w:t xml:space="preserve">r the trustees was or were validly and lawfully registered; </w:t>
      </w:r>
      <w:bookmarkEnd w:id="2"/>
    </w:p>
    <w:bookmarkEnd w:id="3"/>
    <w:p w:rsidR="00B27E91" w:rsidRDefault="00EC00F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the plaintiff has the authority to cause the registration and or the dissolution of the Trust;</w:t>
      </w:r>
    </w:p>
    <w:p w:rsidR="00B27E91" w:rsidRDefault="00EC00FA">
      <w:pPr>
        <w:pStyle w:val="ListParagraph"/>
        <w:numPr>
          <w:ilvl w:val="0"/>
          <w:numId w:val="2"/>
        </w:numPr>
        <w:spacing w:line="360" w:lineRule="auto"/>
        <w:jc w:val="both"/>
        <w:rPr>
          <w:rFonts w:ascii="Times New Roman" w:hAnsi="Times New Roman" w:cs="Times New Roman"/>
          <w:sz w:val="24"/>
          <w:szCs w:val="24"/>
        </w:rPr>
      </w:pPr>
      <w:bookmarkStart w:id="5" w:name="_Hlk206507148"/>
      <w:r>
        <w:rPr>
          <w:rFonts w:ascii="Times New Roman" w:hAnsi="Times New Roman" w:cs="Times New Roman"/>
          <w:sz w:val="24"/>
          <w:szCs w:val="24"/>
        </w:rPr>
        <w:t>Whether the schools have been run in accordance with the terms set out in the deed of trust;</w:t>
      </w:r>
    </w:p>
    <w:p w:rsidR="00B27E91" w:rsidRDefault="00EC00F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schools have been run in accordance with the principles of good governance and proper administration. </w:t>
      </w:r>
    </w:p>
    <w:bookmarkEnd w:id="4"/>
    <w:bookmarkEnd w:id="5"/>
    <w:p w:rsidR="00B27E91" w:rsidRDefault="00EC00FA">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PROCEEDINGS BEFORE THIS COURT    </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On the date the trial was due to commence, Mr </w:t>
      </w:r>
      <w:r>
        <w:rPr>
          <w:rFonts w:ascii="Times New Roman" w:hAnsi="Times New Roman" w:cs="Times New Roman"/>
          <w:i/>
          <w:sz w:val="24"/>
          <w:szCs w:val="24"/>
        </w:rPr>
        <w:t>Tshuma,</w:t>
      </w:r>
      <w:r>
        <w:rPr>
          <w:rFonts w:ascii="Times New Roman" w:hAnsi="Times New Roman" w:cs="Times New Roman"/>
          <w:sz w:val="24"/>
          <w:szCs w:val="24"/>
        </w:rPr>
        <w:t xml:space="preserve"> for the first and the fourth to the eighth defendant</w:t>
      </w:r>
      <w:r>
        <w:rPr>
          <w:rFonts w:ascii="Times New Roman" w:hAnsi="Times New Roman" w:cs="Times New Roman"/>
          <w:sz w:val="24"/>
          <w:szCs w:val="24"/>
        </w:rPr>
        <w:t>s, indicated that they intended to raise a point on law on whether or not the plaintiff has the authority or power to dissolve the first defendant, which point was strenuously opposed by the plaintiff. I dismissed the application on the basis that whilst a</w:t>
      </w:r>
      <w:r>
        <w:rPr>
          <w:rFonts w:ascii="Times New Roman" w:hAnsi="Times New Roman" w:cs="Times New Roman"/>
          <w:sz w:val="24"/>
          <w:szCs w:val="24"/>
        </w:rPr>
        <w:t xml:space="preserve"> point of law can be taken at any time, the point of law had not been improperly taken. The matter proceeded to trial. </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At the end of the plaintiff’s case, the first and the fourth to the eighth defendants made an application for absolution from the instan</w:t>
      </w:r>
      <w:r>
        <w:rPr>
          <w:rFonts w:ascii="Times New Roman" w:hAnsi="Times New Roman" w:cs="Times New Roman"/>
          <w:sz w:val="24"/>
          <w:szCs w:val="24"/>
        </w:rPr>
        <w:t xml:space="preserve">ce. For convenience, I will hereinafter refer to the first and the fourth to the eighth defendants collectively as “the defendants”. </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The defendants’ application for absolution from the instance is based on four main points. Firstly, the defendants argue t</w:t>
      </w:r>
      <w:r>
        <w:rPr>
          <w:rFonts w:ascii="Times New Roman" w:hAnsi="Times New Roman" w:cs="Times New Roman"/>
          <w:sz w:val="24"/>
          <w:szCs w:val="24"/>
        </w:rPr>
        <w:t>hat the first two witnesses who testified for the plaintiff, Reverend Neshangwe and Reverend Sayimani, are barred from participating in these proceedings. Secondly, they argue that the plaintiff relied on inadmissible evidence, specifically a copy of the t</w:t>
      </w:r>
      <w:r>
        <w:rPr>
          <w:rFonts w:ascii="Times New Roman" w:hAnsi="Times New Roman" w:cs="Times New Roman"/>
          <w:sz w:val="24"/>
          <w:szCs w:val="24"/>
        </w:rPr>
        <w:t>rust deed, and failed to produce the original deed. Thirdly, it is their argument that the plaintiff did not demonstrate that it had the necessary authority to either dissolve the first defendant or bring the matter before the court for such dissolution. L</w:t>
      </w:r>
      <w:r>
        <w:rPr>
          <w:rFonts w:ascii="Times New Roman" w:hAnsi="Times New Roman" w:cs="Times New Roman"/>
          <w:sz w:val="24"/>
          <w:szCs w:val="24"/>
        </w:rPr>
        <w:t xml:space="preserve">astly, they contend that the plaintiff relied on hearsay evidence in their attempt to challenge the governance of the first defendant.  </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Per contra</w:t>
      </w:r>
      <w:r>
        <w:rPr>
          <w:rFonts w:ascii="Times New Roman" w:hAnsi="Times New Roman" w:cs="Times New Roman"/>
          <w:sz w:val="24"/>
          <w:szCs w:val="24"/>
        </w:rPr>
        <w:t>, the plaintiff submits that given the strength of the evidence led by the plaintiff and admissions made by the defendants in their own papers, the application for absolution from the instance is an abuse of court process. It further submits that the plain</w:t>
      </w:r>
      <w:r>
        <w:rPr>
          <w:rFonts w:ascii="Times New Roman" w:hAnsi="Times New Roman" w:cs="Times New Roman"/>
          <w:sz w:val="24"/>
          <w:szCs w:val="24"/>
        </w:rPr>
        <w:t xml:space="preserve">tiff has made more than a </w:t>
      </w:r>
      <w:r>
        <w:rPr>
          <w:rFonts w:ascii="Times New Roman" w:hAnsi="Times New Roman" w:cs="Times New Roman"/>
          <w:i/>
          <w:iCs/>
          <w:sz w:val="24"/>
          <w:szCs w:val="24"/>
        </w:rPr>
        <w:t>prima facie</w:t>
      </w:r>
      <w:r>
        <w:rPr>
          <w:rFonts w:ascii="Times New Roman" w:hAnsi="Times New Roman" w:cs="Times New Roman"/>
          <w:sz w:val="24"/>
          <w:szCs w:val="24"/>
        </w:rPr>
        <w:t xml:space="preserve"> case and that there is sufficient evidence upon which a reasonable court would find in its favour.  </w:t>
      </w:r>
    </w:p>
    <w:p w:rsidR="00B27E91" w:rsidRDefault="00EC00F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ISSUES FOR DETERMINATION </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 The sole issue for determination is whether or not there is basis to grant absolution from</w:t>
      </w:r>
      <w:r>
        <w:rPr>
          <w:rFonts w:ascii="Times New Roman" w:hAnsi="Times New Roman" w:cs="Times New Roman"/>
          <w:sz w:val="24"/>
          <w:szCs w:val="24"/>
        </w:rPr>
        <w:t xml:space="preserve"> the instance at the end of the plaintiff’s case in this matter. </w:t>
      </w:r>
    </w:p>
    <w:p w:rsidR="00B27E91" w:rsidRDefault="00EC00F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THE LAW </w:t>
      </w:r>
    </w:p>
    <w:p w:rsidR="00B27E91" w:rsidRDefault="00EC00FA">
      <w:pPr>
        <w:pStyle w:val="ListParagraph"/>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After the plaintiff has closed its case, the defendant, before commencing his own case, may apply for the dismissal of the plaintiff’s claim. Should the court accede to such a reque</w:t>
      </w:r>
      <w:r>
        <w:rPr>
          <w:rFonts w:ascii="Times New Roman" w:hAnsi="Times New Roman" w:cs="Times New Roman"/>
          <w:sz w:val="24"/>
          <w:szCs w:val="24"/>
        </w:rPr>
        <w:t xml:space="preserve">st, the judgment will be one for absolution from the instance. </w:t>
      </w:r>
    </w:p>
    <w:p w:rsidR="00B27E91" w:rsidRDefault="00EC00FA">
      <w:pPr>
        <w:pStyle w:val="ListParagraph"/>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 Rule 56 (6) of the Rules provides that:-</w:t>
      </w:r>
    </w:p>
    <w:p w:rsidR="00B27E91" w:rsidRDefault="00EC00FA">
      <w:pPr>
        <w:pStyle w:val="ListParagraph"/>
        <w:spacing w:line="240" w:lineRule="auto"/>
        <w:ind w:left="1440"/>
        <w:jc w:val="both"/>
        <w:rPr>
          <w:rFonts w:ascii="Times New Roman" w:hAnsi="Times New Roman" w:cs="Times New Roman"/>
          <w:color w:val="221F1F"/>
        </w:rPr>
      </w:pPr>
      <w:r>
        <w:rPr>
          <w:rFonts w:ascii="Times New Roman" w:hAnsi="Times New Roman" w:cs="Times New Roman"/>
          <w:color w:val="221F1F"/>
        </w:rPr>
        <w:t xml:space="preserve">“(6) At the close of the case for the plaintiff, the defendant may apply for absolution from the instance, in which event the defendant or his or her </w:t>
      </w:r>
      <w:r>
        <w:rPr>
          <w:rFonts w:ascii="Times New Roman" w:hAnsi="Times New Roman" w:cs="Times New Roman"/>
          <w:color w:val="221F1F"/>
        </w:rPr>
        <w:t>counsel on his or her behalf may address the court and the plaintiff or his or her counsel on his or her behalf may reply. The defendant or his or her counsel may thereupon reply on any matter arising out of the address of the plaintiff or his or her couns</w:t>
      </w:r>
      <w:r>
        <w:rPr>
          <w:rFonts w:ascii="Times New Roman" w:hAnsi="Times New Roman" w:cs="Times New Roman"/>
          <w:color w:val="221F1F"/>
        </w:rPr>
        <w:t>el.”</w:t>
      </w:r>
    </w:p>
    <w:p w:rsidR="00B27E91" w:rsidRDefault="00B27E91">
      <w:pPr>
        <w:pStyle w:val="ListParagraph"/>
        <w:spacing w:line="240" w:lineRule="auto"/>
        <w:ind w:left="1440"/>
        <w:jc w:val="both"/>
        <w:rPr>
          <w:rFonts w:ascii="Times New Roman" w:hAnsi="Times New Roman" w:cs="Times New Roman"/>
          <w:color w:val="221F1F"/>
        </w:rPr>
      </w:pPr>
    </w:p>
    <w:p w:rsidR="00B27E91" w:rsidRDefault="00EC00FA">
      <w:pPr>
        <w:pStyle w:val="ListParagraph"/>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term ‘absolution from the instance’ describes a finding that may be made at either of two distinct phases of the trial. In both cases, what it simply means is that the evidence led is insufficient for a finding to be made against the defendant: </w:t>
      </w:r>
      <w:r>
        <w:rPr>
          <w:rFonts w:ascii="Times New Roman" w:hAnsi="Times New Roman" w:cs="Times New Roman"/>
          <w:i/>
          <w:sz w:val="24"/>
          <w:szCs w:val="24"/>
        </w:rPr>
        <w:t>S</w:t>
      </w:r>
      <w:r>
        <w:rPr>
          <w:rFonts w:ascii="Times New Roman" w:hAnsi="Times New Roman" w:cs="Times New Roman"/>
          <w:i/>
          <w:sz w:val="24"/>
          <w:szCs w:val="24"/>
        </w:rPr>
        <w:t xml:space="preserve">ibanda </w:t>
      </w:r>
      <w:r>
        <w:rPr>
          <w:rFonts w:ascii="Times New Roman" w:hAnsi="Times New Roman" w:cs="Times New Roman"/>
          <w:sz w:val="24"/>
          <w:szCs w:val="24"/>
        </w:rPr>
        <w:t>v</w:t>
      </w:r>
      <w:r>
        <w:rPr>
          <w:rFonts w:ascii="Times New Roman" w:hAnsi="Times New Roman" w:cs="Times New Roman"/>
          <w:i/>
          <w:sz w:val="24"/>
          <w:szCs w:val="24"/>
        </w:rPr>
        <w:t xml:space="preserve"> Chikumba &amp; Anor</w:t>
      </w:r>
      <w:r>
        <w:rPr>
          <w:rFonts w:ascii="Times New Roman" w:hAnsi="Times New Roman" w:cs="Times New Roman"/>
          <w:sz w:val="24"/>
          <w:szCs w:val="24"/>
        </w:rPr>
        <w:t xml:space="preserve"> 2014 (1) ZLR 219 (H) at p. 224 G. Where the burden of proof is on the plaintiff, he shall adduce evidence first and if absolution is not decreed, the defendant will then adduce his evidence. Where absolution from the instance is re</w:t>
      </w:r>
      <w:r>
        <w:rPr>
          <w:rFonts w:ascii="Times New Roman" w:hAnsi="Times New Roman" w:cs="Times New Roman"/>
          <w:sz w:val="24"/>
          <w:szCs w:val="24"/>
        </w:rPr>
        <w:t xml:space="preserve">fused at the close of the plaintiff’s case, the defendant can open his case, simply close it and still apply for absolution from the instance on the same evidence: </w:t>
      </w:r>
      <w:r>
        <w:rPr>
          <w:rFonts w:ascii="Times New Roman" w:hAnsi="Times New Roman" w:cs="Times New Roman"/>
          <w:i/>
          <w:sz w:val="24"/>
          <w:szCs w:val="24"/>
        </w:rPr>
        <w:t xml:space="preserve">Efrolou (Pvt) Ltd </w:t>
      </w:r>
      <w:r>
        <w:rPr>
          <w:rFonts w:ascii="Times New Roman" w:hAnsi="Times New Roman" w:cs="Times New Roman"/>
          <w:sz w:val="24"/>
          <w:szCs w:val="24"/>
        </w:rPr>
        <w:t>v</w:t>
      </w:r>
      <w:r>
        <w:rPr>
          <w:rFonts w:ascii="Times New Roman" w:hAnsi="Times New Roman" w:cs="Times New Roman"/>
          <w:i/>
          <w:sz w:val="24"/>
          <w:szCs w:val="24"/>
        </w:rPr>
        <w:t xml:space="preserve"> Muringani 2</w:t>
      </w:r>
      <w:r>
        <w:rPr>
          <w:rFonts w:ascii="Times New Roman" w:hAnsi="Times New Roman" w:cs="Times New Roman"/>
          <w:sz w:val="24"/>
          <w:szCs w:val="24"/>
        </w:rPr>
        <w:t xml:space="preserve"> 2013 (1) ZLR 309 (H) at p.316B-C. </w:t>
      </w:r>
    </w:p>
    <w:p w:rsidR="00B27E91" w:rsidRDefault="00EC00FA">
      <w:pPr>
        <w:pStyle w:val="ListParagraph"/>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test for granting abs</w:t>
      </w:r>
      <w:r>
        <w:rPr>
          <w:rFonts w:ascii="Times New Roman" w:hAnsi="Times New Roman" w:cs="Times New Roman"/>
          <w:sz w:val="24"/>
          <w:szCs w:val="24"/>
        </w:rPr>
        <w:t xml:space="preserve">olution from the instance was set out in </w:t>
      </w:r>
      <w:r>
        <w:rPr>
          <w:rFonts w:ascii="Times New Roman" w:hAnsi="Times New Roman" w:cs="Times New Roman"/>
          <w:i/>
          <w:sz w:val="24"/>
          <w:szCs w:val="24"/>
        </w:rPr>
        <w:t xml:space="preserve">United Air Charters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Jarman </w:t>
      </w:r>
      <w:r>
        <w:rPr>
          <w:rFonts w:ascii="Times New Roman" w:hAnsi="Times New Roman" w:cs="Times New Roman"/>
          <w:sz w:val="24"/>
          <w:szCs w:val="24"/>
        </w:rPr>
        <w:t xml:space="preserve">1994 (2) ZLR 341 (S) by </w:t>
      </w:r>
      <w:bookmarkStart w:id="6" w:name="_Hlk206083827"/>
      <w:bookmarkStart w:id="7" w:name="_Hlk206511562"/>
      <w:r>
        <w:rPr>
          <w:rFonts w:ascii="Times New Roman" w:eastAsia="Calibri" w:hAnsi="Times New Roman" w:cs="Times New Roman"/>
          <w:bCs/>
          <w:smallCaps/>
          <w:sz w:val="24"/>
          <w:szCs w:val="24"/>
        </w:rPr>
        <w:t>Gubbay C</w:t>
      </w:r>
      <w:bookmarkEnd w:id="6"/>
      <w:r>
        <w:rPr>
          <w:rFonts w:ascii="Times New Roman" w:eastAsia="Calibri" w:hAnsi="Times New Roman" w:cs="Times New Roman"/>
          <w:bCs/>
          <w:smallCaps/>
          <w:sz w:val="24"/>
          <w:szCs w:val="24"/>
        </w:rPr>
        <w:t>J</w:t>
      </w:r>
      <w:r>
        <w:rPr>
          <w:rFonts w:ascii="Times New Roman" w:hAnsi="Times New Roman" w:cs="Times New Roman"/>
        </w:rPr>
        <w:t xml:space="preserve"> </w:t>
      </w:r>
      <w:bookmarkEnd w:id="7"/>
      <w:r>
        <w:rPr>
          <w:rFonts w:ascii="Times New Roman" w:hAnsi="Times New Roman" w:cs="Times New Roman"/>
          <w:sz w:val="24"/>
          <w:szCs w:val="24"/>
        </w:rPr>
        <w:t>in the following terms:-</w:t>
      </w:r>
    </w:p>
    <w:p w:rsidR="00B27E91" w:rsidRDefault="00EC00FA">
      <w:pPr>
        <w:pStyle w:val="ListParagraph"/>
        <w:spacing w:line="240" w:lineRule="auto"/>
        <w:ind w:left="1440"/>
        <w:jc w:val="both"/>
        <w:rPr>
          <w:rFonts w:ascii="Times New Roman" w:hAnsi="Times New Roman" w:cs="Times New Roman"/>
          <w:sz w:val="24"/>
          <w:szCs w:val="23"/>
        </w:rPr>
      </w:pPr>
      <w:r>
        <w:rPr>
          <w:rFonts w:ascii="Times New Roman" w:hAnsi="Times New Roman" w:cs="Times New Roman"/>
          <w:szCs w:val="23"/>
        </w:rPr>
        <w:t>“The test in deciding an application for absolution from the instance is well settled in this jurisdiction. A plainti</w:t>
      </w:r>
      <w:r>
        <w:rPr>
          <w:rFonts w:ascii="Times New Roman" w:hAnsi="Times New Roman" w:cs="Times New Roman"/>
          <w:szCs w:val="23"/>
        </w:rPr>
        <w:t xml:space="preserve">ff will successfully withstand such an application if, at the close of his case, there is evidence upon which a court, directing its mind reasonably to such evidence, could or might (not should or ought to) find for him.” </w:t>
      </w:r>
      <w:r>
        <w:rPr>
          <w:rFonts w:ascii="Times New Roman" w:hAnsi="Times New Roman" w:cs="Times New Roman"/>
          <w:sz w:val="24"/>
          <w:szCs w:val="23"/>
        </w:rPr>
        <w:t>(at p. 343C)</w:t>
      </w:r>
    </w:p>
    <w:p w:rsidR="00B27E91" w:rsidRDefault="00B27E91">
      <w:pPr>
        <w:pStyle w:val="ListParagraph"/>
        <w:spacing w:line="240" w:lineRule="auto"/>
        <w:ind w:left="1440"/>
        <w:jc w:val="both"/>
        <w:rPr>
          <w:rFonts w:ascii="Times New Roman" w:hAnsi="Times New Roman" w:cs="Times New Roman"/>
          <w:sz w:val="24"/>
          <w:szCs w:val="24"/>
        </w:rPr>
      </w:pPr>
    </w:p>
    <w:p w:rsidR="00B27E91" w:rsidRDefault="00EC00FA">
      <w:pPr>
        <w:pStyle w:val="ListParagraph"/>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critical questio</w:t>
      </w:r>
      <w:r>
        <w:rPr>
          <w:rFonts w:ascii="Times New Roman" w:hAnsi="Times New Roman" w:cs="Times New Roman"/>
          <w:sz w:val="24"/>
          <w:szCs w:val="24"/>
        </w:rPr>
        <w:t>n that must exercise the court’s mind in considering whether or not to decree absolution from the instance is, what might a reasonable court do, that is, is there sufficient evidence on which a court might make a reasonable mistake and give judgment for th</w:t>
      </w:r>
      <w:r>
        <w:rPr>
          <w:rFonts w:ascii="Times New Roman" w:hAnsi="Times New Roman" w:cs="Times New Roman"/>
          <w:sz w:val="24"/>
          <w:szCs w:val="24"/>
        </w:rPr>
        <w:t xml:space="preserve">e plaintiff? Conversely, if the application is made after the defendant has closed his case, the test is, what ought a reasonable court do? See </w:t>
      </w:r>
      <w:r>
        <w:rPr>
          <w:rFonts w:ascii="Times New Roman" w:hAnsi="Times New Roman" w:cs="Times New Roman"/>
          <w:i/>
          <w:sz w:val="24"/>
          <w:szCs w:val="24"/>
        </w:rPr>
        <w:t>Supreme Service Station (1969) (Pvt) (Ltd)</w:t>
      </w:r>
      <w:r>
        <w:rPr>
          <w:rFonts w:ascii="Times New Roman" w:hAnsi="Times New Roman" w:cs="Times New Roman"/>
          <w:sz w:val="24"/>
          <w:szCs w:val="24"/>
        </w:rPr>
        <w:t xml:space="preserve"> v</w:t>
      </w:r>
      <w:r>
        <w:rPr>
          <w:rFonts w:ascii="Times New Roman" w:hAnsi="Times New Roman" w:cs="Times New Roman"/>
          <w:i/>
          <w:sz w:val="24"/>
          <w:szCs w:val="24"/>
        </w:rPr>
        <w:t xml:space="preserve"> Fox and Goodridge (Pvt) Ltd </w:t>
      </w:r>
      <w:r>
        <w:rPr>
          <w:rFonts w:ascii="Times New Roman" w:hAnsi="Times New Roman" w:cs="Times New Roman"/>
          <w:sz w:val="24"/>
          <w:szCs w:val="24"/>
        </w:rPr>
        <w:t xml:space="preserve">1971 (1) </w:t>
      </w:r>
      <w:r>
        <w:rPr>
          <w:rFonts w:ascii="Times New Roman" w:hAnsi="Times New Roman" w:cs="Times New Roman"/>
          <w:sz w:val="24"/>
          <w:szCs w:val="24"/>
        </w:rPr>
        <w:lastRenderedPageBreak/>
        <w:t xml:space="preserve">RLR 1 (A) at p. 4A -5D; and </w:t>
      </w:r>
      <w:r>
        <w:rPr>
          <w:rFonts w:ascii="Times New Roman" w:hAnsi="Times New Roman" w:cs="Times New Roman"/>
          <w:i/>
          <w:sz w:val="24"/>
          <w:szCs w:val="24"/>
        </w:rPr>
        <w:t>ZI</w:t>
      </w:r>
      <w:r>
        <w:rPr>
          <w:rFonts w:ascii="Times New Roman" w:hAnsi="Times New Roman" w:cs="Times New Roman"/>
          <w:i/>
          <w:sz w:val="24"/>
          <w:szCs w:val="24"/>
        </w:rPr>
        <w:t xml:space="preserve">MASCO (Pvt) Ltd </w:t>
      </w:r>
      <w:r>
        <w:rPr>
          <w:rFonts w:ascii="Times New Roman" w:hAnsi="Times New Roman" w:cs="Times New Roman"/>
          <w:sz w:val="24"/>
          <w:szCs w:val="24"/>
        </w:rPr>
        <w:t>v</w:t>
      </w:r>
      <w:r>
        <w:rPr>
          <w:rFonts w:ascii="Times New Roman" w:hAnsi="Times New Roman" w:cs="Times New Roman"/>
          <w:i/>
          <w:sz w:val="24"/>
          <w:szCs w:val="24"/>
        </w:rPr>
        <w:t xml:space="preserve"> Tsvangirai &amp; Ors</w:t>
      </w:r>
      <w:r>
        <w:rPr>
          <w:rFonts w:ascii="Times New Roman" w:hAnsi="Times New Roman" w:cs="Times New Roman"/>
          <w:sz w:val="24"/>
          <w:szCs w:val="24"/>
        </w:rPr>
        <w:t xml:space="preserve"> 2020 (1) ZLR 176 (S) at p. 181 F-G. </w:t>
      </w:r>
    </w:p>
    <w:p w:rsidR="00B27E91" w:rsidRDefault="00EC00FA">
      <w:pPr>
        <w:pStyle w:val="ListParagraph"/>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onus on a defendant who applies for absolution from the instance before closing his case is greater than that placed upon him when he applies for absolution from the instance after</w:t>
      </w:r>
      <w:r>
        <w:rPr>
          <w:rFonts w:ascii="Times New Roman" w:hAnsi="Times New Roman" w:cs="Times New Roman"/>
          <w:sz w:val="24"/>
          <w:szCs w:val="24"/>
        </w:rPr>
        <w:t xml:space="preserve"> closing his case. </w:t>
      </w:r>
      <w:r>
        <w:rPr>
          <w:rFonts w:ascii="Times New Roman" w:hAnsi="Times New Roman" w:cs="Times New Roman"/>
          <w:i/>
          <w:sz w:val="24"/>
          <w:szCs w:val="24"/>
        </w:rPr>
        <w:t xml:space="preserve">Supreme Service Station (1969) (Pvt) (Ltd) </w:t>
      </w:r>
      <w:r>
        <w:rPr>
          <w:rFonts w:ascii="Times New Roman" w:hAnsi="Times New Roman" w:cs="Times New Roman"/>
          <w:sz w:val="24"/>
          <w:szCs w:val="24"/>
        </w:rPr>
        <w:t>v</w:t>
      </w:r>
      <w:r>
        <w:rPr>
          <w:rFonts w:ascii="Times New Roman" w:hAnsi="Times New Roman" w:cs="Times New Roman"/>
          <w:i/>
          <w:sz w:val="24"/>
          <w:szCs w:val="24"/>
        </w:rPr>
        <w:t xml:space="preserve"> Fox and Goodridge (Pvt) Ltd</w:t>
      </w:r>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xml:space="preserve"> at p. 5F-G. </w:t>
      </w:r>
    </w:p>
    <w:p w:rsidR="00B27E91" w:rsidRDefault="00EC00FA">
      <w:pPr>
        <w:pStyle w:val="ListParagraph"/>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An order of absolution from the instance at the close of the plaintiff’s case can appropriately be made after all the evidence led by the plainti</w:t>
      </w:r>
      <w:r>
        <w:rPr>
          <w:rFonts w:ascii="Times New Roman" w:hAnsi="Times New Roman" w:cs="Times New Roman"/>
          <w:sz w:val="24"/>
          <w:szCs w:val="24"/>
        </w:rPr>
        <w:t xml:space="preserve">ff has not laid a </w:t>
      </w:r>
      <w:r>
        <w:rPr>
          <w:rFonts w:ascii="Times New Roman" w:hAnsi="Times New Roman" w:cs="Times New Roman"/>
          <w:i/>
          <w:sz w:val="24"/>
          <w:szCs w:val="24"/>
        </w:rPr>
        <w:t>prima facie</w:t>
      </w:r>
      <w:r>
        <w:rPr>
          <w:rFonts w:ascii="Times New Roman" w:hAnsi="Times New Roman" w:cs="Times New Roman"/>
          <w:sz w:val="24"/>
          <w:szCs w:val="24"/>
        </w:rPr>
        <w:t xml:space="preserve"> case upon which a court may find for the plaintiff:  </w:t>
      </w:r>
      <w:r>
        <w:rPr>
          <w:rFonts w:ascii="Times New Roman" w:hAnsi="Times New Roman" w:cs="Times New Roman"/>
          <w:i/>
          <w:sz w:val="24"/>
          <w:szCs w:val="24"/>
        </w:rPr>
        <w:t xml:space="preserve">ZIMASCO (Pvt) Ltd </w:t>
      </w:r>
      <w:r>
        <w:rPr>
          <w:rFonts w:ascii="Times New Roman" w:hAnsi="Times New Roman" w:cs="Times New Roman"/>
          <w:sz w:val="24"/>
          <w:szCs w:val="24"/>
        </w:rPr>
        <w:t>v</w:t>
      </w:r>
      <w:r>
        <w:rPr>
          <w:rFonts w:ascii="Times New Roman" w:hAnsi="Times New Roman" w:cs="Times New Roman"/>
          <w:i/>
          <w:sz w:val="24"/>
          <w:szCs w:val="24"/>
        </w:rPr>
        <w:t xml:space="preserve"> Tsvangirai &amp; Ors</w:t>
      </w:r>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xml:space="preserve"> at p. 181 F-G. </w:t>
      </w:r>
    </w:p>
    <w:p w:rsidR="00B27E91" w:rsidRDefault="00EC00FA">
      <w:pPr>
        <w:pStyle w:val="ListParagraph"/>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there is doubt as to what a reasonable court might do, a judicial officer should always lean on the side of allowing the case to proceed: </w:t>
      </w:r>
      <w:r>
        <w:rPr>
          <w:rFonts w:ascii="Times New Roman" w:hAnsi="Times New Roman" w:cs="Times New Roman"/>
          <w:i/>
          <w:sz w:val="24"/>
          <w:szCs w:val="24"/>
        </w:rPr>
        <w:t xml:space="preserve">Efrolou (Pvt) Ltd </w:t>
      </w:r>
      <w:r>
        <w:rPr>
          <w:rFonts w:ascii="Times New Roman" w:hAnsi="Times New Roman" w:cs="Times New Roman"/>
          <w:sz w:val="24"/>
          <w:szCs w:val="24"/>
        </w:rPr>
        <w:t>v</w:t>
      </w:r>
      <w:r>
        <w:rPr>
          <w:rFonts w:ascii="Times New Roman" w:hAnsi="Times New Roman" w:cs="Times New Roman"/>
          <w:i/>
          <w:sz w:val="24"/>
          <w:szCs w:val="24"/>
        </w:rPr>
        <w:t xml:space="preserve"> Muringani 2 supra </w:t>
      </w:r>
      <w:r>
        <w:rPr>
          <w:rFonts w:ascii="Times New Roman" w:hAnsi="Times New Roman" w:cs="Times New Roman"/>
          <w:sz w:val="24"/>
          <w:szCs w:val="24"/>
        </w:rPr>
        <w:t xml:space="preserve">at p. 317E. </w:t>
      </w:r>
    </w:p>
    <w:p w:rsidR="00B27E91" w:rsidRDefault="00EC00FA">
      <w:pPr>
        <w:pStyle w:val="ListParagraph"/>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An important observation is made in the case of </w:t>
      </w:r>
      <w:r>
        <w:rPr>
          <w:rFonts w:ascii="Times New Roman" w:hAnsi="Times New Roman" w:cs="Times New Roman"/>
          <w:i/>
          <w:sz w:val="24"/>
          <w:szCs w:val="24"/>
        </w:rPr>
        <w:t xml:space="preserve">Katerere </w:t>
      </w:r>
      <w:r>
        <w:rPr>
          <w:rFonts w:ascii="Times New Roman" w:hAnsi="Times New Roman" w:cs="Times New Roman"/>
          <w:sz w:val="24"/>
          <w:szCs w:val="24"/>
        </w:rPr>
        <w:t>v</w:t>
      </w:r>
      <w:r>
        <w:rPr>
          <w:rFonts w:ascii="Times New Roman" w:hAnsi="Times New Roman" w:cs="Times New Roman"/>
          <w:i/>
          <w:sz w:val="24"/>
          <w:szCs w:val="24"/>
        </w:rPr>
        <w:t xml:space="preserve"> St</w:t>
      </w:r>
      <w:r>
        <w:rPr>
          <w:rFonts w:ascii="Times New Roman" w:hAnsi="Times New Roman" w:cs="Times New Roman"/>
          <w:i/>
          <w:sz w:val="24"/>
          <w:szCs w:val="24"/>
        </w:rPr>
        <w:t xml:space="preserve">andard Chartered Bank Zimbabwe Ltd </w:t>
      </w:r>
      <w:r>
        <w:rPr>
          <w:rFonts w:ascii="Times New Roman" w:hAnsi="Times New Roman" w:cs="Times New Roman"/>
          <w:sz w:val="24"/>
          <w:szCs w:val="24"/>
        </w:rPr>
        <w:t xml:space="preserve">HB 51-08, cited with approval by </w:t>
      </w:r>
      <w:bookmarkStart w:id="8" w:name="_Hlk206186246"/>
      <w:r>
        <w:rPr>
          <w:rFonts w:ascii="Times New Roman" w:eastAsia="Calibri" w:hAnsi="Times New Roman" w:cs="Times New Roman"/>
          <w:bCs/>
          <w:smallCaps/>
          <w:sz w:val="24"/>
          <w:szCs w:val="24"/>
        </w:rPr>
        <w:t>Guvava JA</w:t>
      </w:r>
      <w:r>
        <w:rPr>
          <w:rFonts w:ascii="Times New Roman" w:hAnsi="Times New Roman" w:cs="Times New Roman"/>
        </w:rPr>
        <w:t xml:space="preserve"> </w:t>
      </w:r>
      <w:r>
        <w:rPr>
          <w:rFonts w:ascii="Times New Roman" w:hAnsi="Times New Roman" w:cs="Times New Roman"/>
          <w:sz w:val="24"/>
          <w:szCs w:val="24"/>
        </w:rPr>
        <w:t xml:space="preserve">in </w:t>
      </w:r>
      <w:r>
        <w:rPr>
          <w:rFonts w:ascii="Times New Roman" w:hAnsi="Times New Roman" w:cs="Times New Roman"/>
          <w:i/>
          <w:sz w:val="24"/>
          <w:szCs w:val="24"/>
        </w:rPr>
        <w:t xml:space="preserve">Muteswa Wholesalers (Pvt) Ltd &amp; Ors </w:t>
      </w:r>
      <w:r>
        <w:rPr>
          <w:rFonts w:ascii="Times New Roman" w:hAnsi="Times New Roman" w:cs="Times New Roman"/>
          <w:sz w:val="24"/>
          <w:szCs w:val="24"/>
        </w:rPr>
        <w:t>v</w:t>
      </w:r>
      <w:r>
        <w:rPr>
          <w:rFonts w:ascii="Times New Roman" w:hAnsi="Times New Roman" w:cs="Times New Roman"/>
          <w:i/>
          <w:sz w:val="24"/>
          <w:szCs w:val="24"/>
        </w:rPr>
        <w:t xml:space="preserve"> Delta Zimbabwe Ltd supra </w:t>
      </w:r>
      <w:bookmarkEnd w:id="8"/>
      <w:r>
        <w:rPr>
          <w:rFonts w:ascii="Times New Roman" w:hAnsi="Times New Roman" w:cs="Times New Roman"/>
          <w:sz w:val="24"/>
          <w:szCs w:val="24"/>
        </w:rPr>
        <w:t>at p. 787 F-G that: -</w:t>
      </w:r>
    </w:p>
    <w:p w:rsidR="00B27E91" w:rsidRDefault="00EC00FA">
      <w:pPr>
        <w:spacing w:after="0" w:line="240" w:lineRule="auto"/>
        <w:ind w:left="1440"/>
        <w:jc w:val="both"/>
        <w:rPr>
          <w:rFonts w:ascii="Times New Roman" w:eastAsia="Calibri" w:hAnsi="Times New Roman" w:cs="Times New Roman"/>
          <w:szCs w:val="24"/>
        </w:rPr>
      </w:pPr>
      <w:r>
        <w:rPr>
          <w:rFonts w:ascii="Times New Roman" w:eastAsia="Calibri" w:hAnsi="Times New Roman" w:cs="Times New Roman"/>
          <w:szCs w:val="24"/>
        </w:rPr>
        <w:t>“The court should be extremely chary of granting absolution at the close of plaintiff’s ca</w:t>
      </w:r>
      <w:r>
        <w:rPr>
          <w:rFonts w:ascii="Times New Roman" w:eastAsia="Calibri" w:hAnsi="Times New Roman" w:cs="Times New Roman"/>
          <w:szCs w:val="24"/>
        </w:rPr>
        <w:t>se. The court must assume that in the absence of very special considerations, such as the inherent unacceptability of the evidence adduced, the evidence is true. The court should not at this stage evaluate and reject the plaintiff’s evidence. The test to b</w:t>
      </w:r>
      <w:r>
        <w:rPr>
          <w:rFonts w:ascii="Times New Roman" w:eastAsia="Calibri" w:hAnsi="Times New Roman" w:cs="Times New Roman"/>
          <w:szCs w:val="24"/>
        </w:rPr>
        <w:t xml:space="preserve">e applied is not whether the evidence led by the plaintiff establishes what will finally have to be established. Absolution from the instance at the close of the plaintiff’s case may be granted if the plaintiff has failed to establish an essential element </w:t>
      </w:r>
      <w:r>
        <w:rPr>
          <w:rFonts w:ascii="Times New Roman" w:eastAsia="Calibri" w:hAnsi="Times New Roman" w:cs="Times New Roman"/>
          <w:szCs w:val="24"/>
        </w:rPr>
        <w:t>of his claim-</w:t>
      </w:r>
      <w:r>
        <w:rPr>
          <w:rFonts w:ascii="Times New Roman" w:eastAsia="Calibri" w:hAnsi="Times New Roman" w:cs="Times New Roman"/>
          <w:i/>
          <w:szCs w:val="24"/>
        </w:rPr>
        <w:t xml:space="preserve">Claude neon Lights (SA) Ltd </w:t>
      </w:r>
      <w:r>
        <w:rPr>
          <w:rFonts w:ascii="Times New Roman" w:eastAsia="Calibri" w:hAnsi="Times New Roman" w:cs="Times New Roman"/>
          <w:szCs w:val="24"/>
        </w:rPr>
        <w:t>v</w:t>
      </w:r>
      <w:r>
        <w:rPr>
          <w:rFonts w:ascii="Times New Roman" w:eastAsia="Calibri" w:hAnsi="Times New Roman" w:cs="Times New Roman"/>
          <w:i/>
          <w:szCs w:val="24"/>
        </w:rPr>
        <w:t xml:space="preserve"> Daniel</w:t>
      </w:r>
      <w:r>
        <w:rPr>
          <w:rFonts w:ascii="Times New Roman" w:eastAsia="Calibri" w:hAnsi="Times New Roman" w:cs="Times New Roman"/>
          <w:szCs w:val="24"/>
        </w:rPr>
        <w:t xml:space="preserve"> 1976 (4) SA 403(A); </w:t>
      </w:r>
      <w:r>
        <w:rPr>
          <w:rFonts w:ascii="Times New Roman" w:eastAsia="Calibri" w:hAnsi="Times New Roman" w:cs="Times New Roman"/>
          <w:i/>
          <w:szCs w:val="24"/>
        </w:rPr>
        <w:t xml:space="preserve">Marine &amp; Trade Insurance Co Ltd </w:t>
      </w:r>
      <w:r>
        <w:rPr>
          <w:rFonts w:ascii="Times New Roman" w:eastAsia="Calibri" w:hAnsi="Times New Roman" w:cs="Times New Roman"/>
          <w:szCs w:val="24"/>
        </w:rPr>
        <w:t>v</w:t>
      </w:r>
      <w:r>
        <w:rPr>
          <w:rFonts w:ascii="Times New Roman" w:eastAsia="Calibri" w:hAnsi="Times New Roman" w:cs="Times New Roman"/>
          <w:i/>
          <w:szCs w:val="24"/>
        </w:rPr>
        <w:t xml:space="preserve"> Van Der Schyff </w:t>
      </w:r>
      <w:r>
        <w:rPr>
          <w:rFonts w:ascii="Times New Roman" w:eastAsia="Calibri" w:hAnsi="Times New Roman" w:cs="Times New Roman"/>
          <w:szCs w:val="24"/>
        </w:rPr>
        <w:t xml:space="preserve">1972 (1) SA 26(A); </w:t>
      </w:r>
      <w:r>
        <w:rPr>
          <w:rFonts w:ascii="Times New Roman" w:eastAsia="Calibri" w:hAnsi="Times New Roman" w:cs="Times New Roman"/>
          <w:i/>
          <w:szCs w:val="24"/>
        </w:rPr>
        <w:t xml:space="preserve">Sithole </w:t>
      </w:r>
      <w:r>
        <w:rPr>
          <w:rFonts w:ascii="Times New Roman" w:eastAsia="Calibri" w:hAnsi="Times New Roman" w:cs="Times New Roman"/>
          <w:szCs w:val="24"/>
        </w:rPr>
        <w:t>v</w:t>
      </w:r>
      <w:r>
        <w:rPr>
          <w:rFonts w:ascii="Times New Roman" w:eastAsia="Calibri" w:hAnsi="Times New Roman" w:cs="Times New Roman"/>
          <w:i/>
          <w:szCs w:val="24"/>
        </w:rPr>
        <w:t xml:space="preserve"> PG Industries (Pvt) Ltd</w:t>
      </w:r>
      <w:r>
        <w:rPr>
          <w:rFonts w:ascii="Times New Roman" w:eastAsia="Calibri" w:hAnsi="Times New Roman" w:cs="Times New Roman"/>
          <w:szCs w:val="24"/>
        </w:rPr>
        <w:t xml:space="preserve"> HB 47-05”.</w:t>
      </w:r>
    </w:p>
    <w:p w:rsidR="00B27E91" w:rsidRDefault="00B27E91">
      <w:pPr>
        <w:spacing w:after="0" w:line="240" w:lineRule="auto"/>
        <w:ind w:left="1440"/>
        <w:jc w:val="both"/>
        <w:rPr>
          <w:rFonts w:ascii="Times New Roman" w:eastAsia="Calibri" w:hAnsi="Times New Roman" w:cs="Times New Roman"/>
          <w:szCs w:val="24"/>
        </w:rPr>
      </w:pPr>
    </w:p>
    <w:p w:rsidR="00B27E91" w:rsidRDefault="00EC00FA">
      <w:pPr>
        <w:pStyle w:val="ListParagraph"/>
        <w:numPr>
          <w:ilvl w:val="0"/>
          <w:numId w:val="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At this stage of the trial, absolution from the instance will be granted</w:t>
      </w:r>
      <w:r>
        <w:rPr>
          <w:rFonts w:ascii="Times New Roman" w:hAnsi="Times New Roman" w:cs="Times New Roman"/>
          <w:sz w:val="24"/>
          <w:szCs w:val="24"/>
        </w:rPr>
        <w:t xml:space="preserve"> if there is insufficient evidence on which a court, directing its mind reasonably to such evidence, could or might (not should or ought to) find for the plaintiff. Put differently, if the plaintiff fails to discharge the onus on his cause of action, which</w:t>
      </w:r>
      <w:r>
        <w:rPr>
          <w:rFonts w:ascii="Times New Roman" w:hAnsi="Times New Roman" w:cs="Times New Roman"/>
          <w:sz w:val="24"/>
          <w:szCs w:val="24"/>
        </w:rPr>
        <w:t xml:space="preserve"> evidence, would have enabled the court to call the defendant to answer the allegations, the court can grant absolution from the instance. </w:t>
      </w:r>
    </w:p>
    <w:p w:rsidR="00B27E91" w:rsidRDefault="00B27E91">
      <w:pPr>
        <w:pStyle w:val="ListParagraph"/>
        <w:spacing w:after="200" w:line="360" w:lineRule="auto"/>
        <w:ind w:left="360"/>
        <w:jc w:val="both"/>
        <w:rPr>
          <w:rFonts w:ascii="Times New Roman" w:hAnsi="Times New Roman" w:cs="Times New Roman"/>
          <w:sz w:val="24"/>
          <w:szCs w:val="24"/>
        </w:rPr>
      </w:pPr>
    </w:p>
    <w:p w:rsidR="00B27E91" w:rsidRDefault="00B27E91">
      <w:pPr>
        <w:pStyle w:val="ListParagraph"/>
        <w:spacing w:after="200" w:line="360" w:lineRule="auto"/>
        <w:ind w:left="360"/>
        <w:jc w:val="both"/>
        <w:rPr>
          <w:rFonts w:ascii="Times New Roman" w:hAnsi="Times New Roman" w:cs="Times New Roman"/>
          <w:sz w:val="24"/>
          <w:szCs w:val="24"/>
        </w:rPr>
      </w:pPr>
    </w:p>
    <w:p w:rsidR="00B27E91" w:rsidRDefault="00EC00FA">
      <w:pPr>
        <w:spacing w:line="360" w:lineRule="auto"/>
        <w:ind w:left="360"/>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ANALYSIS </w:t>
      </w:r>
    </w:p>
    <w:p w:rsidR="00B27E91" w:rsidRDefault="00EC00FA">
      <w:pPr>
        <w:pStyle w:val="ListParagraph"/>
        <w:numPr>
          <w:ilvl w:val="0"/>
          <w:numId w:val="1"/>
        </w:numPr>
        <w:spacing w:after="20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As previously outlined in this judgment, the defendants’ application is anchored on four distinct points. I propose to assess the merits of the application in light of these four grounds.  </w:t>
      </w:r>
    </w:p>
    <w:p w:rsidR="00B27E91" w:rsidRDefault="00B27E91">
      <w:pPr>
        <w:pStyle w:val="ListParagraph"/>
        <w:spacing w:after="200" w:line="360" w:lineRule="auto"/>
        <w:jc w:val="both"/>
        <w:rPr>
          <w:rFonts w:ascii="Times New Roman" w:hAnsi="Times New Roman" w:cs="Times New Roman"/>
          <w:sz w:val="24"/>
          <w:szCs w:val="24"/>
        </w:rPr>
      </w:pPr>
    </w:p>
    <w:p w:rsidR="00B27E91" w:rsidRDefault="00EC00FA">
      <w:pPr>
        <w:pStyle w:val="ListParagraph"/>
        <w:numPr>
          <w:ilvl w:val="0"/>
          <w:numId w:val="3"/>
        </w:numPr>
        <w:spacing w:after="20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The standing of the plaintiff’s first two witnesses’ evidence </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 defendants contend that the evidence adduced from the plaintiff’s first two witnesses, namely Reverend Neshangwe and Reverend Sayimani, is inadmissible because they are barred. They contend, further, that if their evidence is expunged from the record, </w:t>
      </w:r>
      <w:r>
        <w:rPr>
          <w:rFonts w:ascii="Times New Roman" w:hAnsi="Times New Roman" w:cs="Times New Roman"/>
          <w:sz w:val="24"/>
          <w:szCs w:val="24"/>
        </w:rPr>
        <w:t xml:space="preserve">the evidence that stands on record is insufficient to uphold the plaintiff's claim. </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It is common cause that the first two witnesses who took the witness stand on behalf of the plaintiff are already cited in this suit as the second and third defendants. It</w:t>
      </w:r>
      <w:r>
        <w:rPr>
          <w:rFonts w:ascii="Times New Roman" w:hAnsi="Times New Roman" w:cs="Times New Roman"/>
          <w:sz w:val="24"/>
          <w:szCs w:val="24"/>
        </w:rPr>
        <w:t xml:space="preserve"> is also common cause that these defendants turned witnesses were served with the summons in this matter but they did not enter appearance to defend. The defendants’ counsel, Ms </w:t>
      </w:r>
      <w:r>
        <w:rPr>
          <w:rFonts w:ascii="Times New Roman" w:hAnsi="Times New Roman" w:cs="Times New Roman"/>
          <w:i/>
          <w:iCs/>
          <w:sz w:val="24"/>
          <w:szCs w:val="24"/>
        </w:rPr>
        <w:t>Mpofu</w:t>
      </w:r>
      <w:r>
        <w:rPr>
          <w:rFonts w:ascii="Times New Roman" w:hAnsi="Times New Roman" w:cs="Times New Roman"/>
          <w:sz w:val="24"/>
          <w:szCs w:val="24"/>
        </w:rPr>
        <w:t>, has argued in this court that by operation of r20 (7) of the Rules, the</w:t>
      </w:r>
      <w:r>
        <w:rPr>
          <w:rFonts w:ascii="Times New Roman" w:hAnsi="Times New Roman" w:cs="Times New Roman"/>
          <w:sz w:val="24"/>
          <w:szCs w:val="24"/>
        </w:rPr>
        <w:t xml:space="preserve"> two witnesses are barred for failure to enter appearance. Ms </w:t>
      </w:r>
      <w:r>
        <w:rPr>
          <w:rFonts w:ascii="Times New Roman" w:hAnsi="Times New Roman" w:cs="Times New Roman"/>
          <w:i/>
          <w:iCs/>
          <w:sz w:val="24"/>
          <w:szCs w:val="24"/>
        </w:rPr>
        <w:t>Mpofu</w:t>
      </w:r>
      <w:r>
        <w:rPr>
          <w:rFonts w:ascii="Times New Roman" w:hAnsi="Times New Roman" w:cs="Times New Roman"/>
          <w:sz w:val="24"/>
          <w:szCs w:val="24"/>
        </w:rPr>
        <w:t xml:space="preserve"> has argued, further, that in accordance with r39 (4) of the Rules, while this bar is in operation, the two witnesses are not permitted to appear personally in this action save for the purp</w:t>
      </w:r>
      <w:r>
        <w:rPr>
          <w:rFonts w:ascii="Times New Roman" w:hAnsi="Times New Roman" w:cs="Times New Roman"/>
          <w:sz w:val="24"/>
          <w:szCs w:val="24"/>
        </w:rPr>
        <w:t xml:space="preserve">oses of applying for the removal of the bar. </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It is common cause that the defendants’ objection comes at a time when the two witnesses have already testified and been excused by this court. The defendants’ prayer therefore is for the evidence of the two wi</w:t>
      </w:r>
      <w:r>
        <w:rPr>
          <w:rFonts w:ascii="Times New Roman" w:hAnsi="Times New Roman" w:cs="Times New Roman"/>
          <w:sz w:val="24"/>
          <w:szCs w:val="24"/>
        </w:rPr>
        <w:t>tnesses to be expunged from the record.</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iCs/>
          <w:sz w:val="24"/>
          <w:szCs w:val="24"/>
        </w:rPr>
        <w:t>Biti</w:t>
      </w:r>
      <w:r>
        <w:rPr>
          <w:rFonts w:ascii="Times New Roman" w:hAnsi="Times New Roman" w:cs="Times New Roman"/>
          <w:sz w:val="24"/>
          <w:szCs w:val="24"/>
        </w:rPr>
        <w:t>, for the plaintiff, argues that the bar does not apply to the two witnesses in their capacity as witnesses.  The two witnesses are not appearing as defendants but as the plaintiff’s witnesses. He has referred</w:t>
      </w:r>
      <w:r>
        <w:rPr>
          <w:rFonts w:ascii="Times New Roman" w:hAnsi="Times New Roman" w:cs="Times New Roman"/>
          <w:sz w:val="24"/>
          <w:szCs w:val="24"/>
        </w:rPr>
        <w:t xml:space="preserve"> this court to s4 of the Civil Evidence Act [</w:t>
      </w:r>
      <w:r>
        <w:rPr>
          <w:rFonts w:ascii="Times New Roman" w:hAnsi="Times New Roman" w:cs="Times New Roman"/>
          <w:i/>
          <w:sz w:val="24"/>
          <w:szCs w:val="24"/>
        </w:rPr>
        <w:t>Chapter 8:01</w:t>
      </w:r>
      <w:r>
        <w:rPr>
          <w:rFonts w:ascii="Times New Roman" w:hAnsi="Times New Roman" w:cs="Times New Roman"/>
          <w:sz w:val="24"/>
          <w:szCs w:val="24"/>
        </w:rPr>
        <w:t xml:space="preserve">] which allows for the calling of any competent person as a witness. He further argues that in civil proceedings, a plaintiff can call a defendant as a witness and </w:t>
      </w:r>
      <w:r>
        <w:rPr>
          <w:rFonts w:ascii="Times New Roman" w:hAnsi="Times New Roman" w:cs="Times New Roman"/>
          <w:i/>
          <w:sz w:val="24"/>
          <w:szCs w:val="24"/>
        </w:rPr>
        <w:t>vice versa</w:t>
      </w:r>
      <w:r>
        <w:rPr>
          <w:rFonts w:ascii="Times New Roman" w:hAnsi="Times New Roman" w:cs="Times New Roman"/>
          <w:sz w:val="24"/>
          <w:szCs w:val="24"/>
        </w:rPr>
        <w:t>. For this proposition, h</w:t>
      </w:r>
      <w:r>
        <w:rPr>
          <w:rFonts w:ascii="Times New Roman" w:hAnsi="Times New Roman" w:cs="Times New Roman"/>
          <w:sz w:val="24"/>
          <w:szCs w:val="24"/>
        </w:rPr>
        <w:t xml:space="preserve">e has referred the court to the text by S.E. Van Der Merwe, </w:t>
      </w:r>
      <w:r>
        <w:rPr>
          <w:rFonts w:ascii="Times New Roman" w:hAnsi="Times New Roman" w:cs="Times New Roman"/>
          <w:i/>
          <w:sz w:val="24"/>
          <w:szCs w:val="24"/>
        </w:rPr>
        <w:t>The Principles of Evidence,</w:t>
      </w:r>
      <w:r>
        <w:rPr>
          <w:rFonts w:ascii="Times New Roman" w:hAnsi="Times New Roman" w:cs="Times New Roman"/>
          <w:sz w:val="24"/>
          <w:szCs w:val="24"/>
        </w:rPr>
        <w:t xml:space="preserv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Edition, (2012) Juta &amp; Co at p 422. He avers that there was nothing wrong with the plaintiff calling a defendant as a witness.  </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Section 4 of the Civil Evidence Act</w:t>
      </w:r>
      <w:r>
        <w:rPr>
          <w:rFonts w:ascii="Times New Roman" w:hAnsi="Times New Roman" w:cs="Times New Roman"/>
          <w:sz w:val="24"/>
          <w:szCs w:val="24"/>
        </w:rPr>
        <w:t xml:space="preserve"> provides that: -</w:t>
      </w:r>
    </w:p>
    <w:p w:rsidR="00B27E91" w:rsidRDefault="00EC00FA">
      <w:pPr>
        <w:spacing w:line="240" w:lineRule="auto"/>
        <w:ind w:left="720"/>
        <w:jc w:val="both"/>
        <w:rPr>
          <w:rFonts w:ascii="Times New Roman" w:hAnsi="Times New Roman" w:cs="Times New Roman"/>
        </w:rPr>
      </w:pPr>
      <w:r>
        <w:rPr>
          <w:rFonts w:ascii="Times New Roman" w:hAnsi="Times New Roman" w:cs="Times New Roman"/>
        </w:rPr>
        <w:t>“Except as otherwise provided in this Act or any other enactment, every person shall be competent to give evidence in any civil proceedings.”</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 word ‘competent’ is not defined in the Act. However, </w:t>
      </w:r>
      <w:r>
        <w:rPr>
          <w:rFonts w:ascii="Times New Roman" w:hAnsi="Times New Roman" w:cs="Times New Roman"/>
          <w:i/>
          <w:iCs/>
          <w:sz w:val="24"/>
          <w:szCs w:val="24"/>
        </w:rPr>
        <w:t>Black’s Law Dictionary</w:t>
      </w:r>
      <w:r>
        <w:rPr>
          <w:rFonts w:ascii="Times New Roman" w:eastAsia="Times New Roman" w:hAnsi="Times New Roman" w:cs="Times New Roman"/>
          <w:i/>
          <w:color w:val="000000"/>
          <w:sz w:val="24"/>
          <w:szCs w:val="24"/>
          <w:lang w:eastAsia="en-ZW"/>
        </w:rPr>
        <w:t xml:space="preserve">, </w:t>
      </w:r>
      <w:r>
        <w:rPr>
          <w:rFonts w:ascii="Times New Roman" w:eastAsia="Times New Roman" w:hAnsi="Times New Roman" w:cs="Times New Roman"/>
          <w:color w:val="000000"/>
          <w:sz w:val="24"/>
          <w:szCs w:val="24"/>
          <w:lang w:eastAsia="en-ZW"/>
        </w:rPr>
        <w:t>8</w:t>
      </w:r>
      <w:r>
        <w:rPr>
          <w:rFonts w:ascii="Times New Roman" w:eastAsia="Times New Roman" w:hAnsi="Times New Roman" w:cs="Times New Roman"/>
          <w:color w:val="000000"/>
          <w:sz w:val="24"/>
          <w:szCs w:val="24"/>
          <w:vertAlign w:val="superscript"/>
          <w:lang w:eastAsia="en-ZW"/>
        </w:rPr>
        <w:t>th</w:t>
      </w:r>
      <w:r>
        <w:rPr>
          <w:rFonts w:ascii="Times New Roman" w:eastAsia="Times New Roman" w:hAnsi="Times New Roman" w:cs="Times New Roman"/>
          <w:color w:val="000000"/>
          <w:sz w:val="24"/>
          <w:szCs w:val="24"/>
          <w:lang w:eastAsia="en-ZW"/>
        </w:rPr>
        <w:t xml:space="preserve"> Edition, (</w:t>
      </w:r>
      <w:r>
        <w:rPr>
          <w:rFonts w:ascii="Times New Roman" w:eastAsia="Times New Roman" w:hAnsi="Times New Roman" w:cs="Times New Roman"/>
          <w:iCs/>
          <w:color w:val="000000"/>
          <w:sz w:val="24"/>
          <w:szCs w:val="24"/>
          <w:lang w:eastAsia="en-ZW"/>
        </w:rPr>
        <w:t>2004)</w:t>
      </w:r>
      <w:r>
        <w:rPr>
          <w:rFonts w:ascii="Times New Roman" w:hAnsi="Times New Roman" w:cs="Times New Roman"/>
          <w:sz w:val="24"/>
          <w:szCs w:val="24"/>
        </w:rPr>
        <w:t xml:space="preserve"> at p. 855, defines the term as “the basic and minimal ability to do </w:t>
      </w:r>
      <w:r>
        <w:rPr>
          <w:rFonts w:ascii="Times New Roman" w:hAnsi="Times New Roman" w:cs="Times New Roman"/>
          <w:sz w:val="24"/>
          <w:szCs w:val="24"/>
        </w:rPr>
        <w:lastRenderedPageBreak/>
        <w:t>something.” The same dictionary at p. 4947 defines a ‘competent witness’ as “A witness who is legally qualified to testify.”</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The requirement to enter an appearance to defend is in r2</w:t>
      </w:r>
      <w:r>
        <w:rPr>
          <w:rFonts w:ascii="Times New Roman" w:hAnsi="Times New Roman" w:cs="Times New Roman"/>
          <w:sz w:val="24"/>
          <w:szCs w:val="24"/>
        </w:rPr>
        <w:t xml:space="preserve">0 (2) of the Rules. In turn, r20 (7) provides that a party who fails to enter such appearance shall be barred. The effect of a bar is that the party may not file documents, enter an appearance or be represented by a legal practitioner in the proceedings. </w:t>
      </w:r>
    </w:p>
    <w:p w:rsidR="00B27E91" w:rsidRDefault="00EC00FA">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This raises the question: does ‘appearance’ in this context include appearing as a witness? The question has been addressed by this court in the case of </w:t>
      </w:r>
      <w:r>
        <w:rPr>
          <w:rFonts w:ascii="Times New Roman" w:hAnsi="Times New Roman" w:cs="Times New Roman"/>
          <w:i/>
          <w:sz w:val="24"/>
          <w:szCs w:val="24"/>
        </w:rPr>
        <w:t>Mutandwa</w:t>
      </w:r>
      <w:r>
        <w:rPr>
          <w:rFonts w:ascii="Times New Roman" w:hAnsi="Times New Roman" w:cs="Times New Roman"/>
          <w:sz w:val="24"/>
          <w:szCs w:val="24"/>
        </w:rPr>
        <w:t xml:space="preserve"> v </w:t>
      </w:r>
      <w:r>
        <w:rPr>
          <w:rFonts w:ascii="Times New Roman" w:hAnsi="Times New Roman" w:cs="Times New Roman"/>
          <w:i/>
          <w:sz w:val="24"/>
          <w:szCs w:val="24"/>
        </w:rPr>
        <w:t>Zhuwake</w:t>
      </w:r>
      <w:r>
        <w:rPr>
          <w:rFonts w:ascii="Times New Roman" w:hAnsi="Times New Roman" w:cs="Times New Roman"/>
          <w:sz w:val="24"/>
          <w:szCs w:val="24"/>
        </w:rPr>
        <w:t xml:space="preserve"> </w:t>
      </w:r>
      <w:r>
        <w:rPr>
          <w:rFonts w:ascii="Times New Roman" w:hAnsi="Times New Roman" w:cs="Times New Roman"/>
          <w:i/>
          <w:sz w:val="24"/>
          <w:szCs w:val="24"/>
        </w:rPr>
        <w:t>and Others</w:t>
      </w:r>
      <w:r>
        <w:rPr>
          <w:rFonts w:ascii="Times New Roman" w:hAnsi="Times New Roman" w:cs="Times New Roman"/>
          <w:sz w:val="24"/>
          <w:szCs w:val="24"/>
        </w:rPr>
        <w:t xml:space="preserve"> HH-50-10 where the court remarked that:  </w:t>
      </w:r>
    </w:p>
    <w:p w:rsidR="00B27E91" w:rsidRDefault="00EC00FA">
      <w:pPr>
        <w:spacing w:after="0" w:line="240" w:lineRule="auto"/>
        <w:ind w:left="1440"/>
        <w:jc w:val="both"/>
        <w:rPr>
          <w:rFonts w:ascii="Times New Roman" w:hAnsi="Times New Roman" w:cs="Times New Roman"/>
        </w:rPr>
      </w:pPr>
      <w:r>
        <w:rPr>
          <w:rFonts w:ascii="Times New Roman" w:hAnsi="Times New Roman" w:cs="Times New Roman"/>
        </w:rPr>
        <w:t xml:space="preserve">“Whereas r 83 expressly bars a </w:t>
      </w:r>
      <w:r>
        <w:rPr>
          <w:rFonts w:ascii="Times New Roman" w:hAnsi="Times New Roman" w:cs="Times New Roman"/>
        </w:rPr>
        <w:t>barred party from being heard other than for the upliftment of the bar, it does not preclude a barred party from giving evidence as a witness at the instance of an interested party.</w:t>
      </w:r>
    </w:p>
    <w:p w:rsidR="00B27E91" w:rsidRDefault="00B27E91">
      <w:pPr>
        <w:spacing w:after="0" w:line="240" w:lineRule="auto"/>
        <w:ind w:left="1440"/>
        <w:jc w:val="both"/>
        <w:rPr>
          <w:rFonts w:ascii="Times New Roman" w:hAnsi="Times New Roman" w:cs="Times New Roman"/>
        </w:rPr>
      </w:pPr>
    </w:p>
    <w:p w:rsidR="00B27E91" w:rsidRDefault="00EC00FA">
      <w:pPr>
        <w:spacing w:after="0" w:line="240" w:lineRule="auto"/>
        <w:ind w:left="1440"/>
        <w:jc w:val="both"/>
        <w:rPr>
          <w:rFonts w:ascii="Times New Roman" w:hAnsi="Times New Roman" w:cs="Times New Roman"/>
        </w:rPr>
      </w:pPr>
      <w:r>
        <w:rPr>
          <w:rFonts w:ascii="Times New Roman" w:hAnsi="Times New Roman" w:cs="Times New Roman"/>
        </w:rPr>
        <w:t>Had the law maker intended to bar a party who has been barred from giving</w:t>
      </w:r>
      <w:r>
        <w:rPr>
          <w:rFonts w:ascii="Times New Roman" w:hAnsi="Times New Roman" w:cs="Times New Roman"/>
        </w:rPr>
        <w:t xml:space="preserve"> evidence it would have undoubtedly expressly said so.</w:t>
      </w:r>
    </w:p>
    <w:p w:rsidR="00B27E91" w:rsidRDefault="00B27E91">
      <w:pPr>
        <w:spacing w:after="0" w:line="240" w:lineRule="auto"/>
        <w:ind w:left="1440"/>
        <w:jc w:val="both"/>
        <w:rPr>
          <w:rFonts w:ascii="Times New Roman" w:hAnsi="Times New Roman" w:cs="Times New Roman"/>
        </w:rPr>
      </w:pPr>
    </w:p>
    <w:p w:rsidR="00B27E91" w:rsidRDefault="00EC00FA">
      <w:pPr>
        <w:spacing w:after="0" w:line="240" w:lineRule="auto"/>
        <w:ind w:left="1440"/>
        <w:jc w:val="both"/>
        <w:rPr>
          <w:rFonts w:ascii="Times New Roman" w:hAnsi="Times New Roman" w:cs="Times New Roman"/>
        </w:rPr>
      </w:pPr>
      <w:r>
        <w:rPr>
          <w:rFonts w:ascii="Times New Roman" w:hAnsi="Times New Roman" w:cs="Times New Roman"/>
        </w:rPr>
        <w:t>As the law does not expressly bar a barred party from giving evidence as a witness it means that the law does not prohibit him from being called as a witness by another party in the same proceedings.</w:t>
      </w:r>
    </w:p>
    <w:p w:rsidR="00B27E91" w:rsidRDefault="00B27E91">
      <w:pPr>
        <w:spacing w:after="0" w:line="240" w:lineRule="auto"/>
        <w:ind w:left="1440"/>
        <w:jc w:val="both"/>
        <w:rPr>
          <w:rFonts w:ascii="Times New Roman" w:hAnsi="Times New Roman" w:cs="Times New Roman"/>
        </w:rPr>
      </w:pPr>
    </w:p>
    <w:p w:rsidR="00B27E91" w:rsidRDefault="00EC00FA">
      <w:pPr>
        <w:spacing w:after="0" w:line="240" w:lineRule="auto"/>
        <w:ind w:left="1440"/>
        <w:jc w:val="both"/>
        <w:rPr>
          <w:rFonts w:ascii="Times New Roman" w:hAnsi="Times New Roman" w:cs="Times New Roman"/>
          <w:bCs/>
          <w:iCs/>
          <w:u w:val="single"/>
        </w:rPr>
      </w:pPr>
      <w:r>
        <w:rPr>
          <w:rFonts w:ascii="Times New Roman" w:hAnsi="Times New Roman" w:cs="Times New Roman"/>
        </w:rPr>
        <w:t xml:space="preserve">It is trite that what is not prohibited by law is permissible at law. For that reason, I hold that it is competent for the plaintiff to call the second defendant not withstanding that she has been barred from being heard as a party. </w:t>
      </w:r>
      <w:r>
        <w:rPr>
          <w:rFonts w:ascii="Times New Roman" w:hAnsi="Times New Roman" w:cs="Times New Roman"/>
          <w:bCs/>
          <w:iCs/>
          <w:u w:val="single"/>
        </w:rPr>
        <w:t>Being heard as party i</w:t>
      </w:r>
      <w:r>
        <w:rPr>
          <w:rFonts w:ascii="Times New Roman" w:hAnsi="Times New Roman" w:cs="Times New Roman"/>
          <w:bCs/>
          <w:iCs/>
          <w:u w:val="single"/>
        </w:rPr>
        <w:t>s different from being heard as a witness for the other party.</w:t>
      </w:r>
    </w:p>
    <w:p w:rsidR="00B27E91" w:rsidRDefault="00B27E91">
      <w:pPr>
        <w:spacing w:after="0" w:line="240" w:lineRule="auto"/>
        <w:ind w:left="1440"/>
        <w:jc w:val="both"/>
        <w:rPr>
          <w:rFonts w:ascii="Times New Roman" w:hAnsi="Times New Roman" w:cs="Times New Roman"/>
          <w:bCs/>
          <w:iCs/>
        </w:rPr>
      </w:pPr>
    </w:p>
    <w:p w:rsidR="00B27E91" w:rsidRDefault="00EC00FA">
      <w:pPr>
        <w:spacing w:after="0" w:line="240" w:lineRule="auto"/>
        <w:ind w:left="1440"/>
        <w:jc w:val="both"/>
        <w:rPr>
          <w:rFonts w:ascii="Times New Roman" w:hAnsi="Times New Roman" w:cs="Times New Roman"/>
        </w:rPr>
      </w:pPr>
      <w:r>
        <w:rPr>
          <w:rFonts w:ascii="Times New Roman" w:hAnsi="Times New Roman" w:cs="Times New Roman"/>
        </w:rPr>
        <w:t xml:space="preserve">It is accordingly ordered that the plaintiff be and is hereby allowed to call the second defendant as a witness in these proceedings.” </w:t>
      </w:r>
      <w:r>
        <w:rPr>
          <w:rFonts w:ascii="Times New Roman" w:hAnsi="Times New Roman" w:cs="Times New Roman"/>
          <w:sz w:val="24"/>
          <w:szCs w:val="24"/>
        </w:rPr>
        <w:t>[my emphasis]</w:t>
      </w:r>
    </w:p>
    <w:p w:rsidR="00B27E91" w:rsidRDefault="00B27E91">
      <w:pPr>
        <w:spacing w:after="0" w:line="240" w:lineRule="auto"/>
        <w:ind w:left="720"/>
        <w:jc w:val="both"/>
        <w:rPr>
          <w:rFonts w:ascii="Times New Roman" w:hAnsi="Times New Roman" w:cs="Times New Roman"/>
        </w:rPr>
      </w:pPr>
      <w:bookmarkStart w:id="9" w:name="_Hlk206496692"/>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now r39 (4) mirrors the then r83 of th</w:t>
      </w:r>
      <w:r>
        <w:rPr>
          <w:rFonts w:ascii="Times New Roman" w:hAnsi="Times New Roman" w:cs="Times New Roman"/>
          <w:sz w:val="24"/>
          <w:szCs w:val="24"/>
        </w:rPr>
        <w:t xml:space="preserve">e High Court Rules, 1971 which the court referred to in the above excerpt. Thus, the settled position is that failure to enter an appearance to defend does not preclude a party from being called as a witness by the plaintiff. Such a party remains </w:t>
      </w:r>
      <w:bookmarkEnd w:id="9"/>
      <w:r>
        <w:rPr>
          <w:rFonts w:ascii="Times New Roman" w:hAnsi="Times New Roman" w:cs="Times New Roman"/>
          <w:sz w:val="24"/>
          <w:szCs w:val="24"/>
        </w:rPr>
        <w:t>a compete</w:t>
      </w:r>
      <w:r>
        <w:rPr>
          <w:rFonts w:ascii="Times New Roman" w:hAnsi="Times New Roman" w:cs="Times New Roman"/>
          <w:sz w:val="24"/>
          <w:szCs w:val="24"/>
        </w:rPr>
        <w:t xml:space="preserve">nt witness as there is no legal impediment to their testimony. On this basis, there being no legal disqualification for them to give evidence as witnesses, I find that the two defendants turned witnesses are competent witnesses. </w:t>
      </w: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Turning to the evidence le</w:t>
      </w:r>
      <w:r>
        <w:rPr>
          <w:rFonts w:ascii="Times New Roman" w:hAnsi="Times New Roman" w:cs="Times New Roman"/>
          <w:sz w:val="24"/>
          <w:szCs w:val="24"/>
        </w:rPr>
        <w:t>d to prove the first issue for trial, deed of trust A has not been disputed by any party to the proceedings. In fact, the defendants accept it as the valid deed of trust. Reverend Sayimani testified that he did not sign the deed of trust, neither did he ap</w:t>
      </w:r>
      <w:r>
        <w:rPr>
          <w:rFonts w:ascii="Times New Roman" w:hAnsi="Times New Roman" w:cs="Times New Roman"/>
          <w:sz w:val="24"/>
          <w:szCs w:val="24"/>
        </w:rPr>
        <w:t xml:space="preserve">pear before the eighth defendant on 24 July 2008. This is contrary to what is stipulated in that deed of trust. The testimony on record is that at the relevant </w:t>
      </w:r>
      <w:r>
        <w:rPr>
          <w:rFonts w:ascii="Times New Roman" w:hAnsi="Times New Roman" w:cs="Times New Roman"/>
          <w:sz w:val="24"/>
          <w:szCs w:val="24"/>
        </w:rPr>
        <w:lastRenderedPageBreak/>
        <w:t>time, Reverend Sayimani had lost his wife and was away on compassionate leave. This was corrobor</w:t>
      </w:r>
      <w:r>
        <w:rPr>
          <w:rFonts w:ascii="Times New Roman" w:hAnsi="Times New Roman" w:cs="Times New Roman"/>
          <w:sz w:val="24"/>
          <w:szCs w:val="24"/>
        </w:rPr>
        <w:t>ated by Reverend Neshangwe. It was also Reverend Sayimani’s evidence that he was not authorised to execute the deed. Materially, his evidence on not signing the deed of trust, not appearing in Bulawayo and not appearing before the eighth defendant stands u</w:t>
      </w:r>
      <w:r>
        <w:rPr>
          <w:rFonts w:ascii="Times New Roman" w:hAnsi="Times New Roman" w:cs="Times New Roman"/>
          <w:sz w:val="24"/>
          <w:szCs w:val="24"/>
        </w:rPr>
        <w:t xml:space="preserve">ncontroverted.  </w:t>
      </w:r>
      <w:r>
        <w:rPr>
          <w:rFonts w:ascii="Times New Roman" w:hAnsi="Times New Roman" w:cs="Times New Roman"/>
          <w:i/>
          <w:iCs/>
          <w:sz w:val="24"/>
          <w:szCs w:val="24"/>
        </w:rPr>
        <w:t>Prima facie</w:t>
      </w:r>
      <w:r>
        <w:rPr>
          <w:rFonts w:ascii="Times New Roman" w:hAnsi="Times New Roman" w:cs="Times New Roman"/>
          <w:sz w:val="24"/>
          <w:szCs w:val="24"/>
        </w:rPr>
        <w:t>, it would appear that the deed of trust may not have been properly registered, to the extent that it tells a story which the person who is said to have taken decisive and critical steps for its formation testifies that he did no</w:t>
      </w:r>
      <w:r>
        <w:rPr>
          <w:rFonts w:ascii="Times New Roman" w:hAnsi="Times New Roman" w:cs="Times New Roman"/>
          <w:sz w:val="24"/>
          <w:szCs w:val="24"/>
        </w:rPr>
        <w:t xml:space="preserve">ne of those things. </w:t>
      </w: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defendants argue that the circumstances of the matter must be evaluated to see whether the plaintiff had the intention to create the Trust. They further argue that the extracts of the plaintiff’s meeting minutes are reflective of the plaintiff’s desire</w:t>
      </w:r>
      <w:r>
        <w:rPr>
          <w:rFonts w:ascii="Times New Roman" w:hAnsi="Times New Roman" w:cs="Times New Roman"/>
          <w:sz w:val="24"/>
          <w:szCs w:val="24"/>
        </w:rPr>
        <w:t xml:space="preserve"> to create a trust. In their plea, the defendants pleaded that they received express authority to register the Trust.  In my view, this argument, if anything, lends credence to the need for the defendants to present their evidence to buttress their content</w:t>
      </w:r>
      <w:r>
        <w:rPr>
          <w:rFonts w:ascii="Times New Roman" w:hAnsi="Times New Roman" w:cs="Times New Roman"/>
          <w:sz w:val="24"/>
          <w:szCs w:val="24"/>
        </w:rPr>
        <w:t xml:space="preserve">ions. I make these comments alive to the observations made by </w:t>
      </w:r>
      <w:r>
        <w:rPr>
          <w:rFonts w:ascii="Times New Roman" w:eastAsia="Calibri" w:hAnsi="Times New Roman" w:cs="Times New Roman"/>
          <w:bCs/>
          <w:smallCaps/>
          <w:sz w:val="24"/>
          <w:szCs w:val="24"/>
        </w:rPr>
        <w:t>Beadle CJ</w:t>
      </w:r>
      <w:r>
        <w:rPr>
          <w:rFonts w:ascii="Times New Roman" w:hAnsi="Times New Roman" w:cs="Times New Roman"/>
        </w:rPr>
        <w:t xml:space="preserve"> </w:t>
      </w:r>
      <w:r>
        <w:rPr>
          <w:rFonts w:ascii="Times New Roman" w:hAnsi="Times New Roman" w:cs="Times New Roman"/>
          <w:sz w:val="24"/>
          <w:szCs w:val="24"/>
        </w:rPr>
        <w:t xml:space="preserve">in the </w:t>
      </w:r>
      <w:r>
        <w:rPr>
          <w:rFonts w:ascii="Times New Roman" w:hAnsi="Times New Roman" w:cs="Times New Roman"/>
          <w:i/>
          <w:sz w:val="24"/>
          <w:szCs w:val="24"/>
        </w:rPr>
        <w:t>Supreme Service Station</w:t>
      </w:r>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 xml:space="preserve"> that</w:t>
      </w:r>
    </w:p>
    <w:p w:rsidR="00B27E91" w:rsidRDefault="00EC00FA">
      <w:pPr>
        <w:pStyle w:val="ListParagraph"/>
        <w:spacing w:line="240" w:lineRule="auto"/>
        <w:ind w:left="1440"/>
        <w:jc w:val="both"/>
        <w:rPr>
          <w:rFonts w:ascii="Times New Roman" w:hAnsi="Times New Roman" w:cs="Times New Roman"/>
        </w:rPr>
      </w:pPr>
      <w:r>
        <w:rPr>
          <w:rFonts w:ascii="Times New Roman" w:hAnsi="Times New Roman" w:cs="Times New Roman"/>
        </w:rPr>
        <w:t>“… rules of procedure are made to ensure that justice is done between the parties, and, so far as possible, courts should not allow rules</w:t>
      </w:r>
      <w:r>
        <w:rPr>
          <w:rFonts w:ascii="Times New Roman" w:hAnsi="Times New Roman" w:cs="Times New Roman"/>
        </w:rPr>
        <w:t xml:space="preserve"> of procedure to be used to cause an injustice. If the defence is something peculiarly within the knowledge of a defendant, and the plaintiff has made out some case to answer, the plaintiff should not lightly be deprived of his remedy without first hearing</w:t>
      </w:r>
      <w:r>
        <w:rPr>
          <w:rFonts w:ascii="Times New Roman" w:hAnsi="Times New Roman" w:cs="Times New Roman"/>
        </w:rPr>
        <w:t xml:space="preserve"> what defendant has to say. </w:t>
      </w:r>
      <w:bookmarkStart w:id="10" w:name="_Hlk206505668"/>
      <w:r>
        <w:rPr>
          <w:rFonts w:ascii="Times New Roman" w:hAnsi="Times New Roman" w:cs="Times New Roman"/>
        </w:rPr>
        <w:t>A defendant who might be afraid to go into the witness box should not be permitted to shelter behind the procedure of absolution from the instance”</w:t>
      </w:r>
    </w:p>
    <w:bookmarkEnd w:id="10"/>
    <w:p w:rsidR="00B27E91" w:rsidRDefault="00EC00F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my view, the plaintiff has managed to prove a </w:t>
      </w:r>
      <w:r>
        <w:rPr>
          <w:rFonts w:ascii="Times New Roman" w:hAnsi="Times New Roman" w:cs="Times New Roman"/>
          <w:i/>
          <w:iCs/>
          <w:sz w:val="24"/>
          <w:szCs w:val="24"/>
        </w:rPr>
        <w:t>prima facie</w:t>
      </w:r>
      <w:r>
        <w:rPr>
          <w:rFonts w:ascii="Times New Roman" w:hAnsi="Times New Roman" w:cs="Times New Roman"/>
          <w:sz w:val="24"/>
          <w:szCs w:val="24"/>
        </w:rPr>
        <w:t xml:space="preserve"> case in respect o</w:t>
      </w:r>
      <w:r>
        <w:rPr>
          <w:rFonts w:ascii="Times New Roman" w:hAnsi="Times New Roman" w:cs="Times New Roman"/>
          <w:sz w:val="24"/>
          <w:szCs w:val="24"/>
        </w:rPr>
        <w:t xml:space="preserve">f this issue.  </w:t>
      </w: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With regards deed of trust B, which was purportedly founded by Reverend Neshangwe, he testified that he neither appeared before the eighth defendant, nor was he the plaintiff’s Moderator at that time so he could not have possibly acted in t</w:t>
      </w:r>
      <w:r>
        <w:rPr>
          <w:rFonts w:ascii="Times New Roman" w:hAnsi="Times New Roman" w:cs="Times New Roman"/>
          <w:sz w:val="24"/>
          <w:szCs w:val="24"/>
        </w:rPr>
        <w:t xml:space="preserve">hat capacity. It occurs to me that if Reverend Neshangwe did not participate as alleged, </w:t>
      </w:r>
      <w:r>
        <w:rPr>
          <w:rFonts w:ascii="Times New Roman" w:hAnsi="Times New Roman" w:cs="Times New Roman"/>
          <w:i/>
          <w:iCs/>
          <w:sz w:val="24"/>
          <w:szCs w:val="24"/>
        </w:rPr>
        <w:t>prima facie</w:t>
      </w:r>
      <w:r>
        <w:rPr>
          <w:rFonts w:ascii="Times New Roman" w:hAnsi="Times New Roman" w:cs="Times New Roman"/>
          <w:sz w:val="24"/>
          <w:szCs w:val="24"/>
        </w:rPr>
        <w:t xml:space="preserve">, there is an irregularity with the second deed of trust as well. The fact that the defendants, in cross examining the plaintiff’s witnesses, disowned that </w:t>
      </w:r>
      <w:r>
        <w:rPr>
          <w:rFonts w:ascii="Times New Roman" w:hAnsi="Times New Roman" w:cs="Times New Roman"/>
          <w:sz w:val="24"/>
          <w:szCs w:val="24"/>
        </w:rPr>
        <w:t xml:space="preserve">document only goes to support that the deed of trust is </w:t>
      </w:r>
      <w:r>
        <w:rPr>
          <w:rFonts w:ascii="Times New Roman" w:hAnsi="Times New Roman" w:cs="Times New Roman"/>
          <w:i/>
          <w:iCs/>
          <w:sz w:val="24"/>
          <w:szCs w:val="24"/>
        </w:rPr>
        <w:t>prima facie</w:t>
      </w:r>
      <w:r>
        <w:rPr>
          <w:rFonts w:ascii="Times New Roman" w:hAnsi="Times New Roman" w:cs="Times New Roman"/>
          <w:sz w:val="24"/>
          <w:szCs w:val="24"/>
        </w:rPr>
        <w:t xml:space="preserve"> irregular, thereby establishing a </w:t>
      </w:r>
      <w:r>
        <w:rPr>
          <w:rFonts w:ascii="Times New Roman" w:hAnsi="Times New Roman" w:cs="Times New Roman"/>
          <w:i/>
          <w:iCs/>
          <w:sz w:val="24"/>
          <w:szCs w:val="24"/>
        </w:rPr>
        <w:t>prima facie</w:t>
      </w:r>
      <w:r>
        <w:rPr>
          <w:rFonts w:ascii="Times New Roman" w:hAnsi="Times New Roman" w:cs="Times New Roman"/>
          <w:sz w:val="24"/>
          <w:szCs w:val="24"/>
        </w:rPr>
        <w:t xml:space="preserve"> case.   </w:t>
      </w: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motivating their application, the defendants indicate in their heads of argument that they accept that a trust deed must have bene</w:t>
      </w:r>
      <w:r>
        <w:rPr>
          <w:rFonts w:ascii="Times New Roman" w:hAnsi="Times New Roman" w:cs="Times New Roman"/>
          <w:sz w:val="24"/>
          <w:szCs w:val="24"/>
        </w:rPr>
        <w:t>ficiaries. If this is accepted by the defendants, then the absence of beneficiaries in either the deed they accept or the one that they disown puts the validity of those deeds into question. In my view, the justice of this case would therefore require that</w:t>
      </w:r>
      <w:r>
        <w:rPr>
          <w:rFonts w:ascii="Times New Roman" w:hAnsi="Times New Roman" w:cs="Times New Roman"/>
          <w:sz w:val="24"/>
          <w:szCs w:val="24"/>
        </w:rPr>
        <w:t xml:space="preserve"> the court hears what the defendants have to say. The authority the defendants speak of in relation to deed of trust A, or the purported creation of a phantom deed of trust B by the plaintiff, is something which is peculiarly within the knowledge of the de</w:t>
      </w:r>
      <w:r>
        <w:rPr>
          <w:rFonts w:ascii="Times New Roman" w:hAnsi="Times New Roman" w:cs="Times New Roman"/>
          <w:sz w:val="24"/>
          <w:szCs w:val="24"/>
        </w:rPr>
        <w:t xml:space="preserve">fendants and the plaintiff, having made out some case to answer, should not lightly be deprived of its remedy without first hearing what the defendants have to say.  </w:t>
      </w:r>
    </w:p>
    <w:p w:rsidR="00B27E91" w:rsidRDefault="00B27E91">
      <w:pPr>
        <w:pStyle w:val="ListParagraph"/>
        <w:spacing w:line="360" w:lineRule="auto"/>
        <w:jc w:val="both"/>
        <w:rPr>
          <w:rFonts w:ascii="Times New Roman" w:hAnsi="Times New Roman" w:cs="Times New Roman"/>
          <w:sz w:val="24"/>
          <w:szCs w:val="24"/>
        </w:rPr>
      </w:pPr>
    </w:p>
    <w:p w:rsidR="00B27E91" w:rsidRDefault="00EC00FA">
      <w:pPr>
        <w:pStyle w:val="ListParagraph"/>
        <w:numPr>
          <w:ilvl w:val="0"/>
          <w:numId w:val="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Whether or not deed of trust B is admissible</w:t>
      </w:r>
    </w:p>
    <w:p w:rsidR="00B27E91" w:rsidRDefault="00EC00FA">
      <w:pPr>
        <w:pStyle w:val="ListParagraph"/>
        <w:numPr>
          <w:ilvl w:val="0"/>
          <w:numId w:val="1"/>
        </w:numPr>
        <w:spacing w:line="360" w:lineRule="auto"/>
        <w:jc w:val="both"/>
        <w:rPr>
          <w:rFonts w:ascii="Arial" w:hAnsi="Arial" w:cs="Arial"/>
          <w:sz w:val="21"/>
          <w:szCs w:val="21"/>
        </w:rPr>
      </w:pPr>
      <w:r>
        <w:rPr>
          <w:rFonts w:ascii="Times New Roman" w:hAnsi="Times New Roman" w:cs="Times New Roman"/>
          <w:sz w:val="24"/>
          <w:szCs w:val="24"/>
        </w:rPr>
        <w:t>The defendants also contest the admissibili</w:t>
      </w:r>
      <w:r>
        <w:rPr>
          <w:rFonts w:ascii="Times New Roman" w:hAnsi="Times New Roman" w:cs="Times New Roman"/>
          <w:sz w:val="24"/>
          <w:szCs w:val="24"/>
        </w:rPr>
        <w:t>ty of deed of trust B on</w:t>
      </w:r>
      <w:r>
        <w:rPr>
          <w:rFonts w:ascii="Times New Roman" w:hAnsi="Times New Roman" w:cs="Times New Roman"/>
        </w:rPr>
        <w:t xml:space="preserve"> </w:t>
      </w:r>
      <w:r>
        <w:rPr>
          <w:rFonts w:ascii="Times New Roman" w:hAnsi="Times New Roman" w:cs="Times New Roman"/>
          <w:sz w:val="24"/>
          <w:szCs w:val="24"/>
        </w:rPr>
        <w:t>the basis that it is not an original. Section 11 of the Civil Evidence Act provides that a copy of a document shall not be admissible to prove the document’s contents unless all the parties to the civil proceedings consent to the p</w:t>
      </w:r>
      <w:r>
        <w:rPr>
          <w:rFonts w:ascii="Times New Roman" w:hAnsi="Times New Roman" w:cs="Times New Roman"/>
          <w:sz w:val="24"/>
          <w:szCs w:val="24"/>
        </w:rPr>
        <w:t>roduction of the copy. The court however has a discretion to permit the production of the copy where it is satisfied that the original document has been destroyed or irretrievably lost; or is in the possession of another party to the proceedings who refuse</w:t>
      </w:r>
      <w:r>
        <w:rPr>
          <w:rFonts w:ascii="Times New Roman" w:hAnsi="Times New Roman" w:cs="Times New Roman"/>
          <w:sz w:val="24"/>
          <w:szCs w:val="24"/>
        </w:rPr>
        <w:t xml:space="preserve">s to produce the original document; or is in the possession of a person who cannot be required by law to produce the original; or is outside Zimbabwe; or for any other good and sufficient cause, it cannot reasonably or practicably be produced. </w:t>
      </w:r>
    </w:p>
    <w:p w:rsidR="00B27E91" w:rsidRDefault="00EC00FA">
      <w:pPr>
        <w:pStyle w:val="ListParagraph"/>
        <w:numPr>
          <w:ilvl w:val="0"/>
          <w:numId w:val="1"/>
        </w:numPr>
        <w:spacing w:line="360" w:lineRule="auto"/>
        <w:jc w:val="both"/>
        <w:rPr>
          <w:rFonts w:ascii="Arial" w:hAnsi="Arial" w:cs="Arial"/>
          <w:sz w:val="21"/>
          <w:szCs w:val="21"/>
        </w:rPr>
      </w:pPr>
      <w:r>
        <w:rPr>
          <w:rFonts w:ascii="Times New Roman" w:hAnsi="Times New Roman" w:cs="Times New Roman"/>
          <w:sz w:val="24"/>
          <w:szCs w:val="24"/>
        </w:rPr>
        <w:t>According t</w:t>
      </w:r>
      <w:r>
        <w:rPr>
          <w:rFonts w:ascii="Times New Roman" w:hAnsi="Times New Roman" w:cs="Times New Roman"/>
          <w:sz w:val="24"/>
          <w:szCs w:val="24"/>
        </w:rPr>
        <w:t>o the evidence placed before this court, the plaintiff does not have any original documents in respect of both deed of trust A and deed of trust B. The defendants argue that there is no deed of trust B, and that this is a phantom deed that has been created</w:t>
      </w:r>
      <w:r>
        <w:rPr>
          <w:rFonts w:ascii="Times New Roman" w:hAnsi="Times New Roman" w:cs="Times New Roman"/>
          <w:sz w:val="24"/>
          <w:szCs w:val="24"/>
        </w:rPr>
        <w:t xml:space="preserve"> by the plaintiff so as to bolster its claim. The plaintiff’s claim is that it is the defendant who authored the creation of the two deeds of trust. The evidence placed before the court by the plaintiff’s witnesses is that the two deeds of trust were recei</w:t>
      </w:r>
      <w:r>
        <w:rPr>
          <w:rFonts w:ascii="Times New Roman" w:hAnsi="Times New Roman" w:cs="Times New Roman"/>
          <w:sz w:val="24"/>
          <w:szCs w:val="24"/>
        </w:rPr>
        <w:t xml:space="preserve">ved from the first defendant’s trustees in the form produced before the court. </w:t>
      </w:r>
    </w:p>
    <w:p w:rsidR="00B27E91" w:rsidRDefault="00EC00FA">
      <w:pPr>
        <w:pStyle w:val="ListParagraph"/>
        <w:numPr>
          <w:ilvl w:val="0"/>
          <w:numId w:val="1"/>
        </w:numPr>
        <w:spacing w:line="360" w:lineRule="auto"/>
        <w:jc w:val="both"/>
        <w:rPr>
          <w:rFonts w:ascii="Arial" w:hAnsi="Arial" w:cs="Arial"/>
          <w:sz w:val="21"/>
          <w:szCs w:val="21"/>
        </w:rPr>
      </w:pPr>
      <w:r>
        <w:rPr>
          <w:rFonts w:ascii="Times New Roman" w:hAnsi="Times New Roman" w:cs="Times New Roman"/>
          <w:sz w:val="24"/>
          <w:szCs w:val="24"/>
        </w:rPr>
        <w:t>Under the circumstances, I am of the view that there is good and sufficient cause to satisfy the court that the plaintiff cannot be reasonably or practicably be expected to pro</w:t>
      </w:r>
      <w:r>
        <w:rPr>
          <w:rFonts w:ascii="Times New Roman" w:hAnsi="Times New Roman" w:cs="Times New Roman"/>
          <w:sz w:val="24"/>
          <w:szCs w:val="24"/>
        </w:rPr>
        <w:t xml:space="preserve">duce the original documents. In the premises, I am of the view that this is an appropriate case for me, in the interests of justice, to exercise my discretion and find </w:t>
      </w:r>
      <w:r>
        <w:rPr>
          <w:rFonts w:ascii="Times New Roman" w:hAnsi="Times New Roman" w:cs="Times New Roman"/>
          <w:sz w:val="24"/>
          <w:szCs w:val="24"/>
        </w:rPr>
        <w:lastRenderedPageBreak/>
        <w:t>that the document is admissible. I remain alive to the fact that at this stage, I am not</w:t>
      </w:r>
      <w:r>
        <w:rPr>
          <w:rFonts w:ascii="Times New Roman" w:hAnsi="Times New Roman" w:cs="Times New Roman"/>
          <w:sz w:val="24"/>
          <w:szCs w:val="24"/>
        </w:rPr>
        <w:t xml:space="preserve"> evaluating or rejecting the plaintiff’s evidence. I am also not being called upon to decide whether the evidence led by the plaintiff establishes what will finally have to be established in this trial.  </w:t>
      </w:r>
    </w:p>
    <w:p w:rsidR="00B27E91" w:rsidRDefault="00EC00FA">
      <w:pPr>
        <w:pStyle w:val="ListParagraph"/>
        <w:numPr>
          <w:ilvl w:val="0"/>
          <w:numId w:val="1"/>
        </w:numPr>
        <w:spacing w:line="360" w:lineRule="auto"/>
        <w:jc w:val="both"/>
        <w:rPr>
          <w:rFonts w:ascii="Arial" w:hAnsi="Arial" w:cs="Arial"/>
          <w:sz w:val="21"/>
          <w:szCs w:val="21"/>
        </w:rPr>
      </w:pPr>
      <w:r>
        <w:rPr>
          <w:rFonts w:ascii="Times New Roman" w:hAnsi="Times New Roman" w:cs="Times New Roman"/>
          <w:sz w:val="24"/>
          <w:szCs w:val="24"/>
        </w:rPr>
        <w:t xml:space="preserve"> In any event, even if I were to find that the trust deed is inadmissible, that does that demonstrate that the plaintiff has failed to establish a </w:t>
      </w:r>
      <w:r>
        <w:rPr>
          <w:rFonts w:ascii="Times New Roman" w:hAnsi="Times New Roman" w:cs="Times New Roman"/>
          <w:i/>
          <w:iCs/>
          <w:sz w:val="24"/>
          <w:szCs w:val="24"/>
        </w:rPr>
        <w:t>prima facie</w:t>
      </w:r>
      <w:r>
        <w:rPr>
          <w:rFonts w:ascii="Times New Roman" w:hAnsi="Times New Roman" w:cs="Times New Roman"/>
          <w:sz w:val="24"/>
          <w:szCs w:val="24"/>
        </w:rPr>
        <w:t xml:space="preserve"> case in respect of the first issue. In my view, as long as the defendants concede that deed of tr</w:t>
      </w:r>
      <w:r>
        <w:rPr>
          <w:rFonts w:ascii="Times New Roman" w:hAnsi="Times New Roman" w:cs="Times New Roman"/>
          <w:sz w:val="24"/>
          <w:szCs w:val="24"/>
        </w:rPr>
        <w:t>ust A is the legally registered trust deed, and there are issues surrounding the regularity of that registration, the court has to hear what the defendants have to say in regard the evidence placed before the court by the plaintiff. Ultimately, I find that</w:t>
      </w:r>
      <w:r>
        <w:rPr>
          <w:rFonts w:ascii="Times New Roman" w:hAnsi="Times New Roman" w:cs="Times New Roman"/>
          <w:sz w:val="24"/>
          <w:szCs w:val="24"/>
        </w:rPr>
        <w:t xml:space="preserve"> the plaintiff has established an essential element of its claim which calls into question whether the deed of trust or the trustees was or were validly and lawfully registered. To the extent that an irregularity in the process leading to the registration </w:t>
      </w:r>
      <w:r>
        <w:rPr>
          <w:rFonts w:ascii="Times New Roman" w:hAnsi="Times New Roman" w:cs="Times New Roman"/>
          <w:sz w:val="24"/>
          <w:szCs w:val="24"/>
        </w:rPr>
        <w:t xml:space="preserve">of deed of trust A has been placed before the court and has not been challenged, I cannot say there is no evidence at all on each and every essential averment that the plaintiff must have made to sustain the cause of action in respect of the first issue.  </w:t>
      </w:r>
    </w:p>
    <w:p w:rsidR="00B27E91" w:rsidRDefault="00B27E91">
      <w:pPr>
        <w:pStyle w:val="ListParagraph"/>
        <w:spacing w:line="360" w:lineRule="auto"/>
        <w:jc w:val="both"/>
        <w:rPr>
          <w:rFonts w:ascii="Arial" w:hAnsi="Arial" w:cs="Arial"/>
          <w:sz w:val="21"/>
          <w:szCs w:val="21"/>
        </w:rPr>
      </w:pPr>
    </w:p>
    <w:p w:rsidR="00B27E91" w:rsidRDefault="00EC00FA">
      <w:pPr>
        <w:pStyle w:val="ListParagraph"/>
        <w:numPr>
          <w:ilvl w:val="0"/>
          <w:numId w:val="4"/>
        </w:numPr>
        <w:spacing w:line="36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Whether the plaintiff has the authority to cause the dissolution of the Trust or bring the matter before the court for such dissolution  </w:t>
      </w: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This is also the second issue referred for trial. The summons issued by the plaintiff indicates two fundamental claims: firstly, the plaintiff is seeking the setting aside of the deeds of trust due to unprocedural registration. Secondly, it seeks, in the a</w:t>
      </w:r>
      <w:r>
        <w:rPr>
          <w:rFonts w:ascii="Times New Roman" w:hAnsi="Times New Roman" w:cs="Times New Roman"/>
          <w:sz w:val="24"/>
          <w:szCs w:val="24"/>
        </w:rPr>
        <w:t xml:space="preserve">lternative, the dissolution of the first defendant. </w:t>
      </w: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digress momentarily to note that in respect of granting absolution on an alternative claim, in </w:t>
      </w:r>
      <w:r>
        <w:rPr>
          <w:rFonts w:ascii="Times New Roman" w:hAnsi="Times New Roman" w:cs="Times New Roman"/>
          <w:i/>
          <w:sz w:val="24"/>
          <w:szCs w:val="24"/>
        </w:rPr>
        <w:t>Walker</w:t>
      </w:r>
      <w:r>
        <w:rPr>
          <w:rFonts w:ascii="Times New Roman" w:hAnsi="Times New Roman" w:cs="Times New Roman"/>
          <w:sz w:val="24"/>
          <w:szCs w:val="24"/>
        </w:rPr>
        <w:t xml:space="preserve"> v </w:t>
      </w:r>
      <w:r>
        <w:rPr>
          <w:rFonts w:ascii="Times New Roman" w:hAnsi="Times New Roman" w:cs="Times New Roman"/>
          <w:i/>
          <w:sz w:val="24"/>
          <w:szCs w:val="24"/>
        </w:rPr>
        <w:t>Industrial Equity Ltd</w:t>
      </w:r>
      <w:r>
        <w:rPr>
          <w:rFonts w:ascii="Times New Roman" w:hAnsi="Times New Roman" w:cs="Times New Roman"/>
          <w:sz w:val="24"/>
          <w:szCs w:val="24"/>
        </w:rPr>
        <w:t xml:space="preserve"> 1995 (1) ZLR 87 (S), the Supreme Court considered the appropriate approach </w:t>
      </w:r>
      <w:r>
        <w:rPr>
          <w:rFonts w:ascii="Times New Roman" w:hAnsi="Times New Roman" w:cs="Times New Roman"/>
          <w:sz w:val="24"/>
          <w:szCs w:val="24"/>
        </w:rPr>
        <w:t>to follow where a defendant makes an application for absolution from the instance concerning the plaintiff’s claim, which encompasses two distinct claims: a principal claim and an alternative claim. The court stated-</w:t>
      </w:r>
    </w:p>
    <w:p w:rsidR="00B27E91" w:rsidRDefault="00EC00FA">
      <w:pPr>
        <w:spacing w:after="0" w:line="240" w:lineRule="auto"/>
        <w:ind w:left="1440"/>
        <w:jc w:val="both"/>
        <w:rPr>
          <w:rFonts w:ascii="Times New Roman" w:hAnsi="Times New Roman" w:cs="Times New Roman"/>
        </w:rPr>
      </w:pPr>
      <w:r>
        <w:rPr>
          <w:rFonts w:ascii="Times New Roman" w:hAnsi="Times New Roman" w:cs="Times New Roman"/>
        </w:rPr>
        <w:t>“A trial court may be faced with an app</w:t>
      </w:r>
      <w:r>
        <w:rPr>
          <w:rFonts w:ascii="Times New Roman" w:hAnsi="Times New Roman" w:cs="Times New Roman"/>
        </w:rPr>
        <w:t>lication for absolution from the instance in respect of two or more entirely unrelated claims, or where the liability of the defendant is based on an alternative and distinct cause of action. Where that occurs, I can perceive of no valid impediment to a co</w:t>
      </w:r>
      <w:r>
        <w:rPr>
          <w:rFonts w:ascii="Times New Roman" w:hAnsi="Times New Roman" w:cs="Times New Roman"/>
        </w:rPr>
        <w:t xml:space="preserve">urt, if satisfied there is no evidence on which a reasonable judicial officer could or might find for the plaintiff upon some of the separate claims </w:t>
      </w:r>
      <w:r>
        <w:rPr>
          <w:rFonts w:ascii="Times New Roman" w:hAnsi="Times New Roman" w:cs="Times New Roman"/>
        </w:rPr>
        <w:lastRenderedPageBreak/>
        <w:t>or on the main or alternative cause of action, ordering absolution from the instance upon them, and refusin</w:t>
      </w:r>
      <w:r>
        <w:rPr>
          <w:rFonts w:ascii="Times New Roman" w:hAnsi="Times New Roman" w:cs="Times New Roman"/>
        </w:rPr>
        <w:t xml:space="preserve">g it in respect of the remainder. That was the procedure adopted in </w:t>
      </w:r>
      <w:r>
        <w:rPr>
          <w:rFonts w:ascii="Times New Roman" w:hAnsi="Times New Roman" w:cs="Times New Roman"/>
          <w:i/>
        </w:rPr>
        <w:t>Ntombela</w:t>
      </w:r>
      <w:r>
        <w:rPr>
          <w:rFonts w:ascii="Times New Roman" w:hAnsi="Times New Roman" w:cs="Times New Roman"/>
        </w:rPr>
        <w:t xml:space="preserve"> v </w:t>
      </w:r>
      <w:r>
        <w:rPr>
          <w:rFonts w:ascii="Times New Roman" w:hAnsi="Times New Roman" w:cs="Times New Roman"/>
          <w:i/>
        </w:rPr>
        <w:t>Min of Police</w:t>
      </w:r>
      <w:r>
        <w:rPr>
          <w:rFonts w:ascii="Times New Roman" w:hAnsi="Times New Roman" w:cs="Times New Roman"/>
        </w:rPr>
        <w:t xml:space="preserve"> 1985 (3) SA 571 (O) at 573G-H and 574I-J. Its legitimacy is supported, so it seems to me, by the remarks of </w:t>
      </w:r>
      <w:r>
        <w:rPr>
          <w:rFonts w:ascii="Times New Roman" w:hAnsi="Times New Roman" w:cs="Times New Roman"/>
          <w:smallCaps/>
        </w:rPr>
        <w:t>Beadle</w:t>
      </w:r>
      <w:r>
        <w:rPr>
          <w:rFonts w:ascii="Times New Roman" w:hAnsi="Times New Roman" w:cs="Times New Roman"/>
        </w:rPr>
        <w:t xml:space="preserve"> CJ in </w:t>
      </w:r>
      <w:r>
        <w:rPr>
          <w:rFonts w:ascii="Times New Roman" w:hAnsi="Times New Roman" w:cs="Times New Roman"/>
          <w:i/>
        </w:rPr>
        <w:t xml:space="preserve">Supreme Svc Stn (1969) (Pvt) Ltd </w:t>
      </w:r>
      <w:r>
        <w:rPr>
          <w:rFonts w:ascii="Times New Roman" w:hAnsi="Times New Roman" w:cs="Times New Roman"/>
        </w:rPr>
        <w:t xml:space="preserve">v </w:t>
      </w:r>
      <w:r>
        <w:rPr>
          <w:rFonts w:ascii="Times New Roman" w:hAnsi="Times New Roman" w:cs="Times New Roman"/>
          <w:i/>
        </w:rPr>
        <w:t>Fox &amp; G</w:t>
      </w:r>
      <w:r>
        <w:rPr>
          <w:rFonts w:ascii="Times New Roman" w:hAnsi="Times New Roman" w:cs="Times New Roman"/>
          <w:i/>
        </w:rPr>
        <w:t>oodridge (Pvt) Ltd</w:t>
      </w:r>
      <w:r>
        <w:rPr>
          <w:rFonts w:ascii="Times New Roman" w:hAnsi="Times New Roman" w:cs="Times New Roman"/>
        </w:rPr>
        <w:t xml:space="preserve"> 1971 (1) RLR 1 (A) at 4C-D”</w:t>
      </w:r>
    </w:p>
    <w:p w:rsidR="00B27E91" w:rsidRDefault="00B27E91">
      <w:pPr>
        <w:pStyle w:val="ListParagraph"/>
        <w:spacing w:line="360" w:lineRule="auto"/>
        <w:jc w:val="both"/>
        <w:rPr>
          <w:rFonts w:ascii="Times New Roman" w:hAnsi="Times New Roman" w:cs="Times New Roman"/>
          <w:sz w:val="24"/>
          <w:szCs w:val="24"/>
        </w:rPr>
      </w:pP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Coming back to the issue at hand, the defendants illustrate that there is a distinction between dissolution and deregistration. Accordingly, regarding the dissolution of the Trust, the defendants contend that</w:t>
      </w:r>
      <w:r>
        <w:rPr>
          <w:rFonts w:ascii="Times New Roman" w:hAnsi="Times New Roman" w:cs="Times New Roman"/>
          <w:sz w:val="24"/>
          <w:szCs w:val="24"/>
        </w:rPr>
        <w:t xml:space="preserve"> the plaintiff has no authority to dissolve or instigate the dissolution of the Trust. They argue that the authority to dissolve the Trust must be outlined in the deed of trust itself. Therefore, the plaintiff, in accordance with the deed of trust, lacks t</w:t>
      </w:r>
      <w:r>
        <w:rPr>
          <w:rFonts w:ascii="Times New Roman" w:hAnsi="Times New Roman" w:cs="Times New Roman"/>
          <w:sz w:val="24"/>
          <w:szCs w:val="24"/>
        </w:rPr>
        <w:t xml:space="preserve">he authority to dissolve the Trust. </w:t>
      </w: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trite that a trust can be dissolved in various ways- in terms of the deed of trust itself, or in terms of common law, or by consent of the trustees or in terms of statute. See </w:t>
      </w:r>
      <w:r>
        <w:rPr>
          <w:rFonts w:ascii="Times New Roman" w:hAnsi="Times New Roman" w:cs="Times New Roman"/>
          <w:i/>
          <w:sz w:val="24"/>
          <w:szCs w:val="24"/>
        </w:rPr>
        <w:t>Mashoko</w:t>
      </w:r>
      <w:r>
        <w:rPr>
          <w:rFonts w:ascii="Times New Roman" w:hAnsi="Times New Roman" w:cs="Times New Roman"/>
          <w:sz w:val="24"/>
          <w:szCs w:val="24"/>
        </w:rPr>
        <w:t xml:space="preserve"> v </w:t>
      </w:r>
      <w:r>
        <w:rPr>
          <w:rFonts w:ascii="Times New Roman" w:hAnsi="Times New Roman" w:cs="Times New Roman"/>
          <w:i/>
          <w:sz w:val="24"/>
          <w:szCs w:val="24"/>
        </w:rPr>
        <w:t>Mashoko/Chikosi Family Trus</w:t>
      </w:r>
      <w:r>
        <w:rPr>
          <w:rFonts w:ascii="Times New Roman" w:hAnsi="Times New Roman" w:cs="Times New Roman"/>
          <w:i/>
          <w:sz w:val="24"/>
          <w:szCs w:val="24"/>
        </w:rPr>
        <w:t>t</w:t>
      </w:r>
      <w:r>
        <w:rPr>
          <w:rFonts w:ascii="Times New Roman" w:hAnsi="Times New Roman" w:cs="Times New Roman"/>
          <w:sz w:val="24"/>
          <w:szCs w:val="24"/>
        </w:rPr>
        <w:t xml:space="preserve"> HH-12-11 and </w:t>
      </w:r>
      <w:r>
        <w:rPr>
          <w:rFonts w:ascii="Times New Roman" w:hAnsi="Times New Roman" w:cs="Times New Roman"/>
          <w:i/>
          <w:sz w:val="24"/>
          <w:szCs w:val="24"/>
        </w:rPr>
        <w:t>Honore’s South African Law of Trusts</w:t>
      </w:r>
      <w:r>
        <w:rPr>
          <w:rFonts w:ascii="Times New Roman" w:hAnsi="Times New Roman" w:cs="Times New Roman"/>
          <w:sz w:val="24"/>
          <w:szCs w:val="24"/>
        </w:rPr>
        <w:t>,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Juta and Company (Pty) Ltd. </w:t>
      </w: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From the defendant's argument, they heavily rely on the plaintiff not having the authority to dissolve the Trust either from the Manual, the trustees or the deed</w:t>
      </w:r>
      <w:r>
        <w:rPr>
          <w:rFonts w:ascii="Times New Roman" w:hAnsi="Times New Roman" w:cs="Times New Roman"/>
          <w:sz w:val="24"/>
          <w:szCs w:val="24"/>
        </w:rPr>
        <w:t xml:space="preserve"> of trust. </w:t>
      </w:r>
    </w:p>
    <w:p w:rsidR="00B27E91" w:rsidRDefault="00EC00FA">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sz w:val="24"/>
          <w:szCs w:val="24"/>
        </w:rPr>
        <w:t xml:space="preserve">But, it is not as open and shut as that.  </w:t>
      </w:r>
      <w:r>
        <w:rPr>
          <w:rFonts w:ascii="Times New Roman" w:hAnsi="Times New Roman" w:cs="Times New Roman"/>
          <w:i/>
          <w:sz w:val="24"/>
          <w:szCs w:val="24"/>
        </w:rPr>
        <w:t>Honore’s South African Law of Trusts</w:t>
      </w:r>
      <w:r>
        <w:rPr>
          <w:rFonts w:ascii="Times New Roman" w:hAnsi="Times New Roman" w:cs="Times New Roman"/>
          <w:sz w:val="24"/>
          <w:szCs w:val="24"/>
        </w:rPr>
        <w:t xml:space="preserve"> at p. 518, speaks to the position of the law that a trust can be dissolved under common law- </w:t>
      </w:r>
    </w:p>
    <w:p w:rsidR="00B27E91" w:rsidRDefault="00EC00FA">
      <w:pPr>
        <w:pStyle w:val="ListParagraph"/>
        <w:spacing w:line="240" w:lineRule="auto"/>
        <w:ind w:left="1440"/>
        <w:jc w:val="both"/>
        <w:rPr>
          <w:rFonts w:ascii="Times New Roman" w:hAnsi="Times New Roman" w:cs="Times New Roman"/>
        </w:rPr>
      </w:pPr>
      <w:r>
        <w:rPr>
          <w:rFonts w:ascii="Times New Roman" w:hAnsi="Times New Roman" w:cs="Times New Roman"/>
        </w:rPr>
        <w:t>“…the court has powers both at common law and by statute to vary or ter</w:t>
      </w:r>
      <w:r>
        <w:rPr>
          <w:rFonts w:ascii="Times New Roman" w:hAnsi="Times New Roman" w:cs="Times New Roman"/>
        </w:rPr>
        <w:t xml:space="preserve">minate trusts in certain conditions. The </w:t>
      </w:r>
      <w:r>
        <w:rPr>
          <w:rFonts w:ascii="Times New Roman" w:hAnsi="Times New Roman" w:cs="Times New Roman"/>
          <w:bCs/>
          <w:iCs/>
          <w:u w:val="single"/>
        </w:rPr>
        <w:t>common law powers come into play mainly when it is necessary for the court to vary the trust in order to avoid frustrating the trust object or prejudicing the beneficiaries</w:t>
      </w:r>
      <w:r>
        <w:rPr>
          <w:rFonts w:ascii="Times New Roman" w:hAnsi="Times New Roman" w:cs="Times New Roman"/>
        </w:rPr>
        <w:t xml:space="preserve">.” </w:t>
      </w:r>
      <w:r>
        <w:rPr>
          <w:rFonts w:ascii="Times New Roman" w:hAnsi="Times New Roman" w:cs="Times New Roman"/>
          <w:sz w:val="24"/>
          <w:szCs w:val="24"/>
        </w:rPr>
        <w:t>[my emphasis</w:t>
      </w:r>
      <w:r>
        <w:rPr>
          <w:rFonts w:ascii="Times New Roman" w:hAnsi="Times New Roman" w:cs="Times New Roman"/>
        </w:rPr>
        <w:t>]</w:t>
      </w:r>
    </w:p>
    <w:p w:rsidR="00B27E91" w:rsidRDefault="00B27E91">
      <w:pPr>
        <w:pStyle w:val="ListParagraph"/>
        <w:spacing w:line="240" w:lineRule="auto"/>
        <w:ind w:left="1440"/>
        <w:jc w:val="both"/>
        <w:rPr>
          <w:rFonts w:ascii="Times New Roman" w:hAnsi="Times New Roman" w:cs="Times New Roman"/>
        </w:rPr>
      </w:pP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Mashoko</w:t>
      </w:r>
      <w:r>
        <w:rPr>
          <w:rFonts w:ascii="Times New Roman" w:hAnsi="Times New Roman" w:cs="Times New Roman"/>
          <w:sz w:val="24"/>
          <w:szCs w:val="24"/>
        </w:rPr>
        <w:t xml:space="preserve"> v </w:t>
      </w:r>
      <w:r>
        <w:rPr>
          <w:rFonts w:ascii="Times New Roman" w:hAnsi="Times New Roman" w:cs="Times New Roman"/>
          <w:i/>
          <w:sz w:val="24"/>
          <w:szCs w:val="24"/>
        </w:rPr>
        <w:t>Mashoko/Chik</w:t>
      </w:r>
      <w:r>
        <w:rPr>
          <w:rFonts w:ascii="Times New Roman" w:hAnsi="Times New Roman" w:cs="Times New Roman"/>
          <w:i/>
          <w:sz w:val="24"/>
          <w:szCs w:val="24"/>
        </w:rPr>
        <w:t>osi Family Trust</w:t>
      </w:r>
      <w:r>
        <w:rPr>
          <w:rFonts w:ascii="Times New Roman" w:hAnsi="Times New Roman" w:cs="Times New Roman"/>
          <w:sz w:val="24"/>
          <w:szCs w:val="24"/>
        </w:rPr>
        <w:t xml:space="preserve"> HH-12-11 at p2 the court reinforces that:</w:t>
      </w:r>
    </w:p>
    <w:p w:rsidR="00B27E91" w:rsidRDefault="00EC00FA">
      <w:pPr>
        <w:spacing w:line="240" w:lineRule="auto"/>
        <w:ind w:left="1440"/>
        <w:jc w:val="both"/>
        <w:rPr>
          <w:rFonts w:ascii="Times New Roman" w:hAnsi="Times New Roman" w:cs="Times New Roman"/>
        </w:rPr>
      </w:pPr>
      <w:r>
        <w:rPr>
          <w:rFonts w:ascii="Times New Roman" w:hAnsi="Times New Roman" w:cs="Times New Roman"/>
        </w:rPr>
        <w:t xml:space="preserve">“The broad principle which our courts follow in deciding whether or not to </w:t>
      </w:r>
      <w:r>
        <w:rPr>
          <w:rFonts w:ascii="Times New Roman" w:hAnsi="Times New Roman" w:cs="Times New Roman"/>
          <w:bCs/>
          <w:iCs/>
          <w:u w:val="single"/>
        </w:rPr>
        <w:t>dissolve a trust</w:t>
      </w:r>
      <w:r>
        <w:rPr>
          <w:rFonts w:ascii="Times New Roman" w:hAnsi="Times New Roman" w:cs="Times New Roman"/>
        </w:rPr>
        <w:t xml:space="preserve"> or remove a trustee was set down many years ago in the case of </w:t>
      </w:r>
      <w:r>
        <w:rPr>
          <w:rFonts w:ascii="Times New Roman" w:hAnsi="Times New Roman" w:cs="Times New Roman"/>
          <w:i/>
        </w:rPr>
        <w:t>Lettersteldlt</w:t>
      </w:r>
      <w:r>
        <w:rPr>
          <w:rFonts w:ascii="Times New Roman" w:hAnsi="Times New Roman" w:cs="Times New Roman"/>
        </w:rPr>
        <w:t xml:space="preserve"> v </w:t>
      </w:r>
      <w:r>
        <w:rPr>
          <w:rFonts w:ascii="Times New Roman" w:hAnsi="Times New Roman" w:cs="Times New Roman"/>
          <w:i/>
        </w:rPr>
        <w:t>Broers</w:t>
      </w:r>
      <w:r>
        <w:rPr>
          <w:rFonts w:ascii="Times New Roman" w:hAnsi="Times New Roman" w:cs="Times New Roman"/>
        </w:rPr>
        <w:t xml:space="preserve"> (1884) 9 AC 371 (ALL ER 1881-1885 at 882). In considering the issue, the court has to be satisfied that the </w:t>
      </w:r>
      <w:r>
        <w:rPr>
          <w:rFonts w:ascii="Times New Roman" w:hAnsi="Times New Roman" w:cs="Times New Roman"/>
          <w:bCs/>
          <w:iCs/>
          <w:u w:val="single"/>
        </w:rPr>
        <w:t>continued trusteeship does not endanger the interests of the trust and its beneficiaries.</w:t>
      </w:r>
      <w:r>
        <w:rPr>
          <w:rFonts w:ascii="Times New Roman" w:hAnsi="Times New Roman" w:cs="Times New Roman"/>
        </w:rPr>
        <w:t xml:space="preserve"> See also </w:t>
      </w:r>
      <w:r>
        <w:rPr>
          <w:rFonts w:ascii="Times New Roman" w:hAnsi="Times New Roman" w:cs="Times New Roman"/>
          <w:i/>
          <w:iCs/>
        </w:rPr>
        <w:t>Halsbury’s, Laws of England</w:t>
      </w:r>
      <w:r>
        <w:rPr>
          <w:rFonts w:ascii="Times New Roman" w:hAnsi="Times New Roman" w:cs="Times New Roman"/>
        </w:rPr>
        <w:t xml:space="preserve"> 3</w:t>
      </w:r>
      <w:r>
        <w:rPr>
          <w:rFonts w:ascii="Times New Roman" w:hAnsi="Times New Roman" w:cs="Times New Roman"/>
          <w:vertAlign w:val="superscript"/>
        </w:rPr>
        <w:t>rd</w:t>
      </w:r>
      <w:r>
        <w:rPr>
          <w:rFonts w:ascii="Times New Roman" w:hAnsi="Times New Roman" w:cs="Times New Roman"/>
        </w:rPr>
        <w:t xml:space="preserve"> ed (38) at 94.” </w:t>
      </w:r>
      <w:r>
        <w:rPr>
          <w:rFonts w:ascii="Times New Roman" w:hAnsi="Times New Roman" w:cs="Times New Roman"/>
        </w:rPr>
        <w:t>[</w:t>
      </w:r>
      <w:r>
        <w:rPr>
          <w:rFonts w:ascii="Times New Roman" w:hAnsi="Times New Roman" w:cs="Times New Roman"/>
          <w:sz w:val="24"/>
          <w:szCs w:val="24"/>
        </w:rPr>
        <w:t>my emphasis</w:t>
      </w:r>
      <w:r>
        <w:rPr>
          <w:rFonts w:ascii="Times New Roman" w:hAnsi="Times New Roman" w:cs="Times New Roman"/>
        </w:rPr>
        <w:t>]</w:t>
      </w:r>
    </w:p>
    <w:p w:rsidR="00B27E91" w:rsidRDefault="00EC00FA">
      <w:pPr>
        <w:pStyle w:val="ListParagraph"/>
        <w:numPr>
          <w:ilvl w:val="0"/>
          <w:numId w:val="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Consequently, under common law, the court can dissolve a trust if the trust is being run contrary to the interests and objectives of the trust. As such, under common law, no authority is required for one to dissolve the Trust. What is require</w:t>
      </w:r>
      <w:r>
        <w:rPr>
          <w:rFonts w:ascii="Times New Roman" w:hAnsi="Times New Roman" w:cs="Times New Roman"/>
          <w:sz w:val="24"/>
          <w:szCs w:val="24"/>
        </w:rPr>
        <w:t xml:space="preserve">d to be proved are acts by the trustees which are contrary to the terms of the Trust. As earlier stated, absolution from the instance at the close of the plaintiff’s case may be granted if the plaintiff has </w:t>
      </w:r>
      <w:r>
        <w:rPr>
          <w:rFonts w:ascii="Times New Roman" w:hAnsi="Times New Roman" w:cs="Times New Roman"/>
          <w:sz w:val="24"/>
          <w:szCs w:val="24"/>
        </w:rPr>
        <w:lastRenderedPageBreak/>
        <w:t>failed to establish an essential element of his c</w:t>
      </w:r>
      <w:r>
        <w:rPr>
          <w:rFonts w:ascii="Times New Roman" w:hAnsi="Times New Roman" w:cs="Times New Roman"/>
          <w:sz w:val="24"/>
          <w:szCs w:val="24"/>
        </w:rPr>
        <w:t>laim. In my view, the argument that the plaintiff cannot, in terms of the Manual and the trust deed and, in the absence of consent by the trustees, dissolve the Trust, cannot be an issue on the basis of which this court can grant absolution from the instan</w:t>
      </w:r>
      <w:r>
        <w:rPr>
          <w:rFonts w:ascii="Times New Roman" w:hAnsi="Times New Roman" w:cs="Times New Roman"/>
          <w:sz w:val="24"/>
          <w:szCs w:val="24"/>
        </w:rPr>
        <w:t xml:space="preserve">ce in circumstances where nothing has been placed before me to show that the plaintiff cannot motivate for the dissolution of the trust before a court of inherent jurisdiction and in terms of common law.  </w:t>
      </w:r>
    </w:p>
    <w:p w:rsidR="00B27E91" w:rsidRDefault="00B27E91">
      <w:pPr>
        <w:pStyle w:val="ListParagraph"/>
        <w:spacing w:line="360" w:lineRule="auto"/>
        <w:ind w:left="426"/>
        <w:jc w:val="both"/>
        <w:rPr>
          <w:rFonts w:ascii="Times New Roman" w:hAnsi="Times New Roman" w:cs="Times New Roman"/>
          <w:sz w:val="24"/>
          <w:szCs w:val="24"/>
        </w:rPr>
      </w:pPr>
    </w:p>
    <w:p w:rsidR="00B27E91" w:rsidRDefault="00EC00FA">
      <w:pPr>
        <w:pStyle w:val="ListParagraph"/>
        <w:numPr>
          <w:ilvl w:val="0"/>
          <w:numId w:val="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Reliance on hearsay evidence to challenge the governance of the first defendant </w:t>
      </w: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bCs/>
          <w:iCs/>
          <w:sz w:val="24"/>
          <w:szCs w:val="24"/>
        </w:rPr>
        <w:t>This issue relates directly to the third and fourth issues referred for trial namely, w</w:t>
      </w:r>
      <w:r>
        <w:rPr>
          <w:rFonts w:ascii="Times New Roman" w:hAnsi="Times New Roman" w:cs="Times New Roman"/>
          <w:bCs/>
          <w:sz w:val="24"/>
          <w:szCs w:val="24"/>
        </w:rPr>
        <w:t>hether</w:t>
      </w:r>
      <w:r>
        <w:rPr>
          <w:rFonts w:ascii="Times New Roman" w:hAnsi="Times New Roman" w:cs="Times New Roman"/>
          <w:sz w:val="24"/>
          <w:szCs w:val="24"/>
        </w:rPr>
        <w:t xml:space="preserve"> the schools have been run in accordance with the terms set out in the deed of tru</w:t>
      </w:r>
      <w:r>
        <w:rPr>
          <w:rFonts w:ascii="Times New Roman" w:hAnsi="Times New Roman" w:cs="Times New Roman"/>
          <w:sz w:val="24"/>
          <w:szCs w:val="24"/>
        </w:rPr>
        <w:t xml:space="preserve">st and whether the schools have been run in accordance with the principles of good governance and proper administration. This claim is also in the alternative. </w:t>
      </w: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Evidence was adduced on behalf of the plaintiff showing that audit reports by the Trust did not</w:t>
      </w:r>
      <w:r>
        <w:rPr>
          <w:rFonts w:ascii="Times New Roman" w:hAnsi="Times New Roman" w:cs="Times New Roman"/>
          <w:sz w:val="24"/>
          <w:szCs w:val="24"/>
        </w:rPr>
        <w:t xml:space="preserve"> account for most of the schools run by the Trust. For instance, the financial statements from 2013 to 2017 showed that only three schools, namely David Livingstone, Presbytery High School and Gloag High School, were accounted for, against nine schools whi</w:t>
      </w:r>
      <w:r>
        <w:rPr>
          <w:rFonts w:ascii="Times New Roman" w:hAnsi="Times New Roman" w:cs="Times New Roman"/>
          <w:sz w:val="24"/>
          <w:szCs w:val="24"/>
        </w:rPr>
        <w:t>ch are being run by the Trust. In terms of clause 5.3. of Appendix 3 to deed of trust A, the core values of the first defendant are accountability and transparency amongst other values. If the audit statements show partial compliance with the values stated</w:t>
      </w:r>
      <w:r>
        <w:rPr>
          <w:rFonts w:ascii="Times New Roman" w:hAnsi="Times New Roman" w:cs="Times New Roman"/>
          <w:sz w:val="24"/>
          <w:szCs w:val="24"/>
        </w:rPr>
        <w:t xml:space="preserve"> in the deed of trust, there is a case for arguing that the schools are not being run in accordance with the deed of trust and in accordance with the principles of good governance. In addition to the audit reports, evidence of the trustees deriving persona</w:t>
      </w:r>
      <w:r>
        <w:rPr>
          <w:rFonts w:ascii="Times New Roman" w:hAnsi="Times New Roman" w:cs="Times New Roman"/>
          <w:sz w:val="24"/>
          <w:szCs w:val="24"/>
        </w:rPr>
        <w:t xml:space="preserve">l benefits from running the schools, improper procurement processes and disquiet from parents was also led. </w:t>
      </w: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 understand one of the defendants’ arguments to be that in leading the evidence relating to the disquiet by the parents, the plaintiff relied on h</w:t>
      </w:r>
      <w:r>
        <w:rPr>
          <w:rFonts w:ascii="Times New Roman" w:hAnsi="Times New Roman" w:cs="Times New Roman"/>
          <w:sz w:val="24"/>
          <w:szCs w:val="24"/>
        </w:rPr>
        <w:t>earsay evidence. Section 27 of the Civil Evidence Act provides that:</w:t>
      </w:r>
    </w:p>
    <w:p w:rsidR="00B27E91" w:rsidRDefault="00EC00FA">
      <w:pPr>
        <w:pStyle w:val="ListParagraph"/>
        <w:spacing w:line="240" w:lineRule="auto"/>
        <w:ind w:left="1440"/>
        <w:jc w:val="both"/>
        <w:rPr>
          <w:rFonts w:ascii="Times New Roman" w:hAnsi="Times New Roman" w:cs="Times New Roman"/>
          <w:sz w:val="28"/>
          <w:szCs w:val="28"/>
        </w:rPr>
      </w:pPr>
      <w:r>
        <w:rPr>
          <w:rFonts w:ascii="Times New Roman" w:hAnsi="Times New Roman" w:cs="Times New Roman"/>
        </w:rPr>
        <w:t>(1) Subject to this section evidence of a statement made by any person, whether orally or in writing or other-wise, shall be admissible in civil proceedings as evidence of any fact mentio</w:t>
      </w:r>
      <w:r>
        <w:rPr>
          <w:rFonts w:ascii="Times New Roman" w:hAnsi="Times New Roman" w:cs="Times New Roman"/>
        </w:rPr>
        <w:t>ned or disclosed in the statement, if direct oral evidence by that person of that fact would be admissible in those proceedings.</w:t>
      </w: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 27 (3) of the same Act then provides as follows: </w:t>
      </w:r>
    </w:p>
    <w:p w:rsidR="00B27E91" w:rsidRDefault="00EC00FA">
      <w:pPr>
        <w:autoSpaceDE w:val="0"/>
        <w:autoSpaceDN w:val="0"/>
        <w:adjustRightInd w:val="0"/>
        <w:spacing w:after="0" w:line="240" w:lineRule="auto"/>
        <w:ind w:left="1440"/>
        <w:jc w:val="both"/>
        <w:rPr>
          <w:rFonts w:ascii="Times New Roman" w:hAnsi="Times New Roman" w:cs="Times New Roman"/>
          <w:color w:val="000000"/>
        </w:rPr>
      </w:pPr>
      <w:r>
        <w:rPr>
          <w:rFonts w:ascii="Times New Roman" w:hAnsi="Times New Roman" w:cs="Times New Roman"/>
          <w:color w:val="000000"/>
        </w:rPr>
        <w:t xml:space="preserve">(3) If a statement referred to in subsection (1)— </w:t>
      </w:r>
    </w:p>
    <w:p w:rsidR="00B27E91" w:rsidRDefault="00EC00FA">
      <w:pPr>
        <w:autoSpaceDE w:val="0"/>
        <w:autoSpaceDN w:val="0"/>
        <w:adjustRightInd w:val="0"/>
        <w:spacing w:after="0" w:line="240" w:lineRule="auto"/>
        <w:ind w:left="1440"/>
        <w:jc w:val="both"/>
        <w:rPr>
          <w:rFonts w:ascii="Times New Roman" w:hAnsi="Times New Roman" w:cs="Times New Roman"/>
          <w:color w:val="000000"/>
        </w:rPr>
      </w:pPr>
      <w:r>
        <w:rPr>
          <w:rFonts w:ascii="Times New Roman" w:hAnsi="Times New Roman" w:cs="Times New Roman"/>
          <w:color w:val="000000"/>
        </w:rPr>
        <w:lastRenderedPageBreak/>
        <w:t>(</w:t>
      </w:r>
      <w:r>
        <w:rPr>
          <w:rFonts w:ascii="Times New Roman" w:hAnsi="Times New Roman" w:cs="Times New Roman"/>
          <w:i/>
          <w:iCs/>
          <w:color w:val="000000"/>
        </w:rPr>
        <w:t>a</w:t>
      </w:r>
      <w:r>
        <w:rPr>
          <w:rFonts w:ascii="Times New Roman" w:hAnsi="Times New Roman" w:cs="Times New Roman"/>
          <w:color w:val="000000"/>
        </w:rPr>
        <w:t xml:space="preserve">) is not contained in a document, no evidence of the statement shall be admissible unless it is given by a person who saw, heard or otherwise perceived the statement being made; </w:t>
      </w:r>
    </w:p>
    <w:p w:rsidR="00B27E91" w:rsidRDefault="00EC00FA">
      <w:pPr>
        <w:pStyle w:val="ListParagraph"/>
        <w:spacing w:line="240" w:lineRule="auto"/>
        <w:ind w:left="1440"/>
        <w:jc w:val="both"/>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i/>
          <w:iCs/>
          <w:color w:val="000000"/>
        </w:rPr>
        <w:t>b</w:t>
      </w:r>
      <w:r>
        <w:rPr>
          <w:rFonts w:ascii="Times New Roman" w:hAnsi="Times New Roman" w:cs="Times New Roman"/>
          <w:color w:val="000000"/>
        </w:rPr>
        <w:t>) is contained in a document, no evidence of the statement shall be admissi</w:t>
      </w:r>
      <w:r>
        <w:rPr>
          <w:rFonts w:ascii="Times New Roman" w:hAnsi="Times New Roman" w:cs="Times New Roman"/>
          <w:color w:val="000000"/>
        </w:rPr>
        <w:t>ble except the document itself, or a copy of the document if such copy is admissible in terms of this Act or any other law.</w:t>
      </w:r>
    </w:p>
    <w:p w:rsidR="00B27E91" w:rsidRDefault="00B27E91">
      <w:pPr>
        <w:pStyle w:val="ListParagraph"/>
        <w:spacing w:line="240" w:lineRule="auto"/>
        <w:ind w:left="1440"/>
        <w:jc w:val="both"/>
        <w:rPr>
          <w:rFonts w:ascii="Times New Roman" w:hAnsi="Times New Roman" w:cs="Times New Roman"/>
          <w:color w:val="000000"/>
        </w:rPr>
      </w:pP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iCs/>
          <w:sz w:val="24"/>
          <w:szCs w:val="24"/>
        </w:rPr>
        <w:t xml:space="preserve">Hiltunen </w:t>
      </w:r>
      <w:r>
        <w:rPr>
          <w:rFonts w:ascii="Times New Roman" w:hAnsi="Times New Roman" w:cs="Times New Roman"/>
          <w:sz w:val="24"/>
          <w:szCs w:val="24"/>
        </w:rPr>
        <w:t>v</w:t>
      </w:r>
      <w:r>
        <w:rPr>
          <w:rFonts w:ascii="Times New Roman" w:hAnsi="Times New Roman" w:cs="Times New Roman"/>
          <w:i/>
          <w:iCs/>
          <w:sz w:val="24"/>
          <w:szCs w:val="24"/>
        </w:rPr>
        <w:t xml:space="preserve"> Hiltunen</w:t>
      </w:r>
      <w:r>
        <w:rPr>
          <w:rFonts w:ascii="Times New Roman" w:hAnsi="Times New Roman" w:cs="Times New Roman"/>
          <w:sz w:val="24"/>
          <w:szCs w:val="24"/>
        </w:rPr>
        <w:t xml:space="preserve"> 2008 (2) ZLR 296 H at p 301G-H </w:t>
      </w:r>
      <w:r>
        <w:rPr>
          <w:rFonts w:ascii="Times New Roman" w:eastAsia="Calibri" w:hAnsi="Times New Roman" w:cs="Times New Roman"/>
          <w:bCs/>
          <w:smallCaps/>
          <w:sz w:val="24"/>
          <w:szCs w:val="24"/>
        </w:rPr>
        <w:t>Makarau JP</w:t>
      </w:r>
      <w:r>
        <w:rPr>
          <w:rFonts w:ascii="Times New Roman" w:hAnsi="Times New Roman" w:cs="Times New Roman"/>
          <w:sz w:val="24"/>
          <w:szCs w:val="24"/>
        </w:rPr>
        <w:t xml:space="preserve"> (as she then was) had occasion to explain the import of s 27(1). S</w:t>
      </w:r>
      <w:r>
        <w:rPr>
          <w:rFonts w:ascii="Times New Roman" w:hAnsi="Times New Roman" w:cs="Times New Roman"/>
          <w:sz w:val="24"/>
          <w:szCs w:val="24"/>
        </w:rPr>
        <w:t>he said-</w:t>
      </w:r>
    </w:p>
    <w:p w:rsidR="00B27E91" w:rsidRDefault="00EC00FA">
      <w:pPr>
        <w:pStyle w:val="ListParagraph"/>
        <w:spacing w:line="240" w:lineRule="auto"/>
        <w:ind w:left="1440"/>
        <w:jc w:val="both"/>
        <w:rPr>
          <w:rFonts w:ascii="Times New Roman" w:hAnsi="Times New Roman" w:cs="Times New Roman"/>
        </w:rPr>
      </w:pPr>
      <w:r>
        <w:rPr>
          <w:rFonts w:ascii="Times New Roman" w:hAnsi="Times New Roman" w:cs="Times New Roman"/>
        </w:rPr>
        <w:t>“For first hand evidence to be admissible under the Act, the evidence must be about a statement made orally or in writing by another person. The person who made the statement must be identified and it must appear from the nature of the evidence th</w:t>
      </w:r>
      <w:r>
        <w:rPr>
          <w:rFonts w:ascii="Times New Roman" w:hAnsi="Times New Roman" w:cs="Times New Roman"/>
        </w:rPr>
        <w:t>at the contents of the statement would have been admissible from the mouth of that person were he or she present and testifying.”</w:t>
      </w:r>
    </w:p>
    <w:p w:rsidR="00B27E91" w:rsidRDefault="00B27E91">
      <w:pPr>
        <w:pStyle w:val="ListParagraph"/>
        <w:spacing w:line="240" w:lineRule="auto"/>
        <w:ind w:left="1440"/>
        <w:jc w:val="both"/>
        <w:rPr>
          <w:rFonts w:ascii="Times New Roman" w:hAnsi="Times New Roman" w:cs="Times New Roman"/>
        </w:rPr>
      </w:pP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I have understood the </w:t>
      </w:r>
      <w:r>
        <w:rPr>
          <w:rFonts w:ascii="Times New Roman" w:hAnsi="Times New Roman" w:cs="Times New Roman"/>
          <w:i/>
          <w:iCs/>
          <w:sz w:val="24"/>
          <w:szCs w:val="24"/>
        </w:rPr>
        <w:t>ratio</w:t>
      </w:r>
      <w:r>
        <w:rPr>
          <w:rFonts w:ascii="Times New Roman" w:hAnsi="Times New Roman" w:cs="Times New Roman"/>
          <w:sz w:val="24"/>
          <w:szCs w:val="24"/>
        </w:rPr>
        <w:t xml:space="preserve"> in </w:t>
      </w:r>
      <w:r>
        <w:rPr>
          <w:rFonts w:ascii="Times New Roman" w:hAnsi="Times New Roman" w:cs="Times New Roman"/>
          <w:i/>
          <w:iCs/>
          <w:sz w:val="24"/>
          <w:szCs w:val="24"/>
        </w:rPr>
        <w:t>Hiltunen</w:t>
      </w:r>
      <w:r>
        <w:rPr>
          <w:rFonts w:ascii="Times New Roman" w:hAnsi="Times New Roman" w:cs="Times New Roman"/>
          <w:sz w:val="24"/>
          <w:szCs w:val="24"/>
        </w:rPr>
        <w:t xml:space="preserve"> correctly, then the provisions of s 27(1) of the Civil Evidence Act allow for the </w:t>
      </w:r>
      <w:r>
        <w:rPr>
          <w:rFonts w:ascii="Times New Roman" w:hAnsi="Times New Roman" w:cs="Times New Roman"/>
          <w:sz w:val="24"/>
          <w:szCs w:val="24"/>
        </w:rPr>
        <w:t xml:space="preserve">admissibility of statements made by other persons where such statements would have been admissible had they been adduced as direct evidence by the makers of those statements. In </w:t>
      </w:r>
      <w:r>
        <w:rPr>
          <w:rFonts w:ascii="Times New Roman" w:hAnsi="Times New Roman" w:cs="Times New Roman"/>
          <w:i/>
          <w:iCs/>
          <w:sz w:val="24"/>
          <w:szCs w:val="24"/>
        </w:rPr>
        <w:t>casu</w:t>
      </w:r>
      <w:r>
        <w:rPr>
          <w:rFonts w:ascii="Times New Roman" w:hAnsi="Times New Roman" w:cs="Times New Roman"/>
          <w:sz w:val="24"/>
          <w:szCs w:val="24"/>
        </w:rPr>
        <w:t>, while the defendants accept that the plaintiff’s witnesses heard from th</w:t>
      </w:r>
      <w:r>
        <w:rPr>
          <w:rFonts w:ascii="Times New Roman" w:hAnsi="Times New Roman" w:cs="Times New Roman"/>
          <w:sz w:val="24"/>
          <w:szCs w:val="24"/>
        </w:rPr>
        <w:t xml:space="preserve">ird parties in the mould of parents of students learning at the plaintiff’s schools regarding the alleged mismanagement of the schools, they take the position that that evidence is not admissible because the witnesses did not have first-hand knowledge nor </w:t>
      </w:r>
      <w:r>
        <w:rPr>
          <w:rFonts w:ascii="Times New Roman" w:hAnsi="Times New Roman" w:cs="Times New Roman"/>
          <w:sz w:val="24"/>
          <w:szCs w:val="24"/>
        </w:rPr>
        <w:t xml:space="preserve">first-hand experience of the alleged mismanagement. The defendants then cite </w:t>
      </w:r>
      <w:r>
        <w:rPr>
          <w:rFonts w:ascii="Times New Roman" w:hAnsi="Times New Roman" w:cs="Times New Roman"/>
          <w:i/>
          <w:iCs/>
          <w:sz w:val="24"/>
          <w:szCs w:val="24"/>
        </w:rPr>
        <w:t xml:space="preserve">S </w:t>
      </w:r>
      <w:r>
        <w:rPr>
          <w:rFonts w:ascii="Times New Roman" w:hAnsi="Times New Roman" w:cs="Times New Roman"/>
          <w:sz w:val="24"/>
          <w:szCs w:val="24"/>
        </w:rPr>
        <w:t>v</w:t>
      </w:r>
      <w:r>
        <w:rPr>
          <w:rFonts w:ascii="Times New Roman" w:hAnsi="Times New Roman" w:cs="Times New Roman"/>
          <w:i/>
          <w:iCs/>
          <w:sz w:val="24"/>
          <w:szCs w:val="24"/>
        </w:rPr>
        <w:t xml:space="preserve"> Mhunza</w:t>
      </w:r>
      <w:r>
        <w:rPr>
          <w:rFonts w:ascii="Times New Roman" w:hAnsi="Times New Roman" w:cs="Times New Roman"/>
          <w:sz w:val="24"/>
          <w:szCs w:val="24"/>
        </w:rPr>
        <w:t xml:space="preserve"> HH 303/23 as authority for their argument. </w:t>
      </w: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 am unable to agree with this line of argument. Firstly, s27 (1) allows the deduction of first-hand hearsay evidence provid</w:t>
      </w:r>
      <w:r>
        <w:rPr>
          <w:rFonts w:ascii="Times New Roman" w:hAnsi="Times New Roman" w:cs="Times New Roman"/>
          <w:sz w:val="24"/>
          <w:szCs w:val="24"/>
        </w:rPr>
        <w:t>ed that the statements relied upon would have been admissible had they been led from the parents themselves. I did not hear the defendants to argue that had the direct evidence been led from the parents from whom the plaintiff’s witnesses heard the concern</w:t>
      </w:r>
      <w:r>
        <w:rPr>
          <w:rFonts w:ascii="Times New Roman" w:hAnsi="Times New Roman" w:cs="Times New Roman"/>
          <w:sz w:val="24"/>
          <w:szCs w:val="24"/>
        </w:rPr>
        <w:t xml:space="preserve">s, that evidence would have been inadmissible. Secondly, </w:t>
      </w:r>
      <w:r>
        <w:rPr>
          <w:rFonts w:ascii="Times New Roman" w:hAnsi="Times New Roman" w:cs="Times New Roman"/>
          <w:i/>
          <w:iCs/>
          <w:sz w:val="24"/>
          <w:szCs w:val="24"/>
        </w:rPr>
        <w:t xml:space="preserve">S </w:t>
      </w:r>
      <w:r>
        <w:rPr>
          <w:rFonts w:ascii="Times New Roman" w:hAnsi="Times New Roman" w:cs="Times New Roman"/>
          <w:sz w:val="24"/>
          <w:szCs w:val="24"/>
        </w:rPr>
        <w:t>v</w:t>
      </w:r>
      <w:r>
        <w:rPr>
          <w:rFonts w:ascii="Times New Roman" w:hAnsi="Times New Roman" w:cs="Times New Roman"/>
          <w:i/>
          <w:iCs/>
          <w:sz w:val="24"/>
          <w:szCs w:val="24"/>
        </w:rPr>
        <w:t xml:space="preserve"> Mhunza</w:t>
      </w:r>
      <w:r>
        <w:rPr>
          <w:rFonts w:ascii="Times New Roman" w:hAnsi="Times New Roman" w:cs="Times New Roman"/>
          <w:sz w:val="24"/>
          <w:szCs w:val="24"/>
        </w:rPr>
        <w:t xml:space="preserve"> cannot assist the defendants because that case is a criminal case. That the rules on the admissibility of hearsay evidence in criminal cases are more stringent is elementary. The same rule</w:t>
      </w:r>
      <w:r>
        <w:rPr>
          <w:rFonts w:ascii="Times New Roman" w:hAnsi="Times New Roman" w:cs="Times New Roman"/>
          <w:sz w:val="24"/>
          <w:szCs w:val="24"/>
        </w:rPr>
        <w:t xml:space="preserve">s do not apply in civil cases. </w:t>
      </w: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has been argued that there is no prohibition in the deed of trust that prohibits the trustees from doing business with the schools. That is the whole point in this matter. The issue for trial is whether the schools have b</w:t>
      </w:r>
      <w:r>
        <w:rPr>
          <w:rFonts w:ascii="Times New Roman" w:hAnsi="Times New Roman" w:cs="Times New Roman"/>
          <w:sz w:val="24"/>
          <w:szCs w:val="24"/>
        </w:rPr>
        <w:t>een run in accordance with the terms set out in the deed of trust and in accordance with principles of good governance and proper administration. The fact that the trustees do not deny doing business with the schools puts into question whether or not their</w:t>
      </w:r>
      <w:r>
        <w:rPr>
          <w:rFonts w:ascii="Times New Roman" w:hAnsi="Times New Roman" w:cs="Times New Roman"/>
          <w:sz w:val="24"/>
          <w:szCs w:val="24"/>
        </w:rPr>
        <w:t xml:space="preserve"> actions are in accordance with principles </w:t>
      </w:r>
      <w:r>
        <w:rPr>
          <w:rFonts w:ascii="Times New Roman" w:hAnsi="Times New Roman" w:cs="Times New Roman"/>
          <w:sz w:val="24"/>
          <w:szCs w:val="24"/>
        </w:rPr>
        <w:lastRenderedPageBreak/>
        <w:t>of good governance and proper administration of the schools. Surely, the defendants cannot be permitted to shelter behind the procedure of absolution from the instance to avoid getting into the witness box to answ</w:t>
      </w:r>
      <w:r>
        <w:rPr>
          <w:rFonts w:ascii="Times New Roman" w:hAnsi="Times New Roman" w:cs="Times New Roman"/>
          <w:sz w:val="24"/>
          <w:szCs w:val="24"/>
        </w:rPr>
        <w:t xml:space="preserve">er questions which are peculiarly within their knowledge with regards that business and its impact on the administration of the schools, most of which are reported to be in a bad state. </w:t>
      </w:r>
    </w:p>
    <w:p w:rsidR="00B27E91" w:rsidRDefault="00EC00FA">
      <w:pPr>
        <w:pStyle w:val="ListParagraph"/>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CONCLUSION</w:t>
      </w: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Having made the above observations, I pause here briefly to repeat the words of </w:t>
      </w:r>
      <w:r>
        <w:rPr>
          <w:rFonts w:ascii="Times New Roman" w:eastAsia="Calibri" w:hAnsi="Times New Roman" w:cs="Times New Roman"/>
          <w:bCs/>
          <w:smallCaps/>
          <w:sz w:val="24"/>
          <w:szCs w:val="24"/>
        </w:rPr>
        <w:t>Guvava JA</w:t>
      </w:r>
      <w:r>
        <w:rPr>
          <w:rFonts w:ascii="Times New Roman" w:hAnsi="Times New Roman" w:cs="Times New Roman"/>
        </w:rPr>
        <w:t xml:space="preserve"> </w:t>
      </w:r>
      <w:r>
        <w:rPr>
          <w:rFonts w:ascii="Times New Roman" w:hAnsi="Times New Roman" w:cs="Times New Roman"/>
          <w:sz w:val="24"/>
          <w:szCs w:val="24"/>
        </w:rPr>
        <w:t xml:space="preserve">in </w:t>
      </w:r>
      <w:r>
        <w:rPr>
          <w:rFonts w:ascii="Times New Roman" w:hAnsi="Times New Roman" w:cs="Times New Roman"/>
          <w:i/>
          <w:sz w:val="24"/>
          <w:szCs w:val="24"/>
        </w:rPr>
        <w:t xml:space="preserve">Muteswa Wholesalers (Pvt) Ltd &amp; Ors </w:t>
      </w:r>
      <w:r>
        <w:rPr>
          <w:rFonts w:ascii="Times New Roman" w:hAnsi="Times New Roman" w:cs="Times New Roman"/>
          <w:sz w:val="24"/>
          <w:szCs w:val="24"/>
        </w:rPr>
        <w:t>v</w:t>
      </w:r>
      <w:r>
        <w:rPr>
          <w:rFonts w:ascii="Times New Roman" w:hAnsi="Times New Roman" w:cs="Times New Roman"/>
          <w:i/>
          <w:sz w:val="24"/>
          <w:szCs w:val="24"/>
        </w:rPr>
        <w:t xml:space="preserve"> Delta Zimbabwe Ltd supra</w:t>
      </w:r>
      <w:r>
        <w:rPr>
          <w:rFonts w:ascii="Times New Roman" w:hAnsi="Times New Roman" w:cs="Times New Roman"/>
          <w:sz w:val="24"/>
          <w:szCs w:val="24"/>
        </w:rPr>
        <w:t>, that I should be extremely chary of granting absolution from the instance at this stage. I must ass</w:t>
      </w:r>
      <w:r>
        <w:rPr>
          <w:rFonts w:ascii="Times New Roman" w:hAnsi="Times New Roman" w:cs="Times New Roman"/>
          <w:sz w:val="24"/>
          <w:szCs w:val="24"/>
        </w:rPr>
        <w:t xml:space="preserve">ume that the evidence placed before me is true. In my view, there is evidence upon which a court, directing its mind reasonably to such evidence, could or might find for the plaintiff. </w:t>
      </w: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Before I conclude this matter, there is one other issue warranting my </w:t>
      </w:r>
      <w:r>
        <w:rPr>
          <w:rFonts w:ascii="Times New Roman" w:hAnsi="Times New Roman" w:cs="Times New Roman"/>
          <w:sz w:val="24"/>
          <w:szCs w:val="24"/>
        </w:rPr>
        <w:t>comment. It is the defendant’s argument in its heads that the plaintiff has not exhausted domestic remedies available to it. The defendants take issue with the procedure adopted by the plaintiff in challenging the registration process of the Trust. The def</w:t>
      </w:r>
      <w:r>
        <w:rPr>
          <w:rFonts w:ascii="Times New Roman" w:hAnsi="Times New Roman" w:cs="Times New Roman"/>
          <w:sz w:val="24"/>
          <w:szCs w:val="24"/>
        </w:rPr>
        <w:t>endants argue that in terms of s50 of the Deeds Registries Regulations, 2018, where a person is aggrieved by the decision of the Registrar in registering the deed of trust, they ought to appeal to the Chief Registrar, which the plaintiff has not done. This</w:t>
      </w:r>
      <w:r>
        <w:rPr>
          <w:rFonts w:ascii="Times New Roman" w:hAnsi="Times New Roman" w:cs="Times New Roman"/>
          <w:sz w:val="24"/>
          <w:szCs w:val="24"/>
        </w:rPr>
        <w:t xml:space="preserve"> issue however, was not specifically pleaded by the defendants. It is trite that a party is bound by its own pleadings and cannot be permitted to raise a new case without a proper amendment being made. The court is bound by the pleadings of the parties and</w:t>
      </w:r>
      <w:r>
        <w:rPr>
          <w:rFonts w:ascii="Times New Roman" w:hAnsi="Times New Roman" w:cs="Times New Roman"/>
          <w:sz w:val="24"/>
          <w:szCs w:val="24"/>
        </w:rPr>
        <w:t xml:space="preserve"> cannot entertain a case other than the specific matters in dispute which the parties themselves have raised in their pleadings. See generally </w:t>
      </w:r>
      <w:r>
        <w:rPr>
          <w:rFonts w:ascii="Times New Roman" w:hAnsi="Times New Roman" w:cs="Times New Roman"/>
          <w:i/>
          <w:sz w:val="24"/>
          <w:szCs w:val="24"/>
        </w:rPr>
        <w:t>Medlog Zimbabwe (Private) Limited</w:t>
      </w:r>
      <w:r>
        <w:rPr>
          <w:rFonts w:ascii="Times New Roman" w:hAnsi="Times New Roman" w:cs="Times New Roman"/>
          <w:sz w:val="24"/>
          <w:szCs w:val="24"/>
        </w:rPr>
        <w:t xml:space="preserve"> v </w:t>
      </w:r>
      <w:r>
        <w:rPr>
          <w:rFonts w:ascii="Times New Roman" w:hAnsi="Times New Roman" w:cs="Times New Roman"/>
          <w:i/>
          <w:sz w:val="24"/>
          <w:szCs w:val="24"/>
        </w:rPr>
        <w:t>Cost Benefit Holdings (Pvt) Ltd</w:t>
      </w:r>
      <w:r>
        <w:rPr>
          <w:rFonts w:ascii="Times New Roman" w:hAnsi="Times New Roman" w:cs="Times New Roman"/>
          <w:sz w:val="24"/>
          <w:szCs w:val="24"/>
        </w:rPr>
        <w:t xml:space="preserve"> 2018 (1) ZLR 449 (S). I believe the present p</w:t>
      </w:r>
      <w:r>
        <w:rPr>
          <w:rFonts w:ascii="Times New Roman" w:hAnsi="Times New Roman" w:cs="Times New Roman"/>
          <w:sz w:val="24"/>
          <w:szCs w:val="24"/>
        </w:rPr>
        <w:t xml:space="preserve">oint has not been properly taken. Even if the point had been properly taken, I would still have not found merit in that argument for the brief reasons I outline below. </w:t>
      </w: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said s1(2) of the Deeds Registries Regulations provides</w:t>
      </w:r>
    </w:p>
    <w:p w:rsidR="00B27E91" w:rsidRDefault="00EC00FA">
      <w:pPr>
        <w:spacing w:after="0" w:line="240" w:lineRule="auto"/>
        <w:ind w:left="1440"/>
        <w:jc w:val="both"/>
        <w:rPr>
          <w:rFonts w:ascii="Times New Roman" w:hAnsi="Times New Roman" w:cs="Times New Roman"/>
        </w:rPr>
      </w:pPr>
      <w:r>
        <w:rPr>
          <w:rFonts w:ascii="Times New Roman" w:hAnsi="Times New Roman" w:cs="Times New Roman"/>
        </w:rPr>
        <w:t>“(2) These regulations shal</w:t>
      </w:r>
      <w:r>
        <w:rPr>
          <w:rFonts w:ascii="Times New Roman" w:hAnsi="Times New Roman" w:cs="Times New Roman"/>
        </w:rPr>
        <w:t>l come into effect on a date to be fixed by the Minister by Statutory instrument”</w:t>
      </w:r>
    </w:p>
    <w:p w:rsidR="00B27E91" w:rsidRDefault="00B27E91">
      <w:pPr>
        <w:pStyle w:val="ListParagraph"/>
        <w:spacing w:line="360" w:lineRule="auto"/>
        <w:jc w:val="both"/>
        <w:rPr>
          <w:rFonts w:ascii="Times New Roman" w:hAnsi="Times New Roman" w:cs="Times New Roman"/>
          <w:sz w:val="24"/>
          <w:szCs w:val="24"/>
        </w:rPr>
      </w:pP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the defendants have not referred me to the statutory instrument showing that the Deeds Registries Regulations, 2018 are now in force. In the absence of such, </w:t>
      </w:r>
      <w:r>
        <w:rPr>
          <w:rFonts w:ascii="Times New Roman" w:hAnsi="Times New Roman" w:cs="Times New Roman"/>
          <w:sz w:val="24"/>
          <w:szCs w:val="24"/>
        </w:rPr>
        <w:lastRenderedPageBreak/>
        <w:t>the Deeds Registries Regulations, 2018 are not yet in force and do not apply. The defendants’ co</w:t>
      </w:r>
      <w:r>
        <w:rPr>
          <w:rFonts w:ascii="Times New Roman" w:hAnsi="Times New Roman" w:cs="Times New Roman"/>
          <w:sz w:val="24"/>
          <w:szCs w:val="24"/>
        </w:rPr>
        <w:t xml:space="preserve">ntention is without merit as one cannot base an argument on a law that is not yet in force. I accordingly find that the defendants have not advanced a valid objection to the procedure followed by the plaintiff in approaching this court. </w:t>
      </w:r>
    </w:p>
    <w:p w:rsidR="00B27E91" w:rsidRDefault="00EC00FA">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u w:val="single"/>
        </w:rPr>
        <w:t xml:space="preserve">DISPOSITION </w:t>
      </w: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 th</w:t>
      </w:r>
      <w:r>
        <w:rPr>
          <w:rFonts w:ascii="Times New Roman" w:hAnsi="Times New Roman" w:cs="Times New Roman"/>
          <w:sz w:val="24"/>
          <w:szCs w:val="24"/>
        </w:rPr>
        <w:t xml:space="preserve">e basis of the foregoing, I come to the conclusion that this would not be an appropriate case to decree absolution from the instance. I accordingly hold that there is no merit in this application in respect of both the main and alternative claims. </w:t>
      </w:r>
    </w:p>
    <w:p w:rsidR="00B27E91" w:rsidRDefault="00EC00FA">
      <w:pPr>
        <w:spacing w:line="360" w:lineRule="auto"/>
        <w:ind w:left="360"/>
        <w:jc w:val="both"/>
        <w:rPr>
          <w:rFonts w:ascii="Times New Roman" w:hAnsi="Times New Roman" w:cs="Times New Roman"/>
          <w:b/>
          <w:bCs/>
          <w:sz w:val="24"/>
          <w:szCs w:val="24"/>
          <w:u w:val="single"/>
        </w:rPr>
      </w:pPr>
      <w:r>
        <w:rPr>
          <w:rFonts w:ascii="Times New Roman" w:hAnsi="Times New Roman" w:cs="Times New Roman"/>
          <w:b/>
          <w:bCs/>
          <w:sz w:val="24"/>
          <w:szCs w:val="24"/>
          <w:u w:val="single"/>
        </w:rPr>
        <w:t>ORDER</w:t>
      </w:r>
    </w:p>
    <w:p w:rsidR="00B27E91" w:rsidRDefault="00EC00F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n the result, it is ordered that:</w:t>
      </w:r>
    </w:p>
    <w:p w:rsidR="00B27E91" w:rsidRDefault="00EC00F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absolution for the instance be and is hereby refused. </w:t>
      </w:r>
    </w:p>
    <w:p w:rsidR="00B27E91" w:rsidRDefault="00EC00F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trial shall resume and proceed on the 22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of September 2025 at 1000hrs or soon thereafter as the matter may be heard. </w:t>
      </w:r>
    </w:p>
    <w:p w:rsidR="00B27E91" w:rsidRDefault="00EC00F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Costs shall be in the c</w:t>
      </w:r>
      <w:r>
        <w:rPr>
          <w:rFonts w:ascii="Times New Roman" w:hAnsi="Times New Roman" w:cs="Times New Roman"/>
          <w:sz w:val="24"/>
          <w:szCs w:val="24"/>
        </w:rPr>
        <w:t>ause.</w:t>
      </w:r>
    </w:p>
    <w:p w:rsidR="00B27E91" w:rsidRDefault="00B27E91">
      <w:pPr>
        <w:pStyle w:val="ListParagraph"/>
        <w:spacing w:line="360" w:lineRule="auto"/>
        <w:jc w:val="both"/>
        <w:rPr>
          <w:rFonts w:ascii="Times New Roman" w:hAnsi="Times New Roman" w:cs="Times New Roman"/>
          <w:sz w:val="24"/>
          <w:szCs w:val="24"/>
        </w:rPr>
      </w:pPr>
    </w:p>
    <w:p w:rsidR="00B27E91" w:rsidRDefault="00B27E91">
      <w:pPr>
        <w:spacing w:after="0" w:line="360" w:lineRule="auto"/>
        <w:jc w:val="both"/>
        <w:rPr>
          <w:rFonts w:ascii="Times New Roman" w:hAnsi="Times New Roman" w:cs="Times New Roman"/>
          <w:i/>
          <w:iCs/>
          <w:sz w:val="24"/>
          <w:szCs w:val="24"/>
        </w:rPr>
      </w:pPr>
      <w:bookmarkStart w:id="11" w:name="_Hlk198277741"/>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b/>
          <w:bCs/>
          <w:smallCaps/>
          <w:sz w:val="24"/>
          <w:szCs w:val="24"/>
        </w:rPr>
        <w:t>Mushure J</w:t>
      </w:r>
      <w:r>
        <w:rPr>
          <w:rFonts w:ascii="Times New Roman" w:hAnsi="Times New Roman" w:cs="Times New Roman"/>
          <w:sz w:val="24"/>
          <w:szCs w:val="24"/>
        </w:rPr>
        <w:t>: .................................................................</w:t>
      </w:r>
    </w:p>
    <w:p w:rsidR="00B27E91" w:rsidRDefault="00B27E91">
      <w:pPr>
        <w:spacing w:after="0" w:line="240" w:lineRule="auto"/>
        <w:jc w:val="both"/>
        <w:rPr>
          <w:rFonts w:ascii="Times New Roman" w:hAnsi="Times New Roman" w:cs="Times New Roman"/>
          <w:i/>
          <w:iCs/>
          <w:sz w:val="24"/>
          <w:szCs w:val="24"/>
        </w:rPr>
      </w:pP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Tendai Biti Law Chambers,</w:t>
      </w:r>
      <w:r>
        <w:rPr>
          <w:rFonts w:ascii="Times New Roman" w:hAnsi="Times New Roman" w:cs="Times New Roman"/>
          <w:sz w:val="24"/>
          <w:szCs w:val="24"/>
        </w:rPr>
        <w:t xml:space="preserve"> plaintiff’s legal practitioners </w:t>
      </w:r>
    </w:p>
    <w:p w:rsidR="00B27E91" w:rsidRDefault="00EC00F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Webb Law &amp; Barry,</w:t>
      </w:r>
      <w:r>
        <w:rPr>
          <w:rFonts w:ascii="Times New Roman" w:hAnsi="Times New Roman" w:cs="Times New Roman"/>
          <w:sz w:val="24"/>
          <w:szCs w:val="24"/>
        </w:rPr>
        <w:t xml:space="preserve"> the first and fourth to eighth defendant’s legal practitioners </w:t>
      </w:r>
    </w:p>
    <w:bookmarkEnd w:id="0"/>
    <w:bookmarkEnd w:id="11"/>
    <w:p w:rsidR="00B27E91" w:rsidRDefault="00B27E91">
      <w:pPr>
        <w:spacing w:line="360" w:lineRule="auto"/>
        <w:jc w:val="both"/>
        <w:rPr>
          <w:rFonts w:ascii="Times New Roman" w:hAnsi="Times New Roman" w:cs="Times New Roman"/>
          <w:sz w:val="24"/>
          <w:szCs w:val="24"/>
        </w:rPr>
      </w:pPr>
    </w:p>
    <w:sectPr w:rsidR="00B27E9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0FA" w:rsidRDefault="00EC00FA">
      <w:pPr>
        <w:spacing w:line="240" w:lineRule="auto"/>
      </w:pPr>
      <w:r>
        <w:separator/>
      </w:r>
    </w:p>
  </w:endnote>
  <w:endnote w:type="continuationSeparator" w:id="0">
    <w:p w:rsidR="00EC00FA" w:rsidRDefault="00EC00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0FA" w:rsidRDefault="00EC00FA">
      <w:pPr>
        <w:spacing w:after="0"/>
      </w:pPr>
      <w:r>
        <w:separator/>
      </w:r>
    </w:p>
  </w:footnote>
  <w:footnote w:type="continuationSeparator" w:id="0">
    <w:p w:rsidR="00EC00FA" w:rsidRDefault="00EC00F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432582"/>
    </w:sdtPr>
    <w:sdtEndPr/>
    <w:sdtContent>
      <w:p w:rsidR="00B27E91" w:rsidRDefault="00EC00FA">
        <w:pPr>
          <w:pStyle w:val="Header"/>
          <w:jc w:val="right"/>
        </w:pPr>
        <w:r>
          <w:fldChar w:fldCharType="begin"/>
        </w:r>
        <w:r>
          <w:instrText xml:space="preserve"> PAGE   \* MERGEFORMAT </w:instrText>
        </w:r>
        <w:r>
          <w:fldChar w:fldCharType="separate"/>
        </w:r>
        <w:r w:rsidR="000D1BC7">
          <w:rPr>
            <w:noProof/>
          </w:rPr>
          <w:t>2</w:t>
        </w:r>
        <w:r>
          <w:fldChar w:fldCharType="end"/>
        </w:r>
      </w:p>
      <w:p w:rsidR="00B27E91" w:rsidRDefault="00EC00FA">
        <w:pPr>
          <w:pStyle w:val="Header"/>
          <w:wordWrap w:val="0"/>
          <w:jc w:val="right"/>
        </w:pPr>
        <w:r>
          <w:rPr>
            <w:lang w:val="en-US"/>
          </w:rPr>
          <w:t>HH 480/25</w:t>
        </w:r>
      </w:p>
      <w:p w:rsidR="00B27E91" w:rsidRDefault="00EC00FA">
        <w:pPr>
          <w:pStyle w:val="Header"/>
          <w:jc w:val="right"/>
        </w:pPr>
        <w:r>
          <w:t>HCH8164/22</w:t>
        </w:r>
      </w:p>
    </w:sdtContent>
  </w:sdt>
  <w:p w:rsidR="00B27E91" w:rsidRDefault="00B27E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7035"/>
    <w:multiLevelType w:val="multilevel"/>
    <w:tmpl w:val="069D703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EA7483"/>
    <w:multiLevelType w:val="multilevel"/>
    <w:tmpl w:val="09EA74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F802A0"/>
    <w:multiLevelType w:val="multilevel"/>
    <w:tmpl w:val="27F802A0"/>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B44534"/>
    <w:multiLevelType w:val="multilevel"/>
    <w:tmpl w:val="63B4453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42419D"/>
    <w:multiLevelType w:val="multilevel"/>
    <w:tmpl w:val="6642419D"/>
    <w:lvl w:ilvl="0">
      <w:start w:val="1"/>
      <w:numFmt w:val="decimal"/>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4A"/>
    <w:rsid w:val="000030A3"/>
    <w:rsid w:val="000052CC"/>
    <w:rsid w:val="0001334C"/>
    <w:rsid w:val="00017646"/>
    <w:rsid w:val="0002640B"/>
    <w:rsid w:val="000273B5"/>
    <w:rsid w:val="000351E4"/>
    <w:rsid w:val="00047DA4"/>
    <w:rsid w:val="0005338F"/>
    <w:rsid w:val="00056402"/>
    <w:rsid w:val="00065F40"/>
    <w:rsid w:val="00067E27"/>
    <w:rsid w:val="00080AC2"/>
    <w:rsid w:val="000A23CD"/>
    <w:rsid w:val="000A75BB"/>
    <w:rsid w:val="000C1593"/>
    <w:rsid w:val="000C1A39"/>
    <w:rsid w:val="000C2B0C"/>
    <w:rsid w:val="000C377A"/>
    <w:rsid w:val="000D0480"/>
    <w:rsid w:val="000D1BC7"/>
    <w:rsid w:val="000D30F1"/>
    <w:rsid w:val="000D34B5"/>
    <w:rsid w:val="000D64BD"/>
    <w:rsid w:val="000D75F2"/>
    <w:rsid w:val="000E7C6D"/>
    <w:rsid w:val="000F0A22"/>
    <w:rsid w:val="000F1F38"/>
    <w:rsid w:val="001003F9"/>
    <w:rsid w:val="001123B9"/>
    <w:rsid w:val="0011391F"/>
    <w:rsid w:val="00132EFE"/>
    <w:rsid w:val="00145162"/>
    <w:rsid w:val="00146446"/>
    <w:rsid w:val="00152CD7"/>
    <w:rsid w:val="001574A3"/>
    <w:rsid w:val="00161CA6"/>
    <w:rsid w:val="00162000"/>
    <w:rsid w:val="00162AF2"/>
    <w:rsid w:val="00166371"/>
    <w:rsid w:val="00175C77"/>
    <w:rsid w:val="00184A7D"/>
    <w:rsid w:val="001A07D0"/>
    <w:rsid w:val="001B451A"/>
    <w:rsid w:val="001B5AE4"/>
    <w:rsid w:val="001C4161"/>
    <w:rsid w:val="001C4BF3"/>
    <w:rsid w:val="001C5AAF"/>
    <w:rsid w:val="001D2132"/>
    <w:rsid w:val="001D4195"/>
    <w:rsid w:val="001E0BD2"/>
    <w:rsid w:val="001E0DC4"/>
    <w:rsid w:val="001E5A25"/>
    <w:rsid w:val="00200CA7"/>
    <w:rsid w:val="00210263"/>
    <w:rsid w:val="00213F9D"/>
    <w:rsid w:val="00213FED"/>
    <w:rsid w:val="00214099"/>
    <w:rsid w:val="002141EE"/>
    <w:rsid w:val="0021523A"/>
    <w:rsid w:val="0024583B"/>
    <w:rsid w:val="00246765"/>
    <w:rsid w:val="00254A1B"/>
    <w:rsid w:val="0026251D"/>
    <w:rsid w:val="002738F5"/>
    <w:rsid w:val="002755C5"/>
    <w:rsid w:val="0029306D"/>
    <w:rsid w:val="002A3EE4"/>
    <w:rsid w:val="002A6FB5"/>
    <w:rsid w:val="002B2E16"/>
    <w:rsid w:val="002B2FBF"/>
    <w:rsid w:val="002C1473"/>
    <w:rsid w:val="002C199B"/>
    <w:rsid w:val="002D384A"/>
    <w:rsid w:val="002E57E9"/>
    <w:rsid w:val="002E7175"/>
    <w:rsid w:val="002F2FE8"/>
    <w:rsid w:val="00300D38"/>
    <w:rsid w:val="00304C32"/>
    <w:rsid w:val="00305074"/>
    <w:rsid w:val="00305F02"/>
    <w:rsid w:val="003135DC"/>
    <w:rsid w:val="00315040"/>
    <w:rsid w:val="0031672B"/>
    <w:rsid w:val="00316DDD"/>
    <w:rsid w:val="0032534A"/>
    <w:rsid w:val="0032741D"/>
    <w:rsid w:val="00335284"/>
    <w:rsid w:val="003363C1"/>
    <w:rsid w:val="003578E1"/>
    <w:rsid w:val="00360CC3"/>
    <w:rsid w:val="00364CE8"/>
    <w:rsid w:val="00381598"/>
    <w:rsid w:val="0039055A"/>
    <w:rsid w:val="00394407"/>
    <w:rsid w:val="0039680C"/>
    <w:rsid w:val="003A5C2C"/>
    <w:rsid w:val="003A6E4B"/>
    <w:rsid w:val="003B37D8"/>
    <w:rsid w:val="003C4487"/>
    <w:rsid w:val="003C557C"/>
    <w:rsid w:val="003C5E17"/>
    <w:rsid w:val="003D2895"/>
    <w:rsid w:val="003D3B11"/>
    <w:rsid w:val="003D4891"/>
    <w:rsid w:val="003E348D"/>
    <w:rsid w:val="003F6397"/>
    <w:rsid w:val="003F746D"/>
    <w:rsid w:val="00400B1A"/>
    <w:rsid w:val="004027CD"/>
    <w:rsid w:val="00406A45"/>
    <w:rsid w:val="00406E72"/>
    <w:rsid w:val="00416AE9"/>
    <w:rsid w:val="00420285"/>
    <w:rsid w:val="00424632"/>
    <w:rsid w:val="004253C0"/>
    <w:rsid w:val="00430532"/>
    <w:rsid w:val="00430B90"/>
    <w:rsid w:val="00432EC5"/>
    <w:rsid w:val="00435C3F"/>
    <w:rsid w:val="0044022F"/>
    <w:rsid w:val="00443C58"/>
    <w:rsid w:val="004445B8"/>
    <w:rsid w:val="0045034C"/>
    <w:rsid w:val="0045184F"/>
    <w:rsid w:val="004549B1"/>
    <w:rsid w:val="00461862"/>
    <w:rsid w:val="004625BA"/>
    <w:rsid w:val="0048121D"/>
    <w:rsid w:val="00481ADA"/>
    <w:rsid w:val="00487280"/>
    <w:rsid w:val="00490B2B"/>
    <w:rsid w:val="00490CF4"/>
    <w:rsid w:val="00492259"/>
    <w:rsid w:val="004A5C6E"/>
    <w:rsid w:val="004C48EE"/>
    <w:rsid w:val="004C5761"/>
    <w:rsid w:val="004C733C"/>
    <w:rsid w:val="004D1C4F"/>
    <w:rsid w:val="004E0112"/>
    <w:rsid w:val="004E2428"/>
    <w:rsid w:val="004E4C8E"/>
    <w:rsid w:val="004F5763"/>
    <w:rsid w:val="00502901"/>
    <w:rsid w:val="00512083"/>
    <w:rsid w:val="005140D5"/>
    <w:rsid w:val="00515D5B"/>
    <w:rsid w:val="00521773"/>
    <w:rsid w:val="00523AFC"/>
    <w:rsid w:val="00525212"/>
    <w:rsid w:val="0053480F"/>
    <w:rsid w:val="00535603"/>
    <w:rsid w:val="00540F12"/>
    <w:rsid w:val="00550363"/>
    <w:rsid w:val="00563D2E"/>
    <w:rsid w:val="005722DC"/>
    <w:rsid w:val="00574325"/>
    <w:rsid w:val="00587E08"/>
    <w:rsid w:val="00595618"/>
    <w:rsid w:val="005B4E89"/>
    <w:rsid w:val="005B74EE"/>
    <w:rsid w:val="005E3BF4"/>
    <w:rsid w:val="005F047B"/>
    <w:rsid w:val="006101FD"/>
    <w:rsid w:val="00614003"/>
    <w:rsid w:val="006328BB"/>
    <w:rsid w:val="0063781C"/>
    <w:rsid w:val="00650866"/>
    <w:rsid w:val="00653D9C"/>
    <w:rsid w:val="00660FA4"/>
    <w:rsid w:val="00661C93"/>
    <w:rsid w:val="00663403"/>
    <w:rsid w:val="00666BD2"/>
    <w:rsid w:val="00667CCE"/>
    <w:rsid w:val="006732E8"/>
    <w:rsid w:val="0067584C"/>
    <w:rsid w:val="00676C29"/>
    <w:rsid w:val="006849EF"/>
    <w:rsid w:val="006902E1"/>
    <w:rsid w:val="00691A3F"/>
    <w:rsid w:val="00694B5A"/>
    <w:rsid w:val="006A0EB9"/>
    <w:rsid w:val="006A6315"/>
    <w:rsid w:val="006B051D"/>
    <w:rsid w:val="006B110B"/>
    <w:rsid w:val="006B4F0B"/>
    <w:rsid w:val="006C2B98"/>
    <w:rsid w:val="006C7013"/>
    <w:rsid w:val="006D0ADC"/>
    <w:rsid w:val="006D71DB"/>
    <w:rsid w:val="006E2C39"/>
    <w:rsid w:val="006F1789"/>
    <w:rsid w:val="006F490C"/>
    <w:rsid w:val="006F7773"/>
    <w:rsid w:val="00700DB5"/>
    <w:rsid w:val="00705945"/>
    <w:rsid w:val="00706958"/>
    <w:rsid w:val="007125F1"/>
    <w:rsid w:val="00722B1B"/>
    <w:rsid w:val="007271A5"/>
    <w:rsid w:val="007337EB"/>
    <w:rsid w:val="007437BB"/>
    <w:rsid w:val="00745136"/>
    <w:rsid w:val="007537AB"/>
    <w:rsid w:val="00754011"/>
    <w:rsid w:val="00766410"/>
    <w:rsid w:val="0076647F"/>
    <w:rsid w:val="00772BC5"/>
    <w:rsid w:val="007861EF"/>
    <w:rsid w:val="007901E8"/>
    <w:rsid w:val="00790429"/>
    <w:rsid w:val="00790C24"/>
    <w:rsid w:val="007A35FC"/>
    <w:rsid w:val="007A6D52"/>
    <w:rsid w:val="007A75CC"/>
    <w:rsid w:val="007B7E0C"/>
    <w:rsid w:val="007C1FF9"/>
    <w:rsid w:val="007C385C"/>
    <w:rsid w:val="007D75B8"/>
    <w:rsid w:val="007F2E96"/>
    <w:rsid w:val="008001B8"/>
    <w:rsid w:val="00805BBD"/>
    <w:rsid w:val="00807525"/>
    <w:rsid w:val="0081453E"/>
    <w:rsid w:val="00815A2B"/>
    <w:rsid w:val="00817AF1"/>
    <w:rsid w:val="00820327"/>
    <w:rsid w:val="008328BE"/>
    <w:rsid w:val="00844C60"/>
    <w:rsid w:val="008522BC"/>
    <w:rsid w:val="00853EC2"/>
    <w:rsid w:val="008614C4"/>
    <w:rsid w:val="00863C8A"/>
    <w:rsid w:val="00865430"/>
    <w:rsid w:val="00865A6A"/>
    <w:rsid w:val="008715A2"/>
    <w:rsid w:val="00876B5F"/>
    <w:rsid w:val="00880209"/>
    <w:rsid w:val="00880536"/>
    <w:rsid w:val="00881E8C"/>
    <w:rsid w:val="008829F3"/>
    <w:rsid w:val="0088360C"/>
    <w:rsid w:val="008A03AA"/>
    <w:rsid w:val="008A3AFF"/>
    <w:rsid w:val="008A4F1B"/>
    <w:rsid w:val="008A73AD"/>
    <w:rsid w:val="008B0205"/>
    <w:rsid w:val="008B305E"/>
    <w:rsid w:val="008B7476"/>
    <w:rsid w:val="008D5449"/>
    <w:rsid w:val="008E6868"/>
    <w:rsid w:val="008F059C"/>
    <w:rsid w:val="008F4395"/>
    <w:rsid w:val="008F4D3F"/>
    <w:rsid w:val="009005DF"/>
    <w:rsid w:val="00903CBA"/>
    <w:rsid w:val="00916097"/>
    <w:rsid w:val="00917A8F"/>
    <w:rsid w:val="009219E7"/>
    <w:rsid w:val="00924A78"/>
    <w:rsid w:val="00925954"/>
    <w:rsid w:val="00926A3C"/>
    <w:rsid w:val="0092785B"/>
    <w:rsid w:val="00930022"/>
    <w:rsid w:val="00936215"/>
    <w:rsid w:val="009373CF"/>
    <w:rsid w:val="009413AB"/>
    <w:rsid w:val="00942674"/>
    <w:rsid w:val="0094744E"/>
    <w:rsid w:val="00966B9D"/>
    <w:rsid w:val="009707D0"/>
    <w:rsid w:val="00970D19"/>
    <w:rsid w:val="00970F53"/>
    <w:rsid w:val="0097731F"/>
    <w:rsid w:val="00982C08"/>
    <w:rsid w:val="00985EC1"/>
    <w:rsid w:val="00992812"/>
    <w:rsid w:val="009C7E66"/>
    <w:rsid w:val="009E011C"/>
    <w:rsid w:val="009F4EC7"/>
    <w:rsid w:val="009F5F07"/>
    <w:rsid w:val="00A11BB8"/>
    <w:rsid w:val="00A27180"/>
    <w:rsid w:val="00A51653"/>
    <w:rsid w:val="00A621C4"/>
    <w:rsid w:val="00A66786"/>
    <w:rsid w:val="00A67CAC"/>
    <w:rsid w:val="00A714C9"/>
    <w:rsid w:val="00A75F5E"/>
    <w:rsid w:val="00A8470A"/>
    <w:rsid w:val="00A92447"/>
    <w:rsid w:val="00A960ED"/>
    <w:rsid w:val="00AA0368"/>
    <w:rsid w:val="00AA7241"/>
    <w:rsid w:val="00AB2C0F"/>
    <w:rsid w:val="00AB3AED"/>
    <w:rsid w:val="00AB4E48"/>
    <w:rsid w:val="00AC154C"/>
    <w:rsid w:val="00AC2131"/>
    <w:rsid w:val="00AC7DB6"/>
    <w:rsid w:val="00AD0C85"/>
    <w:rsid w:val="00AD60EA"/>
    <w:rsid w:val="00AE06C3"/>
    <w:rsid w:val="00AE5468"/>
    <w:rsid w:val="00AE7D10"/>
    <w:rsid w:val="00AF1A42"/>
    <w:rsid w:val="00AF24F7"/>
    <w:rsid w:val="00B00634"/>
    <w:rsid w:val="00B03009"/>
    <w:rsid w:val="00B033B4"/>
    <w:rsid w:val="00B035E7"/>
    <w:rsid w:val="00B20DEC"/>
    <w:rsid w:val="00B276A7"/>
    <w:rsid w:val="00B27E91"/>
    <w:rsid w:val="00B30715"/>
    <w:rsid w:val="00B42242"/>
    <w:rsid w:val="00B51F03"/>
    <w:rsid w:val="00B63E5B"/>
    <w:rsid w:val="00B64438"/>
    <w:rsid w:val="00B71536"/>
    <w:rsid w:val="00B7686B"/>
    <w:rsid w:val="00B94733"/>
    <w:rsid w:val="00B95A27"/>
    <w:rsid w:val="00B9722B"/>
    <w:rsid w:val="00BA257D"/>
    <w:rsid w:val="00BB2B5A"/>
    <w:rsid w:val="00BC18D2"/>
    <w:rsid w:val="00BC76BF"/>
    <w:rsid w:val="00BD5090"/>
    <w:rsid w:val="00BD78B7"/>
    <w:rsid w:val="00BE09B9"/>
    <w:rsid w:val="00BE482E"/>
    <w:rsid w:val="00BF0001"/>
    <w:rsid w:val="00C04BA8"/>
    <w:rsid w:val="00C05831"/>
    <w:rsid w:val="00C06E72"/>
    <w:rsid w:val="00C07CFE"/>
    <w:rsid w:val="00C10E08"/>
    <w:rsid w:val="00C11DE7"/>
    <w:rsid w:val="00C15A78"/>
    <w:rsid w:val="00C172E3"/>
    <w:rsid w:val="00C267EF"/>
    <w:rsid w:val="00C33BC6"/>
    <w:rsid w:val="00C400B6"/>
    <w:rsid w:val="00C4254C"/>
    <w:rsid w:val="00C43B2C"/>
    <w:rsid w:val="00C51E26"/>
    <w:rsid w:val="00C5448C"/>
    <w:rsid w:val="00C60A9E"/>
    <w:rsid w:val="00C62266"/>
    <w:rsid w:val="00C64C1E"/>
    <w:rsid w:val="00C82D94"/>
    <w:rsid w:val="00C9051F"/>
    <w:rsid w:val="00C93C4D"/>
    <w:rsid w:val="00C94427"/>
    <w:rsid w:val="00C94DBE"/>
    <w:rsid w:val="00C95546"/>
    <w:rsid w:val="00C95EFF"/>
    <w:rsid w:val="00CA09EF"/>
    <w:rsid w:val="00CA22D1"/>
    <w:rsid w:val="00CB4431"/>
    <w:rsid w:val="00CB7C6A"/>
    <w:rsid w:val="00CD76A8"/>
    <w:rsid w:val="00CE13DB"/>
    <w:rsid w:val="00CE74BD"/>
    <w:rsid w:val="00D01EC7"/>
    <w:rsid w:val="00D07769"/>
    <w:rsid w:val="00D20B4C"/>
    <w:rsid w:val="00D22D6C"/>
    <w:rsid w:val="00D250E7"/>
    <w:rsid w:val="00D259B3"/>
    <w:rsid w:val="00D4682E"/>
    <w:rsid w:val="00D53BFE"/>
    <w:rsid w:val="00D54B00"/>
    <w:rsid w:val="00D72091"/>
    <w:rsid w:val="00D77BD3"/>
    <w:rsid w:val="00D80386"/>
    <w:rsid w:val="00D80AF2"/>
    <w:rsid w:val="00D84959"/>
    <w:rsid w:val="00D86EFE"/>
    <w:rsid w:val="00D86F7D"/>
    <w:rsid w:val="00D87C27"/>
    <w:rsid w:val="00D96944"/>
    <w:rsid w:val="00DA02B0"/>
    <w:rsid w:val="00DB343E"/>
    <w:rsid w:val="00DC710A"/>
    <w:rsid w:val="00DC71D2"/>
    <w:rsid w:val="00DD07D0"/>
    <w:rsid w:val="00DE4105"/>
    <w:rsid w:val="00DE50EC"/>
    <w:rsid w:val="00DE73CF"/>
    <w:rsid w:val="00E0203F"/>
    <w:rsid w:val="00E02304"/>
    <w:rsid w:val="00E04B16"/>
    <w:rsid w:val="00E0722C"/>
    <w:rsid w:val="00E1727D"/>
    <w:rsid w:val="00E245C4"/>
    <w:rsid w:val="00E2594A"/>
    <w:rsid w:val="00E333F2"/>
    <w:rsid w:val="00E3469C"/>
    <w:rsid w:val="00E4211E"/>
    <w:rsid w:val="00E42F3C"/>
    <w:rsid w:val="00E43452"/>
    <w:rsid w:val="00E47BBB"/>
    <w:rsid w:val="00E5684D"/>
    <w:rsid w:val="00E60952"/>
    <w:rsid w:val="00E67BC5"/>
    <w:rsid w:val="00E70970"/>
    <w:rsid w:val="00E82708"/>
    <w:rsid w:val="00E8318C"/>
    <w:rsid w:val="00E8345C"/>
    <w:rsid w:val="00E91D63"/>
    <w:rsid w:val="00E92AED"/>
    <w:rsid w:val="00E93DC8"/>
    <w:rsid w:val="00EA1F53"/>
    <w:rsid w:val="00EC00FA"/>
    <w:rsid w:val="00EC1A33"/>
    <w:rsid w:val="00EC6F01"/>
    <w:rsid w:val="00ED4210"/>
    <w:rsid w:val="00EE665C"/>
    <w:rsid w:val="00EF1EAD"/>
    <w:rsid w:val="00EF44D4"/>
    <w:rsid w:val="00EF6B4B"/>
    <w:rsid w:val="00F10111"/>
    <w:rsid w:val="00F11E66"/>
    <w:rsid w:val="00F13868"/>
    <w:rsid w:val="00F13FD2"/>
    <w:rsid w:val="00F14903"/>
    <w:rsid w:val="00F155BE"/>
    <w:rsid w:val="00F37477"/>
    <w:rsid w:val="00F37E14"/>
    <w:rsid w:val="00F43F2A"/>
    <w:rsid w:val="00F467C4"/>
    <w:rsid w:val="00F507D2"/>
    <w:rsid w:val="00F55373"/>
    <w:rsid w:val="00F57CD5"/>
    <w:rsid w:val="00F60170"/>
    <w:rsid w:val="00F666CE"/>
    <w:rsid w:val="00F67212"/>
    <w:rsid w:val="00F700DC"/>
    <w:rsid w:val="00F719DB"/>
    <w:rsid w:val="00F71B0A"/>
    <w:rsid w:val="00F85938"/>
    <w:rsid w:val="00F86C39"/>
    <w:rsid w:val="00F9289D"/>
    <w:rsid w:val="00F94536"/>
    <w:rsid w:val="00F94FBB"/>
    <w:rsid w:val="00FB3CE2"/>
    <w:rsid w:val="00FB5F29"/>
    <w:rsid w:val="00FB7A53"/>
    <w:rsid w:val="00FD475B"/>
    <w:rsid w:val="00FE205B"/>
    <w:rsid w:val="00FF5303"/>
    <w:rsid w:val="00FF5E6A"/>
    <w:rsid w:val="0F864A73"/>
    <w:rsid w:val="29241B1E"/>
    <w:rsid w:val="34EB0D03"/>
    <w:rsid w:val="5EA87D81"/>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CA4A09-50D2-4F7E-A24D-28768DA2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qFormat/>
    <w:rPr>
      <w:sz w:val="20"/>
      <w:szCs w:val="20"/>
    </w:rPr>
  </w:style>
  <w:style w:type="paragraph" w:customStyle="1" w:styleId="Revision1">
    <w:name w:val="Revision1"/>
    <w:hidden/>
    <w:uiPriority w:val="99"/>
    <w:semiHidden/>
    <w:qFormat/>
    <w:rPr>
      <w:sz w:val="22"/>
      <w:szCs w:val="22"/>
      <w:lang w:val="en-ZW"/>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Default">
    <w:name w:val="Default"/>
    <w:qFormat/>
    <w:pPr>
      <w:autoSpaceDE w:val="0"/>
      <w:autoSpaceDN w:val="0"/>
      <w:adjustRightInd w:val="0"/>
    </w:pPr>
    <w:rPr>
      <w:rFonts w:ascii="Arial" w:hAnsi="Arial" w:cs="Arial"/>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BA88-0E7B-4639-9345-0A54935A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5826</Words>
  <Characters>33213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Faith Mushure</dc:creator>
  <cp:lastModifiedBy>JSC</cp:lastModifiedBy>
  <cp:revision>2</cp:revision>
  <dcterms:created xsi:type="dcterms:W3CDTF">2025-08-22T10:11:00Z</dcterms:created>
  <dcterms:modified xsi:type="dcterms:W3CDTF">2025-08-22T10:11:00Z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decb6377-c5fd-4b2b-ad18-f8f2a4ae72b2</vt:lpwstr>
  </property>
  <property fmtid="{D5CDD505-2E9C-101B-9397-08002B2CF9AE}" pid="3" name="KSOProductBuildVer">
    <vt:lpwstr>1033-12.2.0.21931</vt:lpwstr>
  </property>
  <property fmtid="{D5CDD505-2E9C-101B-9397-08002B2CF9AE}" pid="4" name="ICV">
    <vt:lpwstr>FBA324DB45C647739FE24B13CC88336C_13</vt:lpwstr>
  </property>
</Properties>
</file>