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84" w:rsidRDefault="007D4384" w:rsidP="007D4384">
      <w:pPr>
        <w:spacing w:after="0"/>
        <w:jc w:val="both"/>
        <w:rPr>
          <w:rFonts w:ascii="Times New Roman" w:hAnsi="Times New Roman" w:cs="Times New Roman"/>
          <w:sz w:val="24"/>
          <w:szCs w:val="24"/>
          <w:lang w:val="en-GB"/>
        </w:rPr>
      </w:pPr>
      <w:bookmarkStart w:id="0" w:name="_GoBack"/>
      <w:bookmarkEnd w:id="0"/>
    </w:p>
    <w:p w:rsidR="007D4384" w:rsidRDefault="007D4384" w:rsidP="007D4384">
      <w:pPr>
        <w:spacing w:after="0"/>
        <w:jc w:val="both"/>
        <w:rPr>
          <w:rFonts w:ascii="Times New Roman" w:hAnsi="Times New Roman" w:cs="Times New Roman"/>
          <w:sz w:val="24"/>
          <w:szCs w:val="24"/>
          <w:lang w:val="en-GB"/>
        </w:rPr>
      </w:pPr>
    </w:p>
    <w:p w:rsidR="007D6A77"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PREMIER SERVICE MEDICAL INVESTMENTS (PVT) LTD</w:t>
      </w:r>
    </w:p>
    <w:p w:rsidR="007D4384" w:rsidRDefault="008E12B8"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D4384"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PREMIER SERVICE MEDICAL AID SOCIETY</w:t>
      </w:r>
    </w:p>
    <w:p w:rsidR="007D4384" w:rsidRDefault="008E12B8"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7D4384"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CUTHBERT ELKANA DUBE</w:t>
      </w:r>
    </w:p>
    <w:p w:rsidR="007D4384" w:rsidRDefault="007D4384" w:rsidP="007D4384">
      <w:pPr>
        <w:spacing w:after="0"/>
        <w:jc w:val="both"/>
        <w:rPr>
          <w:rFonts w:ascii="Times New Roman" w:hAnsi="Times New Roman" w:cs="Times New Roman"/>
          <w:sz w:val="24"/>
          <w:szCs w:val="24"/>
          <w:lang w:val="en-GB"/>
        </w:rPr>
      </w:pPr>
    </w:p>
    <w:p w:rsidR="007D4384" w:rsidRDefault="007D4384" w:rsidP="007D4384">
      <w:pPr>
        <w:spacing w:after="0"/>
        <w:jc w:val="both"/>
        <w:rPr>
          <w:rFonts w:ascii="Times New Roman" w:hAnsi="Times New Roman" w:cs="Times New Roman"/>
          <w:sz w:val="24"/>
          <w:szCs w:val="24"/>
          <w:lang w:val="en-GB"/>
        </w:rPr>
      </w:pPr>
    </w:p>
    <w:p w:rsidR="007D4384"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7D4384"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MUZOFA J</w:t>
      </w:r>
    </w:p>
    <w:p w:rsidR="007D4384" w:rsidRDefault="007D4384" w:rsidP="007D438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w:t>
      </w:r>
      <w:r w:rsidR="00403017">
        <w:rPr>
          <w:rFonts w:ascii="Times New Roman" w:hAnsi="Times New Roman" w:cs="Times New Roman"/>
          <w:sz w:val="24"/>
          <w:szCs w:val="24"/>
          <w:lang w:val="en-GB"/>
        </w:rPr>
        <w:t>, 21 May &amp; 7 July 2021</w:t>
      </w:r>
    </w:p>
    <w:p w:rsidR="007D4384" w:rsidRDefault="007D4384" w:rsidP="007D4384">
      <w:pPr>
        <w:spacing w:after="0"/>
        <w:jc w:val="both"/>
        <w:rPr>
          <w:rFonts w:ascii="Times New Roman" w:hAnsi="Times New Roman" w:cs="Times New Roman"/>
          <w:sz w:val="24"/>
          <w:szCs w:val="24"/>
          <w:lang w:val="en-GB"/>
        </w:rPr>
      </w:pPr>
    </w:p>
    <w:p w:rsidR="007D4384" w:rsidRDefault="007D4384" w:rsidP="007D4384">
      <w:pPr>
        <w:spacing w:after="0"/>
        <w:jc w:val="both"/>
        <w:rPr>
          <w:rFonts w:ascii="Times New Roman" w:hAnsi="Times New Roman" w:cs="Times New Roman"/>
          <w:sz w:val="24"/>
          <w:szCs w:val="24"/>
          <w:lang w:val="en-GB"/>
        </w:rPr>
      </w:pPr>
    </w:p>
    <w:p w:rsidR="007D4384" w:rsidRDefault="00403017" w:rsidP="007D4384">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rsidR="007D4384" w:rsidRDefault="007D4384" w:rsidP="007D4384">
      <w:pPr>
        <w:spacing w:after="0"/>
        <w:jc w:val="both"/>
        <w:rPr>
          <w:rFonts w:ascii="Times New Roman" w:hAnsi="Times New Roman" w:cs="Times New Roman"/>
          <w:b/>
          <w:sz w:val="24"/>
          <w:szCs w:val="24"/>
          <w:lang w:val="en-GB"/>
        </w:rPr>
      </w:pPr>
    </w:p>
    <w:p w:rsidR="007D4384" w:rsidRDefault="007D4384" w:rsidP="007D4384">
      <w:pPr>
        <w:spacing w:after="0"/>
        <w:jc w:val="both"/>
        <w:rPr>
          <w:rFonts w:ascii="Times New Roman" w:hAnsi="Times New Roman" w:cs="Times New Roman"/>
          <w:b/>
          <w:sz w:val="24"/>
          <w:szCs w:val="24"/>
          <w:lang w:val="en-GB"/>
        </w:rPr>
      </w:pPr>
    </w:p>
    <w:p w:rsidR="007D4384" w:rsidRDefault="00403017" w:rsidP="007D4384">
      <w:pPr>
        <w:spacing w:after="0"/>
        <w:jc w:val="both"/>
        <w:rPr>
          <w:rFonts w:ascii="Times New Roman" w:hAnsi="Times New Roman" w:cs="Times New Roman"/>
          <w:sz w:val="24"/>
          <w:szCs w:val="24"/>
          <w:lang w:val="en-GB"/>
        </w:rPr>
      </w:pPr>
      <w:r w:rsidRPr="00403017">
        <w:rPr>
          <w:rFonts w:ascii="Times New Roman" w:hAnsi="Times New Roman" w:cs="Times New Roman"/>
          <w:i/>
          <w:sz w:val="24"/>
          <w:szCs w:val="24"/>
          <w:lang w:val="en-GB"/>
        </w:rPr>
        <w:t>F Mahere</w:t>
      </w:r>
      <w:r>
        <w:rPr>
          <w:rFonts w:ascii="Times New Roman" w:hAnsi="Times New Roman" w:cs="Times New Roman"/>
          <w:sz w:val="24"/>
          <w:szCs w:val="24"/>
          <w:lang w:val="en-GB"/>
        </w:rPr>
        <w:t>,</w:t>
      </w:r>
      <w:r w:rsidR="007D4384">
        <w:rPr>
          <w:rFonts w:ascii="Times New Roman" w:hAnsi="Times New Roman" w:cs="Times New Roman"/>
          <w:sz w:val="24"/>
          <w:szCs w:val="24"/>
          <w:lang w:val="en-GB"/>
        </w:rPr>
        <w:t xml:space="preserve"> for the 1</w:t>
      </w:r>
      <w:r w:rsidR="007D4384" w:rsidRPr="007D4384">
        <w:rPr>
          <w:rFonts w:ascii="Times New Roman" w:hAnsi="Times New Roman" w:cs="Times New Roman"/>
          <w:sz w:val="24"/>
          <w:szCs w:val="24"/>
          <w:vertAlign w:val="superscript"/>
          <w:lang w:val="en-GB"/>
        </w:rPr>
        <w:t>st</w:t>
      </w:r>
      <w:r>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 xml:space="preserve"> &amp; 2</w:t>
      </w:r>
      <w:r w:rsidRPr="00403017">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applicants</w:t>
      </w:r>
    </w:p>
    <w:p w:rsidR="007D4384" w:rsidRDefault="00403017" w:rsidP="007D4384">
      <w:pPr>
        <w:spacing w:after="0"/>
        <w:jc w:val="both"/>
        <w:rPr>
          <w:rFonts w:ascii="Times New Roman" w:hAnsi="Times New Roman" w:cs="Times New Roman"/>
          <w:sz w:val="24"/>
          <w:szCs w:val="24"/>
          <w:lang w:val="en-GB"/>
        </w:rPr>
      </w:pPr>
      <w:r w:rsidRPr="00403017">
        <w:rPr>
          <w:rFonts w:ascii="Times New Roman" w:hAnsi="Times New Roman" w:cs="Times New Roman"/>
          <w:i/>
          <w:sz w:val="24"/>
          <w:szCs w:val="24"/>
          <w:lang w:val="en-GB"/>
        </w:rPr>
        <w:t>L Madhuku</w:t>
      </w:r>
      <w:r w:rsidR="007D4384">
        <w:rPr>
          <w:rFonts w:ascii="Times New Roman" w:hAnsi="Times New Roman" w:cs="Times New Roman"/>
          <w:sz w:val="24"/>
          <w:szCs w:val="24"/>
          <w:lang w:val="en-GB"/>
        </w:rPr>
        <w:t>, for the respondent</w:t>
      </w:r>
    </w:p>
    <w:p w:rsidR="007D4384" w:rsidRDefault="007D4384" w:rsidP="007D4384">
      <w:pPr>
        <w:spacing w:after="0"/>
        <w:jc w:val="both"/>
        <w:rPr>
          <w:rFonts w:ascii="Times New Roman" w:hAnsi="Times New Roman" w:cs="Times New Roman"/>
          <w:sz w:val="24"/>
          <w:szCs w:val="24"/>
          <w:lang w:val="en-GB"/>
        </w:rPr>
      </w:pPr>
    </w:p>
    <w:p w:rsidR="007D4384" w:rsidRDefault="007D4384" w:rsidP="007D4384">
      <w:pPr>
        <w:spacing w:after="0"/>
        <w:jc w:val="both"/>
        <w:rPr>
          <w:rFonts w:ascii="Times New Roman" w:hAnsi="Times New Roman" w:cs="Times New Roman"/>
          <w:sz w:val="24"/>
          <w:szCs w:val="24"/>
          <w:lang w:val="en-GB"/>
        </w:rPr>
      </w:pPr>
    </w:p>
    <w:p w:rsidR="00267C3C" w:rsidRDefault="007D4384"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MUZOFA J: </w:t>
      </w:r>
      <w:r w:rsidR="00403017">
        <w:rPr>
          <w:rFonts w:ascii="Times New Roman" w:hAnsi="Times New Roman" w:cs="Times New Roman"/>
          <w:sz w:val="24"/>
          <w:szCs w:val="24"/>
          <w:lang w:val="en-GB"/>
        </w:rPr>
        <w:t>T</w:t>
      </w:r>
      <w:r w:rsidR="00F75E63">
        <w:rPr>
          <w:rFonts w:ascii="Times New Roman" w:hAnsi="Times New Roman" w:cs="Times New Roman"/>
          <w:sz w:val="24"/>
          <w:szCs w:val="24"/>
          <w:lang w:val="en-GB"/>
        </w:rPr>
        <w:t xml:space="preserve">his is an application </w:t>
      </w:r>
      <w:r w:rsidR="005D4E8D">
        <w:rPr>
          <w:rFonts w:ascii="Times New Roman" w:hAnsi="Times New Roman" w:cs="Times New Roman"/>
          <w:sz w:val="24"/>
          <w:szCs w:val="24"/>
          <w:lang w:val="en-GB"/>
        </w:rPr>
        <w:t>for dismissal for</w:t>
      </w:r>
      <w:r w:rsidR="00F75E63">
        <w:rPr>
          <w:rFonts w:ascii="Times New Roman" w:hAnsi="Times New Roman" w:cs="Times New Roman"/>
          <w:sz w:val="24"/>
          <w:szCs w:val="24"/>
          <w:lang w:val="en-GB"/>
        </w:rPr>
        <w:t xml:space="preserve"> want of prosecution in terms of r 236 (3) (b) of the High Court </w:t>
      </w:r>
      <w:r w:rsidR="005D4E8D">
        <w:rPr>
          <w:rFonts w:ascii="Times New Roman" w:hAnsi="Times New Roman" w:cs="Times New Roman"/>
          <w:sz w:val="24"/>
          <w:szCs w:val="24"/>
          <w:lang w:val="en-GB"/>
        </w:rPr>
        <w:t>Rules, 1971</w:t>
      </w:r>
      <w:r w:rsidR="00F75E63">
        <w:rPr>
          <w:rFonts w:ascii="Times New Roman" w:hAnsi="Times New Roman" w:cs="Times New Roman"/>
          <w:sz w:val="24"/>
          <w:szCs w:val="24"/>
          <w:lang w:val="en-GB"/>
        </w:rPr>
        <w:t>.</w:t>
      </w:r>
    </w:p>
    <w:p w:rsidR="0078080D" w:rsidRDefault="0078080D"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first and second applicants are companies registered in accordance with the laws of Zimbabwe. The second applicant owns the entire shareholding in the first applicant.</w:t>
      </w:r>
    </w:p>
    <w:p w:rsidR="0078080D" w:rsidRDefault="0078080D"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applicants and the respondent are embroiled in a shareholding dispute</w:t>
      </w:r>
      <w:r w:rsidR="005D4E8D">
        <w:rPr>
          <w:rFonts w:ascii="Times New Roman" w:hAnsi="Times New Roman" w:cs="Times New Roman"/>
          <w:sz w:val="24"/>
          <w:szCs w:val="24"/>
          <w:lang w:val="en-GB"/>
        </w:rPr>
        <w:t xml:space="preserve"> </w:t>
      </w:r>
      <w:r w:rsidR="001A09C7">
        <w:rPr>
          <w:rFonts w:ascii="Times New Roman" w:hAnsi="Times New Roman" w:cs="Times New Roman"/>
          <w:sz w:val="24"/>
          <w:szCs w:val="24"/>
          <w:lang w:val="en-GB"/>
        </w:rPr>
        <w:t>of</w:t>
      </w:r>
      <w:r w:rsidR="005D4E8D">
        <w:rPr>
          <w:rFonts w:ascii="Times New Roman" w:hAnsi="Times New Roman" w:cs="Times New Roman"/>
          <w:sz w:val="24"/>
          <w:szCs w:val="24"/>
          <w:lang w:val="en-GB"/>
        </w:rPr>
        <w:t xml:space="preserve"> the first applicant</w:t>
      </w:r>
      <w:r>
        <w:rPr>
          <w:rFonts w:ascii="Times New Roman" w:hAnsi="Times New Roman" w:cs="Times New Roman"/>
          <w:sz w:val="24"/>
          <w:szCs w:val="24"/>
          <w:lang w:val="en-GB"/>
        </w:rPr>
        <w:t xml:space="preserve">. The background to this matter is largely undisputed. The respondent filed an application for a </w:t>
      </w:r>
      <w:r w:rsidR="001A09C7">
        <w:rPr>
          <w:rFonts w:ascii="Times New Roman" w:hAnsi="Times New Roman" w:cs="Times New Roman"/>
          <w:sz w:val="24"/>
          <w:szCs w:val="24"/>
          <w:lang w:val="en-GB"/>
        </w:rPr>
        <w:t xml:space="preserve">declaratory order </w:t>
      </w:r>
      <w:r>
        <w:rPr>
          <w:rFonts w:ascii="Times New Roman" w:hAnsi="Times New Roman" w:cs="Times New Roman"/>
          <w:sz w:val="24"/>
          <w:szCs w:val="24"/>
          <w:lang w:val="en-GB"/>
        </w:rPr>
        <w:t>in March 2018 against the applicants</w:t>
      </w:r>
      <w:r w:rsidR="005D4E8D">
        <w:rPr>
          <w:rFonts w:ascii="Times New Roman" w:hAnsi="Times New Roman" w:cs="Times New Roman"/>
          <w:sz w:val="24"/>
          <w:szCs w:val="24"/>
          <w:lang w:val="en-GB"/>
        </w:rPr>
        <w:t xml:space="preserve"> under HC 2821/18</w:t>
      </w:r>
      <w:r w:rsidR="001A09C7">
        <w:rPr>
          <w:rFonts w:ascii="Times New Roman" w:hAnsi="Times New Roman" w:cs="Times New Roman"/>
          <w:sz w:val="24"/>
          <w:szCs w:val="24"/>
          <w:lang w:val="en-GB"/>
        </w:rPr>
        <w:t xml:space="preserve"> 9 the main matter)</w:t>
      </w:r>
      <w:r>
        <w:rPr>
          <w:rFonts w:ascii="Times New Roman" w:hAnsi="Times New Roman" w:cs="Times New Roman"/>
          <w:sz w:val="24"/>
          <w:szCs w:val="24"/>
          <w:lang w:val="en-GB"/>
        </w:rPr>
        <w:t>. Notices of opposition were filed in April 2018. The respondent did not file any further process</w:t>
      </w:r>
      <w:r w:rsidR="005D4E8D">
        <w:rPr>
          <w:rFonts w:ascii="Times New Roman" w:hAnsi="Times New Roman" w:cs="Times New Roman"/>
          <w:sz w:val="24"/>
          <w:szCs w:val="24"/>
          <w:lang w:val="en-GB"/>
        </w:rPr>
        <w:t xml:space="preserve"> thereafter</w:t>
      </w:r>
      <w:r>
        <w:rPr>
          <w:rFonts w:ascii="Times New Roman" w:hAnsi="Times New Roman" w:cs="Times New Roman"/>
          <w:sz w:val="24"/>
          <w:szCs w:val="24"/>
          <w:lang w:val="en-GB"/>
        </w:rPr>
        <w:t>. On 4 December 2018 having noticed the inaction by the respondent, the applicants filed a chamber application under HC 1129/18 for the dismissal of the</w:t>
      </w:r>
      <w:r w:rsidR="001A09C7">
        <w:rPr>
          <w:rFonts w:ascii="Times New Roman" w:hAnsi="Times New Roman" w:cs="Times New Roman"/>
          <w:sz w:val="24"/>
          <w:szCs w:val="24"/>
          <w:lang w:val="en-GB"/>
        </w:rPr>
        <w:t xml:space="preserve"> main</w:t>
      </w:r>
      <w:r>
        <w:rPr>
          <w:rFonts w:ascii="Times New Roman" w:hAnsi="Times New Roman" w:cs="Times New Roman"/>
          <w:sz w:val="24"/>
          <w:szCs w:val="24"/>
          <w:lang w:val="en-GB"/>
        </w:rPr>
        <w:t xml:space="preserve"> matter for want of prosecution. On 18 December 2018 the respondent filed the notice of opposition. After filing of all pleadings the matter was set down for hearing in March 2019. The </w:t>
      </w:r>
      <w:r w:rsidR="005D4E8D">
        <w:rPr>
          <w:rFonts w:ascii="Times New Roman" w:hAnsi="Times New Roman" w:cs="Times New Roman"/>
          <w:sz w:val="24"/>
          <w:szCs w:val="24"/>
          <w:lang w:val="en-GB"/>
        </w:rPr>
        <w:t>applicants withdrew the matter on</w:t>
      </w:r>
      <w:r>
        <w:rPr>
          <w:rFonts w:ascii="Times New Roman" w:hAnsi="Times New Roman" w:cs="Times New Roman"/>
          <w:sz w:val="24"/>
          <w:szCs w:val="24"/>
          <w:lang w:val="en-GB"/>
        </w:rPr>
        <w:t xml:space="preserve"> the understanding that the respondent would file the outstanding pleadings</w:t>
      </w:r>
      <w:r w:rsidR="005D4E8D">
        <w:rPr>
          <w:rFonts w:ascii="Times New Roman" w:hAnsi="Times New Roman" w:cs="Times New Roman"/>
          <w:sz w:val="24"/>
          <w:szCs w:val="24"/>
          <w:lang w:val="en-GB"/>
        </w:rPr>
        <w:t xml:space="preserve"> </w:t>
      </w:r>
      <w:r w:rsidR="001A09C7">
        <w:rPr>
          <w:rFonts w:ascii="Times New Roman" w:hAnsi="Times New Roman" w:cs="Times New Roman"/>
          <w:sz w:val="24"/>
          <w:szCs w:val="24"/>
          <w:lang w:val="en-GB"/>
        </w:rPr>
        <w:t>in the main</w:t>
      </w:r>
      <w:r w:rsidR="00070B79">
        <w:rPr>
          <w:rFonts w:ascii="Times New Roman" w:hAnsi="Times New Roman" w:cs="Times New Roman"/>
          <w:sz w:val="24"/>
          <w:szCs w:val="24"/>
          <w:lang w:val="en-GB"/>
        </w:rPr>
        <w:t xml:space="preserve"> matter</w:t>
      </w:r>
      <w:r>
        <w:rPr>
          <w:rFonts w:ascii="Times New Roman" w:hAnsi="Times New Roman" w:cs="Times New Roman"/>
          <w:sz w:val="24"/>
          <w:szCs w:val="24"/>
          <w:lang w:val="en-GB"/>
        </w:rPr>
        <w:t xml:space="preserve"> within a fortnight. When the </w:t>
      </w:r>
      <w:r w:rsidR="005D4E8D">
        <w:rPr>
          <w:rFonts w:ascii="Times New Roman" w:hAnsi="Times New Roman" w:cs="Times New Roman"/>
          <w:sz w:val="24"/>
          <w:szCs w:val="24"/>
          <w:lang w:val="en-GB"/>
        </w:rPr>
        <w:t>respondent failed to comply with his undertaking</w:t>
      </w:r>
      <w:r>
        <w:rPr>
          <w:rFonts w:ascii="Times New Roman" w:hAnsi="Times New Roman" w:cs="Times New Roman"/>
          <w:sz w:val="24"/>
          <w:szCs w:val="24"/>
          <w:lang w:val="en-GB"/>
        </w:rPr>
        <w:t xml:space="preserve"> the ap</w:t>
      </w:r>
      <w:r w:rsidR="005D4E8D">
        <w:rPr>
          <w:rFonts w:ascii="Times New Roman" w:hAnsi="Times New Roman" w:cs="Times New Roman"/>
          <w:sz w:val="24"/>
          <w:szCs w:val="24"/>
          <w:lang w:val="en-GB"/>
        </w:rPr>
        <w:t>plicants filed this application about 4</w:t>
      </w:r>
      <w:r>
        <w:rPr>
          <w:rFonts w:ascii="Times New Roman" w:hAnsi="Times New Roman" w:cs="Times New Roman"/>
          <w:sz w:val="24"/>
          <w:szCs w:val="24"/>
          <w:lang w:val="en-GB"/>
        </w:rPr>
        <w:t xml:space="preserve"> months after the withdrawal of the first matter. By then it was 15 months after the opposing papers were filed. On that basis the applicants seek an order in terms of the draft</w:t>
      </w:r>
      <w:r w:rsidR="005D4E8D">
        <w:rPr>
          <w:rFonts w:ascii="Times New Roman" w:hAnsi="Times New Roman" w:cs="Times New Roman"/>
          <w:sz w:val="24"/>
          <w:szCs w:val="24"/>
          <w:lang w:val="en-GB"/>
        </w:rPr>
        <w:t>.</w:t>
      </w:r>
    </w:p>
    <w:p w:rsidR="00382337" w:rsidRDefault="0078080D"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ab/>
      </w:r>
      <w:r w:rsidR="005D4E8D">
        <w:rPr>
          <w:rFonts w:ascii="Times New Roman" w:hAnsi="Times New Roman" w:cs="Times New Roman"/>
          <w:sz w:val="24"/>
          <w:szCs w:val="24"/>
          <w:lang w:val="en-GB"/>
        </w:rPr>
        <w:t xml:space="preserve">In opposing the application, a </w:t>
      </w:r>
      <w:r>
        <w:rPr>
          <w:rFonts w:ascii="Times New Roman" w:hAnsi="Times New Roman" w:cs="Times New Roman"/>
          <w:sz w:val="24"/>
          <w:szCs w:val="24"/>
          <w:lang w:val="en-GB"/>
        </w:rPr>
        <w:t>preliminary point was taken for the respondent challeng</w:t>
      </w:r>
      <w:r w:rsidR="005D4E8D">
        <w:rPr>
          <w:rFonts w:ascii="Times New Roman" w:hAnsi="Times New Roman" w:cs="Times New Roman"/>
          <w:sz w:val="24"/>
          <w:szCs w:val="24"/>
          <w:lang w:val="en-GB"/>
        </w:rPr>
        <w:t>ing the</w:t>
      </w:r>
      <w:r w:rsidR="00EA3E20">
        <w:rPr>
          <w:rFonts w:ascii="Times New Roman" w:hAnsi="Times New Roman" w:cs="Times New Roman"/>
          <w:sz w:val="24"/>
          <w:szCs w:val="24"/>
          <w:lang w:val="en-GB"/>
        </w:rPr>
        <w:t xml:space="preserve"> </w:t>
      </w:r>
      <w:r w:rsidR="005D4E8D">
        <w:rPr>
          <w:rFonts w:ascii="Times New Roman" w:hAnsi="Times New Roman" w:cs="Times New Roman"/>
          <w:sz w:val="24"/>
          <w:szCs w:val="24"/>
          <w:lang w:val="en-GB"/>
        </w:rPr>
        <w:t xml:space="preserve">authority of the deponent </w:t>
      </w:r>
      <w:r w:rsidR="00EA3E20">
        <w:rPr>
          <w:rFonts w:ascii="Times New Roman" w:hAnsi="Times New Roman" w:cs="Times New Roman"/>
          <w:sz w:val="24"/>
          <w:szCs w:val="24"/>
          <w:lang w:val="en-GB"/>
        </w:rPr>
        <w:t xml:space="preserve">to the applicants’ founding affidavit. </w:t>
      </w:r>
      <w:r w:rsidR="005D4E8D">
        <w:rPr>
          <w:rFonts w:ascii="Times New Roman" w:hAnsi="Times New Roman" w:cs="Times New Roman"/>
          <w:sz w:val="24"/>
          <w:szCs w:val="24"/>
          <w:lang w:val="en-GB"/>
        </w:rPr>
        <w:t xml:space="preserve">A number of issues were raised by </w:t>
      </w:r>
      <w:r w:rsidR="005D4E8D" w:rsidRPr="001A09C7">
        <w:rPr>
          <w:rFonts w:ascii="Times New Roman" w:hAnsi="Times New Roman" w:cs="Times New Roman"/>
          <w:i/>
          <w:sz w:val="24"/>
          <w:szCs w:val="24"/>
          <w:lang w:val="en-GB"/>
        </w:rPr>
        <w:t>Mr Madhuku</w:t>
      </w:r>
      <w:r w:rsidR="005D4E8D">
        <w:rPr>
          <w:rFonts w:ascii="Times New Roman" w:hAnsi="Times New Roman" w:cs="Times New Roman"/>
          <w:sz w:val="24"/>
          <w:szCs w:val="24"/>
          <w:lang w:val="en-GB"/>
        </w:rPr>
        <w:t xml:space="preserve"> for the respondent,</w:t>
      </w:r>
      <w:r w:rsidR="00EA3E20">
        <w:rPr>
          <w:rFonts w:ascii="Times New Roman" w:hAnsi="Times New Roman" w:cs="Times New Roman"/>
          <w:sz w:val="24"/>
          <w:szCs w:val="24"/>
          <w:lang w:val="en-GB"/>
        </w:rPr>
        <w:t xml:space="preserve"> that one natural person cannot represent two separate artificial persons, that the resolutions attached are invalid for lack </w:t>
      </w:r>
      <w:r w:rsidR="005D4E8D">
        <w:rPr>
          <w:rFonts w:ascii="Times New Roman" w:hAnsi="Times New Roman" w:cs="Times New Roman"/>
          <w:sz w:val="24"/>
          <w:szCs w:val="24"/>
          <w:lang w:val="en-GB"/>
        </w:rPr>
        <w:t>of</w:t>
      </w:r>
      <w:r w:rsidR="00070B79">
        <w:rPr>
          <w:rFonts w:ascii="Times New Roman" w:hAnsi="Times New Roman" w:cs="Times New Roman"/>
          <w:sz w:val="24"/>
          <w:szCs w:val="24"/>
          <w:lang w:val="en-GB"/>
        </w:rPr>
        <w:t xml:space="preserve"> the certifying officer</w:t>
      </w:r>
      <w:r w:rsidR="00EA3E20">
        <w:rPr>
          <w:rFonts w:ascii="Times New Roman" w:hAnsi="Times New Roman" w:cs="Times New Roman"/>
          <w:sz w:val="24"/>
          <w:szCs w:val="24"/>
          <w:lang w:val="en-GB"/>
        </w:rPr>
        <w:t>s</w:t>
      </w:r>
      <w:r w:rsidR="00070B79">
        <w:rPr>
          <w:rFonts w:ascii="Times New Roman" w:hAnsi="Times New Roman" w:cs="Times New Roman"/>
          <w:sz w:val="24"/>
          <w:szCs w:val="24"/>
          <w:lang w:val="en-GB"/>
        </w:rPr>
        <w:t>’</w:t>
      </w:r>
      <w:r w:rsidR="00EA3E20">
        <w:rPr>
          <w:rFonts w:ascii="Times New Roman" w:hAnsi="Times New Roman" w:cs="Times New Roman"/>
          <w:sz w:val="24"/>
          <w:szCs w:val="24"/>
          <w:lang w:val="en-GB"/>
        </w:rPr>
        <w:t xml:space="preserve"> name</w:t>
      </w:r>
      <w:r w:rsidR="00070B79">
        <w:rPr>
          <w:rFonts w:ascii="Times New Roman" w:hAnsi="Times New Roman" w:cs="Times New Roman"/>
          <w:sz w:val="24"/>
          <w:szCs w:val="24"/>
          <w:lang w:val="en-GB"/>
        </w:rPr>
        <w:t>s</w:t>
      </w:r>
      <w:r w:rsidR="00EA3E20">
        <w:rPr>
          <w:rFonts w:ascii="Times New Roman" w:hAnsi="Times New Roman" w:cs="Times New Roman"/>
          <w:sz w:val="24"/>
          <w:szCs w:val="24"/>
          <w:lang w:val="en-GB"/>
        </w:rPr>
        <w:t>, that in terms of corporate law a board of directors cannot authorise a shareholder to represent the company and that in previous matters no</w:t>
      </w:r>
      <w:r w:rsidR="005D4E8D">
        <w:rPr>
          <w:rFonts w:ascii="Times New Roman" w:hAnsi="Times New Roman" w:cs="Times New Roman"/>
          <w:sz w:val="24"/>
          <w:szCs w:val="24"/>
          <w:lang w:val="en-GB"/>
        </w:rPr>
        <w:t xml:space="preserve"> board</w:t>
      </w:r>
      <w:r w:rsidR="00EA3E20">
        <w:rPr>
          <w:rFonts w:ascii="Times New Roman" w:hAnsi="Times New Roman" w:cs="Times New Roman"/>
          <w:sz w:val="24"/>
          <w:szCs w:val="24"/>
          <w:lang w:val="en-GB"/>
        </w:rPr>
        <w:t xml:space="preserve"> resolution</w:t>
      </w:r>
      <w:r w:rsidR="005D4E8D">
        <w:rPr>
          <w:rFonts w:ascii="Times New Roman" w:hAnsi="Times New Roman" w:cs="Times New Roman"/>
          <w:sz w:val="24"/>
          <w:szCs w:val="24"/>
          <w:lang w:val="en-GB"/>
        </w:rPr>
        <w:t>s</w:t>
      </w:r>
      <w:r w:rsidR="00EA3E20">
        <w:rPr>
          <w:rFonts w:ascii="Times New Roman" w:hAnsi="Times New Roman" w:cs="Times New Roman"/>
          <w:sz w:val="24"/>
          <w:szCs w:val="24"/>
          <w:lang w:val="en-GB"/>
        </w:rPr>
        <w:t xml:space="preserve"> were produced</w:t>
      </w:r>
      <w:r w:rsidR="005D4E8D">
        <w:rPr>
          <w:rFonts w:ascii="Times New Roman" w:hAnsi="Times New Roman" w:cs="Times New Roman"/>
          <w:sz w:val="24"/>
          <w:szCs w:val="24"/>
          <w:lang w:val="en-GB"/>
        </w:rPr>
        <w:t xml:space="preserve"> to confirm</w:t>
      </w:r>
      <w:r w:rsidR="00070B79">
        <w:rPr>
          <w:rFonts w:ascii="Times New Roman" w:hAnsi="Times New Roman" w:cs="Times New Roman"/>
          <w:sz w:val="24"/>
          <w:szCs w:val="24"/>
          <w:lang w:val="en-GB"/>
        </w:rPr>
        <w:t xml:space="preserve"> the</w:t>
      </w:r>
      <w:r w:rsidR="005D4E8D">
        <w:rPr>
          <w:rFonts w:ascii="Times New Roman" w:hAnsi="Times New Roman" w:cs="Times New Roman"/>
          <w:sz w:val="24"/>
          <w:szCs w:val="24"/>
          <w:lang w:val="en-GB"/>
        </w:rPr>
        <w:t xml:space="preserve"> authority,</w:t>
      </w:r>
      <w:r w:rsidR="00EA3E20">
        <w:rPr>
          <w:rFonts w:ascii="Times New Roman" w:hAnsi="Times New Roman" w:cs="Times New Roman"/>
          <w:sz w:val="24"/>
          <w:szCs w:val="24"/>
          <w:lang w:val="en-GB"/>
        </w:rPr>
        <w:t xml:space="preserve"> th</w:t>
      </w:r>
      <w:r w:rsidR="00070B79">
        <w:rPr>
          <w:rFonts w:ascii="Times New Roman" w:hAnsi="Times New Roman" w:cs="Times New Roman"/>
          <w:sz w:val="24"/>
          <w:szCs w:val="24"/>
          <w:lang w:val="en-GB"/>
        </w:rPr>
        <w:t>ese</w:t>
      </w:r>
      <w:r w:rsidR="00EA3E20">
        <w:rPr>
          <w:rFonts w:ascii="Times New Roman" w:hAnsi="Times New Roman" w:cs="Times New Roman"/>
          <w:sz w:val="24"/>
          <w:szCs w:val="24"/>
          <w:lang w:val="en-GB"/>
        </w:rPr>
        <w:t xml:space="preserve"> </w:t>
      </w:r>
      <w:r w:rsidR="00272678">
        <w:rPr>
          <w:rFonts w:ascii="Times New Roman" w:hAnsi="Times New Roman" w:cs="Times New Roman"/>
          <w:sz w:val="24"/>
          <w:szCs w:val="24"/>
          <w:lang w:val="en-GB"/>
        </w:rPr>
        <w:t>resolutions are</w:t>
      </w:r>
      <w:r w:rsidR="00EA3E20">
        <w:rPr>
          <w:rFonts w:ascii="Times New Roman" w:hAnsi="Times New Roman" w:cs="Times New Roman"/>
          <w:sz w:val="24"/>
          <w:szCs w:val="24"/>
          <w:lang w:val="en-GB"/>
        </w:rPr>
        <w:t xml:space="preserve"> a recent invention.</w:t>
      </w:r>
      <w:r w:rsidR="00382337" w:rsidRPr="00382337">
        <w:rPr>
          <w:rFonts w:ascii="Times New Roman" w:hAnsi="Times New Roman" w:cs="Times New Roman"/>
          <w:sz w:val="24"/>
          <w:szCs w:val="24"/>
        </w:rPr>
        <w:t xml:space="preserve"> </w:t>
      </w:r>
    </w:p>
    <w:p w:rsidR="00382337" w:rsidRDefault="00382337" w:rsidP="001A09C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On the merits the respondent does not deny the historical background. However the relief sought is resisted on the basis that </w:t>
      </w:r>
      <w:r w:rsidR="001A09C7">
        <w:rPr>
          <w:rFonts w:ascii="Times New Roman" w:hAnsi="Times New Roman" w:cs="Times New Roman"/>
          <w:sz w:val="24"/>
          <w:szCs w:val="24"/>
        </w:rPr>
        <w:t>t</w:t>
      </w:r>
      <w:r>
        <w:rPr>
          <w:rFonts w:ascii="Times New Roman" w:hAnsi="Times New Roman" w:cs="Times New Roman"/>
          <w:sz w:val="24"/>
          <w:szCs w:val="24"/>
        </w:rPr>
        <w:t>he</w:t>
      </w:r>
      <w:r w:rsidR="001A09C7">
        <w:rPr>
          <w:rFonts w:ascii="Times New Roman" w:hAnsi="Times New Roman" w:cs="Times New Roman"/>
          <w:sz w:val="24"/>
          <w:szCs w:val="24"/>
        </w:rPr>
        <w:t xml:space="preserve"> respondent</w:t>
      </w:r>
      <w:r>
        <w:rPr>
          <w:rFonts w:ascii="Times New Roman" w:hAnsi="Times New Roman" w:cs="Times New Roman"/>
          <w:sz w:val="24"/>
          <w:szCs w:val="24"/>
        </w:rPr>
        <w:t xml:space="preserve"> was ill and could not instruct his legal practitioners for the purposes of the answering affidavit. Other issues raised are that the requisite pleadings have already been filed and the</w:t>
      </w:r>
      <w:r w:rsidR="001A09C7">
        <w:rPr>
          <w:rFonts w:ascii="Times New Roman" w:hAnsi="Times New Roman" w:cs="Times New Roman"/>
          <w:sz w:val="24"/>
          <w:szCs w:val="24"/>
        </w:rPr>
        <w:t xml:space="preserve"> main</w:t>
      </w:r>
      <w:r>
        <w:rPr>
          <w:rFonts w:ascii="Times New Roman" w:hAnsi="Times New Roman" w:cs="Times New Roman"/>
          <w:sz w:val="24"/>
          <w:szCs w:val="24"/>
        </w:rPr>
        <w:t xml:space="preserve"> matter is ready for set down subject to the applicants herein filing their heads of argument. He also bemoans the undesirability of disposing the matter on a technicality because the main matter related to property rights, the matter should be disposed on the merits. He also avers that the applicants should have set the matter down for it to be heard on the merits.</w:t>
      </w:r>
    </w:p>
    <w:p w:rsidR="00AA01D0" w:rsidRDefault="00EA3E20"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7727E">
        <w:rPr>
          <w:rFonts w:ascii="Times New Roman" w:hAnsi="Times New Roman" w:cs="Times New Roman"/>
          <w:sz w:val="24"/>
          <w:szCs w:val="24"/>
          <w:lang w:val="en-GB"/>
        </w:rPr>
        <w:t xml:space="preserve">A company is a fictional person created by the law. It can only speak through the collective voice of its board of </w:t>
      </w:r>
      <w:r w:rsidR="001A09C7">
        <w:rPr>
          <w:rFonts w:ascii="Times New Roman" w:hAnsi="Times New Roman" w:cs="Times New Roman"/>
          <w:sz w:val="24"/>
          <w:szCs w:val="24"/>
          <w:lang w:val="en-GB"/>
        </w:rPr>
        <w:t xml:space="preserve">directors. This voice is the </w:t>
      </w:r>
      <w:r w:rsidR="00D7727E">
        <w:rPr>
          <w:rFonts w:ascii="Times New Roman" w:hAnsi="Times New Roman" w:cs="Times New Roman"/>
          <w:sz w:val="24"/>
          <w:szCs w:val="24"/>
          <w:lang w:val="en-GB"/>
        </w:rPr>
        <w:t xml:space="preserve">board resolution. </w:t>
      </w:r>
      <w:r w:rsidR="00AA01D0">
        <w:rPr>
          <w:rFonts w:ascii="Times New Roman" w:hAnsi="Times New Roman" w:cs="Times New Roman"/>
          <w:sz w:val="24"/>
          <w:szCs w:val="24"/>
          <w:lang w:val="en-GB"/>
        </w:rPr>
        <w:t xml:space="preserve">This issue of authorisation to represent a company has been decisively stated that a company ,being a legal </w:t>
      </w:r>
      <w:r w:rsidR="00AA01D0" w:rsidRPr="001A09C7">
        <w:rPr>
          <w:rFonts w:ascii="Times New Roman" w:hAnsi="Times New Roman" w:cs="Times New Roman"/>
          <w:i/>
          <w:sz w:val="24"/>
          <w:szCs w:val="24"/>
          <w:lang w:val="en-GB"/>
        </w:rPr>
        <w:t>persona</w:t>
      </w:r>
      <w:r w:rsidR="00AA01D0">
        <w:rPr>
          <w:rFonts w:ascii="Times New Roman" w:hAnsi="Times New Roman" w:cs="Times New Roman"/>
          <w:sz w:val="24"/>
          <w:szCs w:val="24"/>
          <w:lang w:val="en-GB"/>
        </w:rPr>
        <w:t xml:space="preserve"> separate from its directors ,cannot be represented in a legal suit by a person who has not been authorised to do so</w:t>
      </w:r>
      <w:r w:rsidR="005138A3">
        <w:rPr>
          <w:rStyle w:val="FootnoteReference"/>
          <w:rFonts w:ascii="Times New Roman" w:hAnsi="Times New Roman" w:cs="Times New Roman"/>
          <w:sz w:val="24"/>
          <w:szCs w:val="24"/>
          <w:lang w:val="en-GB"/>
        </w:rPr>
        <w:footnoteReference w:id="1"/>
      </w:r>
      <w:r w:rsidR="00387623">
        <w:rPr>
          <w:rFonts w:ascii="Times New Roman" w:hAnsi="Times New Roman" w:cs="Times New Roman"/>
          <w:sz w:val="24"/>
          <w:szCs w:val="24"/>
          <w:lang w:val="en-GB"/>
        </w:rPr>
        <w:t>.</w:t>
      </w:r>
      <w:r w:rsidR="00AA01D0">
        <w:rPr>
          <w:rFonts w:ascii="Times New Roman" w:hAnsi="Times New Roman" w:cs="Times New Roman"/>
          <w:sz w:val="24"/>
          <w:szCs w:val="24"/>
          <w:lang w:val="en-GB"/>
        </w:rPr>
        <w:t>Where the authority of the deponent is challenged the onus is on the deponent to tender the authorisation. The</w:t>
      </w:r>
      <w:r w:rsidR="00135B70">
        <w:rPr>
          <w:rFonts w:ascii="Times New Roman" w:hAnsi="Times New Roman" w:cs="Times New Roman"/>
          <w:sz w:val="24"/>
          <w:szCs w:val="24"/>
          <w:lang w:val="en-GB"/>
        </w:rPr>
        <w:t xml:space="preserve"> rationale</w:t>
      </w:r>
      <w:r w:rsidR="00AA01D0">
        <w:rPr>
          <w:rFonts w:ascii="Times New Roman" w:hAnsi="Times New Roman" w:cs="Times New Roman"/>
          <w:sz w:val="24"/>
          <w:szCs w:val="24"/>
          <w:lang w:val="en-GB"/>
        </w:rPr>
        <w:t xml:space="preserve"> behind the authorisation</w:t>
      </w:r>
      <w:r w:rsidR="00135B70">
        <w:rPr>
          <w:rFonts w:ascii="Times New Roman" w:hAnsi="Times New Roman" w:cs="Times New Roman"/>
          <w:sz w:val="24"/>
          <w:szCs w:val="24"/>
          <w:lang w:val="en-GB"/>
        </w:rPr>
        <w:t xml:space="preserve"> is to confirm that it is indeed the company that is litigating and not some disgruntled individual</w:t>
      </w:r>
      <w:r w:rsidR="001A09C7">
        <w:rPr>
          <w:rFonts w:ascii="Times New Roman" w:hAnsi="Times New Roman" w:cs="Times New Roman"/>
          <w:sz w:val="24"/>
          <w:szCs w:val="24"/>
          <w:lang w:val="en-GB"/>
        </w:rPr>
        <w:t xml:space="preserve"> on a frolic of his own</w:t>
      </w:r>
      <w:r w:rsidR="00135B70">
        <w:rPr>
          <w:rFonts w:ascii="Times New Roman" w:hAnsi="Times New Roman" w:cs="Times New Roman"/>
          <w:sz w:val="24"/>
          <w:szCs w:val="24"/>
          <w:lang w:val="en-GB"/>
        </w:rPr>
        <w:t xml:space="preserve">. Therefore, the position of a person in a company does not </w:t>
      </w:r>
      <w:r w:rsidR="00135B70" w:rsidRPr="00135B70">
        <w:rPr>
          <w:rFonts w:ascii="Times New Roman" w:hAnsi="Times New Roman" w:cs="Times New Roman"/>
          <w:i/>
          <w:sz w:val="24"/>
          <w:szCs w:val="24"/>
          <w:lang w:val="en-GB"/>
        </w:rPr>
        <w:t>per</w:t>
      </w:r>
      <w:r w:rsidR="00AA01D0">
        <w:rPr>
          <w:rFonts w:ascii="Times New Roman" w:hAnsi="Times New Roman" w:cs="Times New Roman"/>
          <w:i/>
          <w:sz w:val="24"/>
          <w:szCs w:val="24"/>
          <w:lang w:val="en-GB"/>
        </w:rPr>
        <w:t xml:space="preserve"> </w:t>
      </w:r>
      <w:r w:rsidR="00135B70" w:rsidRPr="00135B70">
        <w:rPr>
          <w:rFonts w:ascii="Times New Roman" w:hAnsi="Times New Roman" w:cs="Times New Roman"/>
          <w:i/>
          <w:sz w:val="24"/>
          <w:szCs w:val="24"/>
          <w:lang w:val="en-GB"/>
        </w:rPr>
        <w:t xml:space="preserve">se </w:t>
      </w:r>
      <w:r w:rsidR="00135B70">
        <w:rPr>
          <w:rFonts w:ascii="Times New Roman" w:hAnsi="Times New Roman" w:cs="Times New Roman"/>
          <w:sz w:val="24"/>
          <w:szCs w:val="24"/>
          <w:lang w:val="en-GB"/>
        </w:rPr>
        <w:t xml:space="preserve">entitle the individual to represent a company. Even where two entities litigate, there must be two resolutions authorising the individual to represent the </w:t>
      </w:r>
      <w:r w:rsidR="00AA01D0">
        <w:rPr>
          <w:rFonts w:ascii="Times New Roman" w:hAnsi="Times New Roman" w:cs="Times New Roman"/>
          <w:sz w:val="24"/>
          <w:szCs w:val="24"/>
          <w:lang w:val="en-GB"/>
        </w:rPr>
        <w:t>compan</w:t>
      </w:r>
      <w:r w:rsidR="001A09C7">
        <w:rPr>
          <w:rFonts w:ascii="Times New Roman" w:hAnsi="Times New Roman" w:cs="Times New Roman"/>
          <w:sz w:val="24"/>
          <w:szCs w:val="24"/>
          <w:lang w:val="en-GB"/>
        </w:rPr>
        <w:t>ies</w:t>
      </w:r>
      <w:r w:rsidR="00AA01D0">
        <w:rPr>
          <w:rFonts w:ascii="Times New Roman" w:hAnsi="Times New Roman" w:cs="Times New Roman"/>
          <w:sz w:val="24"/>
          <w:szCs w:val="24"/>
          <w:lang w:val="en-GB"/>
        </w:rPr>
        <w:t>. It is trite that an affidavit must be deposed to by a person who has knowledge of the issues or who can positively swear to such issues.</w:t>
      </w:r>
    </w:p>
    <w:p w:rsidR="00135B70" w:rsidRDefault="00AA01D0"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Taking into account who shou</w:t>
      </w:r>
      <w:r w:rsidR="00135B70">
        <w:rPr>
          <w:rFonts w:ascii="Times New Roman" w:hAnsi="Times New Roman" w:cs="Times New Roman"/>
          <w:sz w:val="24"/>
          <w:szCs w:val="24"/>
          <w:lang w:val="en-GB"/>
        </w:rPr>
        <w:t xml:space="preserve">ld depose to an affidavit from the intrinsic knowledge of the case perspective and </w:t>
      </w:r>
      <w:r w:rsidR="001A09C7">
        <w:rPr>
          <w:rFonts w:ascii="Times New Roman" w:hAnsi="Times New Roman" w:cs="Times New Roman"/>
          <w:sz w:val="24"/>
          <w:szCs w:val="24"/>
          <w:lang w:val="en-GB"/>
        </w:rPr>
        <w:t>how that person should be clothed wit</w:t>
      </w:r>
      <w:r w:rsidR="00070B79">
        <w:rPr>
          <w:rFonts w:ascii="Times New Roman" w:hAnsi="Times New Roman" w:cs="Times New Roman"/>
          <w:sz w:val="24"/>
          <w:szCs w:val="24"/>
          <w:lang w:val="en-GB"/>
        </w:rPr>
        <w:t>h the authority to represent a company.</w:t>
      </w:r>
      <w:r w:rsidR="001A09C7">
        <w:rPr>
          <w:rFonts w:ascii="Times New Roman" w:hAnsi="Times New Roman" w:cs="Times New Roman"/>
          <w:sz w:val="24"/>
          <w:szCs w:val="24"/>
          <w:lang w:val="en-GB"/>
        </w:rPr>
        <w:t xml:space="preserve"> I find the preliminary point</w:t>
      </w:r>
      <w:r w:rsidR="00135B70">
        <w:rPr>
          <w:rFonts w:ascii="Times New Roman" w:hAnsi="Times New Roman" w:cs="Times New Roman"/>
          <w:sz w:val="24"/>
          <w:szCs w:val="24"/>
          <w:lang w:val="en-GB"/>
        </w:rPr>
        <w:t xml:space="preserve"> unsustainable.</w:t>
      </w:r>
    </w:p>
    <w:p w:rsidR="00267C3C" w:rsidRDefault="00135B70" w:rsidP="00267C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4624F0">
        <w:rPr>
          <w:rFonts w:ascii="Times New Roman" w:hAnsi="Times New Roman" w:cs="Times New Roman"/>
          <w:sz w:val="24"/>
          <w:szCs w:val="24"/>
          <w:lang w:val="en-GB"/>
        </w:rPr>
        <w:t xml:space="preserve">Indeed, one person </w:t>
      </w:r>
      <w:r w:rsidR="004624F0" w:rsidRPr="00EB4486">
        <w:rPr>
          <w:rFonts w:ascii="Times New Roman" w:hAnsi="Times New Roman" w:cs="Times New Roman"/>
          <w:sz w:val="24"/>
          <w:szCs w:val="24"/>
          <w:lang w:val="en-GB"/>
        </w:rPr>
        <w:t>Jeremiah Bvirindi</w:t>
      </w:r>
      <w:r w:rsidR="004624F0">
        <w:rPr>
          <w:rFonts w:ascii="Times New Roman" w:hAnsi="Times New Roman" w:cs="Times New Roman"/>
          <w:sz w:val="24"/>
          <w:szCs w:val="24"/>
          <w:lang w:val="en-GB"/>
        </w:rPr>
        <w:t xml:space="preserve"> swore to an affidavit on behalf of both applicants. </w:t>
      </w:r>
      <w:r w:rsidR="004624F0" w:rsidRPr="00EB4486">
        <w:rPr>
          <w:rFonts w:ascii="Times New Roman" w:hAnsi="Times New Roman" w:cs="Times New Roman"/>
          <w:sz w:val="24"/>
          <w:szCs w:val="24"/>
          <w:lang w:val="en-GB"/>
        </w:rPr>
        <w:t>Bvirindi</w:t>
      </w:r>
      <w:r w:rsidR="004624F0" w:rsidRPr="004624F0">
        <w:rPr>
          <w:rFonts w:ascii="Times New Roman" w:hAnsi="Times New Roman" w:cs="Times New Roman"/>
          <w:i/>
          <w:sz w:val="24"/>
          <w:szCs w:val="24"/>
          <w:lang w:val="en-GB"/>
        </w:rPr>
        <w:t xml:space="preserve"> </w:t>
      </w:r>
      <w:r w:rsidR="004624F0">
        <w:rPr>
          <w:rFonts w:ascii="Times New Roman" w:hAnsi="Times New Roman" w:cs="Times New Roman"/>
          <w:sz w:val="24"/>
          <w:szCs w:val="24"/>
          <w:lang w:val="en-GB"/>
        </w:rPr>
        <w:t xml:space="preserve">is the chairperson of second applicant’s board of directors. </w:t>
      </w:r>
      <w:r w:rsidR="00AA01D0">
        <w:rPr>
          <w:rFonts w:ascii="Times New Roman" w:hAnsi="Times New Roman" w:cs="Times New Roman"/>
          <w:sz w:val="24"/>
          <w:szCs w:val="24"/>
          <w:lang w:val="en-GB"/>
        </w:rPr>
        <w:t xml:space="preserve">Although disputed and forming the subject matter in the main </w:t>
      </w:r>
      <w:r w:rsidR="00EB4486">
        <w:rPr>
          <w:rFonts w:ascii="Times New Roman" w:hAnsi="Times New Roman" w:cs="Times New Roman"/>
          <w:sz w:val="24"/>
          <w:szCs w:val="24"/>
          <w:lang w:val="en-GB"/>
        </w:rPr>
        <w:t>matter, the</w:t>
      </w:r>
      <w:r w:rsidR="004624F0">
        <w:rPr>
          <w:rFonts w:ascii="Times New Roman" w:hAnsi="Times New Roman" w:cs="Times New Roman"/>
          <w:sz w:val="24"/>
          <w:szCs w:val="24"/>
          <w:lang w:val="en-GB"/>
        </w:rPr>
        <w:t xml:space="preserve"> second applicant owns the entire shareholding in the first </w:t>
      </w:r>
      <w:r w:rsidR="00EB4486">
        <w:rPr>
          <w:rFonts w:ascii="Times New Roman" w:hAnsi="Times New Roman" w:cs="Times New Roman"/>
          <w:sz w:val="24"/>
          <w:szCs w:val="24"/>
          <w:lang w:val="en-GB"/>
        </w:rPr>
        <w:t xml:space="preserve">applicant. It was </w:t>
      </w:r>
      <w:r w:rsidR="00070B79">
        <w:rPr>
          <w:rFonts w:ascii="Times New Roman" w:hAnsi="Times New Roman" w:cs="Times New Roman"/>
          <w:sz w:val="24"/>
          <w:szCs w:val="24"/>
          <w:lang w:val="en-GB"/>
        </w:rPr>
        <w:t>submitted for the applicants</w:t>
      </w:r>
      <w:r w:rsidR="00EB4486">
        <w:rPr>
          <w:rFonts w:ascii="Times New Roman" w:hAnsi="Times New Roman" w:cs="Times New Roman"/>
          <w:sz w:val="24"/>
          <w:szCs w:val="24"/>
          <w:lang w:val="en-GB"/>
        </w:rPr>
        <w:t xml:space="preserve"> that it was both convenient and logical for the deponent to represent the applicants as he had intricate knowledge in the shareholding structure of the first </w:t>
      </w:r>
      <w:r w:rsidR="00070B79">
        <w:rPr>
          <w:rFonts w:ascii="Times New Roman" w:hAnsi="Times New Roman" w:cs="Times New Roman"/>
          <w:sz w:val="24"/>
          <w:szCs w:val="24"/>
          <w:lang w:val="en-GB"/>
        </w:rPr>
        <w:t>applicant.</w:t>
      </w:r>
      <w:r w:rsidR="000233C4">
        <w:rPr>
          <w:rFonts w:ascii="Times New Roman" w:hAnsi="Times New Roman" w:cs="Times New Roman"/>
          <w:sz w:val="24"/>
          <w:szCs w:val="24"/>
          <w:lang w:val="en-GB"/>
        </w:rPr>
        <w:t xml:space="preserve"> The</w:t>
      </w:r>
      <w:r w:rsidR="004624F0">
        <w:rPr>
          <w:rFonts w:ascii="Times New Roman" w:hAnsi="Times New Roman" w:cs="Times New Roman"/>
          <w:sz w:val="24"/>
          <w:szCs w:val="24"/>
          <w:lang w:val="en-GB"/>
        </w:rPr>
        <w:t xml:space="preserve"> first and second applicants have separate and district board of directors</w:t>
      </w:r>
      <w:r w:rsidR="00AA01D0">
        <w:rPr>
          <w:rFonts w:ascii="Times New Roman" w:hAnsi="Times New Roman" w:cs="Times New Roman"/>
          <w:sz w:val="24"/>
          <w:szCs w:val="24"/>
          <w:lang w:val="en-GB"/>
        </w:rPr>
        <w:t xml:space="preserve"> who passed resolutions authorising B</w:t>
      </w:r>
      <w:r w:rsidR="00EB4486">
        <w:rPr>
          <w:rFonts w:ascii="Times New Roman" w:hAnsi="Times New Roman" w:cs="Times New Roman"/>
          <w:sz w:val="24"/>
          <w:szCs w:val="24"/>
          <w:lang w:val="en-GB"/>
        </w:rPr>
        <w:t>viri</w:t>
      </w:r>
      <w:r w:rsidR="00AA01D0">
        <w:rPr>
          <w:rFonts w:ascii="Times New Roman" w:hAnsi="Times New Roman" w:cs="Times New Roman"/>
          <w:sz w:val="24"/>
          <w:szCs w:val="24"/>
          <w:lang w:val="en-GB"/>
        </w:rPr>
        <w:t>ndi to represent the applicants</w:t>
      </w:r>
      <w:r w:rsidR="004624F0">
        <w:rPr>
          <w:rFonts w:ascii="Times New Roman" w:hAnsi="Times New Roman" w:cs="Times New Roman"/>
          <w:sz w:val="24"/>
          <w:szCs w:val="24"/>
          <w:lang w:val="en-GB"/>
        </w:rPr>
        <w:t>. Two board resolutions were attached to</w:t>
      </w:r>
      <w:r w:rsidR="000233C4">
        <w:rPr>
          <w:rFonts w:ascii="Times New Roman" w:hAnsi="Times New Roman" w:cs="Times New Roman"/>
          <w:sz w:val="24"/>
          <w:szCs w:val="24"/>
          <w:lang w:val="en-GB"/>
        </w:rPr>
        <w:t xml:space="preserve"> the</w:t>
      </w:r>
      <w:r w:rsidR="004624F0">
        <w:rPr>
          <w:rFonts w:ascii="Times New Roman" w:hAnsi="Times New Roman" w:cs="Times New Roman"/>
          <w:sz w:val="24"/>
          <w:szCs w:val="24"/>
          <w:lang w:val="en-GB"/>
        </w:rPr>
        <w:t xml:space="preserve"> application from each applicant</w:t>
      </w:r>
      <w:r w:rsidR="000233C4">
        <w:rPr>
          <w:rFonts w:ascii="Times New Roman" w:hAnsi="Times New Roman" w:cs="Times New Roman"/>
          <w:sz w:val="24"/>
          <w:szCs w:val="24"/>
          <w:lang w:val="en-GB"/>
        </w:rPr>
        <w:t>’s board of directors</w:t>
      </w:r>
      <w:r w:rsidR="004624F0">
        <w:rPr>
          <w:rFonts w:ascii="Times New Roman" w:hAnsi="Times New Roman" w:cs="Times New Roman"/>
          <w:sz w:val="24"/>
          <w:szCs w:val="24"/>
          <w:lang w:val="en-GB"/>
        </w:rPr>
        <w:t xml:space="preserve"> authorising </w:t>
      </w:r>
      <w:r w:rsidR="004624F0" w:rsidRPr="00EB4486">
        <w:rPr>
          <w:rFonts w:ascii="Times New Roman" w:hAnsi="Times New Roman" w:cs="Times New Roman"/>
          <w:sz w:val="24"/>
          <w:szCs w:val="24"/>
          <w:lang w:val="en-GB"/>
        </w:rPr>
        <w:t>Bvirindi</w:t>
      </w:r>
      <w:r w:rsidR="004624F0">
        <w:rPr>
          <w:rFonts w:ascii="Times New Roman" w:hAnsi="Times New Roman" w:cs="Times New Roman"/>
          <w:sz w:val="24"/>
          <w:szCs w:val="24"/>
          <w:lang w:val="en-GB"/>
        </w:rPr>
        <w:t xml:space="preserve"> to represent the applicants in litigation between the applicants and the </w:t>
      </w:r>
      <w:r w:rsidR="000233C4">
        <w:rPr>
          <w:rFonts w:ascii="Times New Roman" w:hAnsi="Times New Roman" w:cs="Times New Roman"/>
          <w:sz w:val="24"/>
          <w:szCs w:val="24"/>
          <w:lang w:val="en-GB"/>
        </w:rPr>
        <w:t>respondent. I find this resonating with the law.</w:t>
      </w:r>
      <w:r w:rsidR="004624F0">
        <w:rPr>
          <w:rFonts w:ascii="Times New Roman" w:hAnsi="Times New Roman" w:cs="Times New Roman"/>
          <w:sz w:val="24"/>
          <w:szCs w:val="24"/>
          <w:lang w:val="en-GB"/>
        </w:rPr>
        <w:t xml:space="preserve"> A company is at liberty to authorise anyone it deems fit and proper to represent it in litigation. </w:t>
      </w:r>
      <w:r w:rsidR="00EB4486">
        <w:rPr>
          <w:rFonts w:ascii="Times New Roman" w:hAnsi="Times New Roman" w:cs="Times New Roman"/>
          <w:sz w:val="24"/>
          <w:szCs w:val="24"/>
          <w:lang w:val="en-GB"/>
        </w:rPr>
        <w:t xml:space="preserve">It is not for the courts to appoint or discredit a person properly appointed by a company to represent it. The courts do not run companies. </w:t>
      </w:r>
      <w:r w:rsidR="009A778C">
        <w:rPr>
          <w:rFonts w:ascii="Times New Roman" w:hAnsi="Times New Roman" w:cs="Times New Roman"/>
          <w:sz w:val="24"/>
          <w:szCs w:val="24"/>
          <w:lang w:val="en-GB"/>
        </w:rPr>
        <w:t>If the applicants were of the view that the chairperson of the board of directors is best suited to explain the issues, then nothing should stand in the</w:t>
      </w:r>
      <w:r w:rsidR="00EB4486">
        <w:rPr>
          <w:rFonts w:ascii="Times New Roman" w:hAnsi="Times New Roman" w:cs="Times New Roman"/>
          <w:sz w:val="24"/>
          <w:szCs w:val="24"/>
          <w:lang w:val="en-GB"/>
        </w:rPr>
        <w:t>ir</w:t>
      </w:r>
      <w:r w:rsidR="009A778C">
        <w:rPr>
          <w:rFonts w:ascii="Times New Roman" w:hAnsi="Times New Roman" w:cs="Times New Roman"/>
          <w:sz w:val="24"/>
          <w:szCs w:val="24"/>
          <w:lang w:val="en-GB"/>
        </w:rPr>
        <w:t xml:space="preserve"> </w:t>
      </w:r>
      <w:r w:rsidR="00EB4486">
        <w:rPr>
          <w:rFonts w:ascii="Times New Roman" w:hAnsi="Times New Roman" w:cs="Times New Roman"/>
          <w:sz w:val="24"/>
          <w:szCs w:val="24"/>
          <w:lang w:val="en-GB"/>
        </w:rPr>
        <w:t xml:space="preserve">way. A board resolution can only be challenged where it was not properly made. In </w:t>
      </w:r>
      <w:r w:rsidR="00EB4486" w:rsidRPr="000233C4">
        <w:rPr>
          <w:rFonts w:ascii="Times New Roman" w:hAnsi="Times New Roman" w:cs="Times New Roman"/>
          <w:i/>
          <w:sz w:val="24"/>
          <w:szCs w:val="24"/>
          <w:lang w:val="en-GB"/>
        </w:rPr>
        <w:t>casu</w:t>
      </w:r>
      <w:r w:rsidR="00EB4486">
        <w:rPr>
          <w:rFonts w:ascii="Times New Roman" w:hAnsi="Times New Roman" w:cs="Times New Roman"/>
          <w:sz w:val="24"/>
          <w:szCs w:val="24"/>
          <w:lang w:val="en-GB"/>
        </w:rPr>
        <w:t xml:space="preserve"> the making or the process leading to the board resolution was not challenged. There is no legal ground for the court to interfere with the board </w:t>
      </w:r>
      <w:r w:rsidR="000233C4">
        <w:rPr>
          <w:rFonts w:ascii="Times New Roman" w:hAnsi="Times New Roman" w:cs="Times New Roman"/>
          <w:sz w:val="24"/>
          <w:szCs w:val="24"/>
          <w:lang w:val="en-GB"/>
        </w:rPr>
        <w:t>resolutions. For the avoidance of doubt, it is competent for one person to represent two companies where the person is properly authorised by both companies to represent them in litigation.</w:t>
      </w:r>
    </w:p>
    <w:p w:rsidR="00267C3C" w:rsidRPr="009A778C" w:rsidRDefault="00A145F0" w:rsidP="009A778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second basis for challenging the authorit</w:t>
      </w:r>
      <w:r w:rsidR="008D5431">
        <w:rPr>
          <w:rFonts w:ascii="Times New Roman" w:hAnsi="Times New Roman" w:cs="Times New Roman"/>
          <w:sz w:val="24"/>
          <w:szCs w:val="24"/>
          <w:lang w:val="en-GB"/>
        </w:rPr>
        <w:t>ies</w:t>
      </w:r>
      <w:r>
        <w:rPr>
          <w:rFonts w:ascii="Times New Roman" w:hAnsi="Times New Roman" w:cs="Times New Roman"/>
          <w:sz w:val="24"/>
          <w:szCs w:val="24"/>
          <w:lang w:val="en-GB"/>
        </w:rPr>
        <w:t xml:space="preserve"> is that the</w:t>
      </w:r>
      <w:r w:rsidR="009A778C">
        <w:rPr>
          <w:rFonts w:ascii="Times New Roman" w:hAnsi="Times New Roman" w:cs="Times New Roman"/>
          <w:sz w:val="24"/>
          <w:szCs w:val="24"/>
          <w:lang w:val="en-GB"/>
        </w:rPr>
        <w:t xml:space="preserve"> signature</w:t>
      </w:r>
      <w:r w:rsidR="008D5431">
        <w:rPr>
          <w:rFonts w:ascii="Times New Roman" w:hAnsi="Times New Roman" w:cs="Times New Roman"/>
          <w:sz w:val="24"/>
          <w:szCs w:val="24"/>
          <w:lang w:val="en-GB"/>
        </w:rPr>
        <w:t>s</w:t>
      </w:r>
      <w:r w:rsidR="009A778C">
        <w:rPr>
          <w:rFonts w:ascii="Times New Roman" w:hAnsi="Times New Roman" w:cs="Times New Roman"/>
          <w:sz w:val="24"/>
          <w:szCs w:val="24"/>
          <w:lang w:val="en-GB"/>
        </w:rPr>
        <w:t xml:space="preserve"> of the company secretar</w:t>
      </w:r>
      <w:r w:rsidR="008D5431">
        <w:rPr>
          <w:rFonts w:ascii="Times New Roman" w:hAnsi="Times New Roman" w:cs="Times New Roman"/>
          <w:sz w:val="24"/>
          <w:szCs w:val="24"/>
          <w:lang w:val="en-GB"/>
        </w:rPr>
        <w:t xml:space="preserve">ies are </w:t>
      </w:r>
      <w:r w:rsidR="00EB4486">
        <w:rPr>
          <w:rFonts w:ascii="Times New Roman" w:hAnsi="Times New Roman" w:cs="Times New Roman"/>
          <w:sz w:val="24"/>
          <w:szCs w:val="24"/>
          <w:lang w:val="en-GB"/>
        </w:rPr>
        <w:t>nameless</w:t>
      </w:r>
      <w:r w:rsidR="009A778C">
        <w:rPr>
          <w:rFonts w:ascii="Times New Roman" w:hAnsi="Times New Roman" w:cs="Times New Roman"/>
          <w:sz w:val="24"/>
          <w:szCs w:val="24"/>
          <w:lang w:val="en-GB"/>
        </w:rPr>
        <w:t>. The signature</w:t>
      </w:r>
      <w:r w:rsidR="008D5431">
        <w:rPr>
          <w:rFonts w:ascii="Times New Roman" w:hAnsi="Times New Roman" w:cs="Times New Roman"/>
          <w:sz w:val="24"/>
          <w:szCs w:val="24"/>
          <w:lang w:val="en-GB"/>
        </w:rPr>
        <w:t>s</w:t>
      </w:r>
      <w:r w:rsidR="009A778C">
        <w:rPr>
          <w:rFonts w:ascii="Times New Roman" w:hAnsi="Times New Roman" w:cs="Times New Roman"/>
          <w:sz w:val="24"/>
          <w:szCs w:val="24"/>
          <w:lang w:val="en-GB"/>
        </w:rPr>
        <w:t xml:space="preserve"> w</w:t>
      </w:r>
      <w:r w:rsidR="008D5431">
        <w:rPr>
          <w:rFonts w:ascii="Times New Roman" w:hAnsi="Times New Roman" w:cs="Times New Roman"/>
          <w:sz w:val="24"/>
          <w:szCs w:val="24"/>
          <w:lang w:val="en-GB"/>
        </w:rPr>
        <w:t>ere</w:t>
      </w:r>
      <w:r w:rsidR="009A778C">
        <w:rPr>
          <w:rFonts w:ascii="Times New Roman" w:hAnsi="Times New Roman" w:cs="Times New Roman"/>
          <w:sz w:val="24"/>
          <w:szCs w:val="24"/>
          <w:lang w:val="en-GB"/>
        </w:rPr>
        <w:t xml:space="preserve"> identified in the answering affidavit. It might have been desirable for the person</w:t>
      </w:r>
      <w:r w:rsidR="008D5431">
        <w:rPr>
          <w:rFonts w:ascii="Times New Roman" w:hAnsi="Times New Roman" w:cs="Times New Roman"/>
          <w:sz w:val="24"/>
          <w:szCs w:val="24"/>
          <w:lang w:val="en-GB"/>
        </w:rPr>
        <w:t>s</w:t>
      </w:r>
      <w:r w:rsidR="009A778C">
        <w:rPr>
          <w:rFonts w:ascii="Times New Roman" w:hAnsi="Times New Roman" w:cs="Times New Roman"/>
          <w:sz w:val="24"/>
          <w:szCs w:val="24"/>
          <w:lang w:val="en-GB"/>
        </w:rPr>
        <w:t xml:space="preserve"> who affixed the signature</w:t>
      </w:r>
      <w:r w:rsidR="008D5431">
        <w:rPr>
          <w:rFonts w:ascii="Times New Roman" w:hAnsi="Times New Roman" w:cs="Times New Roman"/>
          <w:sz w:val="24"/>
          <w:szCs w:val="24"/>
          <w:lang w:val="en-GB"/>
        </w:rPr>
        <w:t>s</w:t>
      </w:r>
      <w:r w:rsidR="009A778C">
        <w:rPr>
          <w:rFonts w:ascii="Times New Roman" w:hAnsi="Times New Roman" w:cs="Times New Roman"/>
          <w:sz w:val="24"/>
          <w:szCs w:val="24"/>
          <w:lang w:val="en-GB"/>
        </w:rPr>
        <w:t xml:space="preserve"> to confirm</w:t>
      </w:r>
      <w:r w:rsidR="008D5431">
        <w:rPr>
          <w:rFonts w:ascii="Times New Roman" w:hAnsi="Times New Roman" w:cs="Times New Roman"/>
          <w:sz w:val="24"/>
          <w:szCs w:val="24"/>
          <w:lang w:val="en-GB"/>
        </w:rPr>
        <w:t xml:space="preserve"> his or her</w:t>
      </w:r>
      <w:r w:rsidR="009A778C">
        <w:rPr>
          <w:rFonts w:ascii="Times New Roman" w:hAnsi="Times New Roman" w:cs="Times New Roman"/>
          <w:sz w:val="24"/>
          <w:szCs w:val="24"/>
          <w:lang w:val="en-GB"/>
        </w:rPr>
        <w:t xml:space="preserve"> signature </w:t>
      </w:r>
      <w:r>
        <w:rPr>
          <w:rFonts w:ascii="Times New Roman" w:hAnsi="Times New Roman" w:cs="Times New Roman"/>
          <w:sz w:val="24"/>
          <w:szCs w:val="24"/>
          <w:lang w:val="en-GB"/>
        </w:rPr>
        <w:t>but I</w:t>
      </w:r>
      <w:r w:rsidR="00EB4486">
        <w:rPr>
          <w:rFonts w:ascii="Times New Roman" w:hAnsi="Times New Roman" w:cs="Times New Roman"/>
          <w:sz w:val="24"/>
          <w:szCs w:val="24"/>
          <w:lang w:val="en-GB"/>
        </w:rPr>
        <w:t xml:space="preserve"> </w:t>
      </w:r>
      <w:r w:rsidR="009A778C">
        <w:rPr>
          <w:rFonts w:ascii="Times New Roman" w:hAnsi="Times New Roman" w:cs="Times New Roman"/>
          <w:sz w:val="24"/>
          <w:szCs w:val="24"/>
          <w:lang w:val="en-GB"/>
        </w:rPr>
        <w:t>do not find the lack of such going to the</w:t>
      </w:r>
      <w:r>
        <w:rPr>
          <w:rFonts w:ascii="Times New Roman" w:hAnsi="Times New Roman" w:cs="Times New Roman"/>
          <w:sz w:val="24"/>
          <w:szCs w:val="24"/>
          <w:lang w:val="en-GB"/>
        </w:rPr>
        <w:t xml:space="preserve"> </w:t>
      </w:r>
      <w:r w:rsidR="000233C4">
        <w:rPr>
          <w:rFonts w:ascii="Times New Roman" w:hAnsi="Times New Roman" w:cs="Times New Roman"/>
          <w:sz w:val="24"/>
          <w:szCs w:val="24"/>
          <w:lang w:val="en-GB"/>
        </w:rPr>
        <w:t xml:space="preserve">root of the </w:t>
      </w:r>
      <w:r w:rsidR="00267C3C">
        <w:rPr>
          <w:rFonts w:ascii="Times New Roman" w:hAnsi="Times New Roman" w:cs="Times New Roman"/>
          <w:sz w:val="24"/>
          <w:szCs w:val="24"/>
        </w:rPr>
        <w:t xml:space="preserve">board resolution. It is not disputed that the meeting was held. It </w:t>
      </w:r>
      <w:r w:rsidR="009A778C">
        <w:rPr>
          <w:rFonts w:ascii="Times New Roman" w:hAnsi="Times New Roman" w:cs="Times New Roman"/>
          <w:sz w:val="24"/>
          <w:szCs w:val="24"/>
        </w:rPr>
        <w:t>is not</w:t>
      </w:r>
      <w:r w:rsidR="00267C3C">
        <w:rPr>
          <w:rFonts w:ascii="Times New Roman" w:hAnsi="Times New Roman" w:cs="Times New Roman"/>
          <w:sz w:val="24"/>
          <w:szCs w:val="24"/>
        </w:rPr>
        <w:t xml:space="preserve"> disputed that </w:t>
      </w:r>
      <w:r w:rsidR="00267C3C" w:rsidRPr="00A145F0">
        <w:rPr>
          <w:rFonts w:ascii="Times New Roman" w:hAnsi="Times New Roman" w:cs="Times New Roman"/>
          <w:sz w:val="24"/>
          <w:szCs w:val="24"/>
        </w:rPr>
        <w:t>Bvirindi</w:t>
      </w:r>
      <w:r>
        <w:rPr>
          <w:rFonts w:ascii="Times New Roman" w:hAnsi="Times New Roman" w:cs="Times New Roman"/>
          <w:sz w:val="24"/>
          <w:szCs w:val="24"/>
        </w:rPr>
        <w:t xml:space="preserve"> was authorized. There is no indication that the signature</w:t>
      </w:r>
      <w:r w:rsidR="008D5431">
        <w:rPr>
          <w:rFonts w:ascii="Times New Roman" w:hAnsi="Times New Roman" w:cs="Times New Roman"/>
          <w:sz w:val="24"/>
          <w:szCs w:val="24"/>
        </w:rPr>
        <w:t>s</w:t>
      </w:r>
      <w:r>
        <w:rPr>
          <w:rFonts w:ascii="Times New Roman" w:hAnsi="Times New Roman" w:cs="Times New Roman"/>
          <w:sz w:val="24"/>
          <w:szCs w:val="24"/>
        </w:rPr>
        <w:t xml:space="preserve"> do</w:t>
      </w:r>
      <w:r w:rsidR="008D5431">
        <w:rPr>
          <w:rFonts w:ascii="Times New Roman" w:hAnsi="Times New Roman" w:cs="Times New Roman"/>
          <w:sz w:val="24"/>
          <w:szCs w:val="24"/>
        </w:rPr>
        <w:t xml:space="preserve"> </w:t>
      </w:r>
      <w:r>
        <w:rPr>
          <w:rFonts w:ascii="Times New Roman" w:hAnsi="Times New Roman" w:cs="Times New Roman"/>
          <w:sz w:val="24"/>
          <w:szCs w:val="24"/>
        </w:rPr>
        <w:t>not belong to the company secretar</w:t>
      </w:r>
      <w:r w:rsidR="008D5431">
        <w:rPr>
          <w:rFonts w:ascii="Times New Roman" w:hAnsi="Times New Roman" w:cs="Times New Roman"/>
          <w:sz w:val="24"/>
          <w:szCs w:val="24"/>
        </w:rPr>
        <w:t>ies</w:t>
      </w:r>
      <w:r>
        <w:rPr>
          <w:rFonts w:ascii="Times New Roman" w:hAnsi="Times New Roman" w:cs="Times New Roman"/>
          <w:sz w:val="24"/>
          <w:szCs w:val="24"/>
        </w:rPr>
        <w:t xml:space="preserve"> identified in the answering affidavit. In my view that should dispose of the issue</w:t>
      </w:r>
      <w:r w:rsidR="00267C3C">
        <w:rPr>
          <w:rFonts w:ascii="Times New Roman" w:hAnsi="Times New Roman" w:cs="Times New Roman"/>
          <w:sz w:val="24"/>
          <w:szCs w:val="24"/>
        </w:rPr>
        <w:t>. The authority for the first applicant is stamped</w:t>
      </w:r>
      <w:r>
        <w:rPr>
          <w:rFonts w:ascii="Times New Roman" w:hAnsi="Times New Roman" w:cs="Times New Roman"/>
          <w:sz w:val="24"/>
          <w:szCs w:val="24"/>
        </w:rPr>
        <w:t xml:space="preserve"> with the company stamp</w:t>
      </w:r>
      <w:r w:rsidR="00267C3C">
        <w:rPr>
          <w:rFonts w:ascii="Times New Roman" w:hAnsi="Times New Roman" w:cs="Times New Roman"/>
          <w:sz w:val="24"/>
          <w:szCs w:val="24"/>
        </w:rPr>
        <w:t xml:space="preserve">. In my view it is clear that the company is litigating and has authorized </w:t>
      </w:r>
      <w:r w:rsidR="00267C3C" w:rsidRPr="00A145F0">
        <w:rPr>
          <w:rFonts w:ascii="Times New Roman" w:hAnsi="Times New Roman" w:cs="Times New Roman"/>
          <w:sz w:val="24"/>
          <w:szCs w:val="24"/>
        </w:rPr>
        <w:t>Bvirindi</w:t>
      </w:r>
      <w:r w:rsidR="00267C3C">
        <w:rPr>
          <w:rFonts w:ascii="Times New Roman" w:hAnsi="Times New Roman" w:cs="Times New Roman"/>
          <w:sz w:val="24"/>
          <w:szCs w:val="24"/>
        </w:rPr>
        <w:t>. The same applies to the second applicant, the authorisation is on</w:t>
      </w:r>
      <w:r>
        <w:rPr>
          <w:rFonts w:ascii="Times New Roman" w:hAnsi="Times New Roman" w:cs="Times New Roman"/>
          <w:sz w:val="24"/>
          <w:szCs w:val="24"/>
        </w:rPr>
        <w:t xml:space="preserve"> its letterhead</w:t>
      </w:r>
      <w:r w:rsidR="000233C4">
        <w:rPr>
          <w:rFonts w:ascii="Times New Roman" w:hAnsi="Times New Roman" w:cs="Times New Roman"/>
          <w:sz w:val="24"/>
          <w:szCs w:val="24"/>
        </w:rPr>
        <w:t xml:space="preserve"> and</w:t>
      </w:r>
      <w:r w:rsidR="00267C3C">
        <w:rPr>
          <w:rFonts w:ascii="Times New Roman" w:hAnsi="Times New Roman" w:cs="Times New Roman"/>
          <w:sz w:val="24"/>
          <w:szCs w:val="24"/>
        </w:rPr>
        <w:t xml:space="preserve"> the signature by the </w:t>
      </w:r>
      <w:r>
        <w:rPr>
          <w:rFonts w:ascii="Times New Roman" w:hAnsi="Times New Roman" w:cs="Times New Roman"/>
          <w:sz w:val="24"/>
          <w:szCs w:val="24"/>
        </w:rPr>
        <w:t>company secretary was verified i</w:t>
      </w:r>
      <w:r w:rsidR="00267C3C">
        <w:rPr>
          <w:rFonts w:ascii="Times New Roman" w:hAnsi="Times New Roman" w:cs="Times New Roman"/>
          <w:sz w:val="24"/>
          <w:szCs w:val="24"/>
        </w:rPr>
        <w:t>n the answering affidavit. I am satisfied that the authorit</w:t>
      </w:r>
      <w:r w:rsidR="008D5431">
        <w:rPr>
          <w:rFonts w:ascii="Times New Roman" w:hAnsi="Times New Roman" w:cs="Times New Roman"/>
          <w:sz w:val="24"/>
          <w:szCs w:val="24"/>
        </w:rPr>
        <w:t xml:space="preserve">ies are </w:t>
      </w:r>
      <w:r w:rsidR="00267C3C">
        <w:rPr>
          <w:rFonts w:ascii="Times New Roman" w:hAnsi="Times New Roman" w:cs="Times New Roman"/>
          <w:sz w:val="24"/>
          <w:szCs w:val="24"/>
        </w:rPr>
        <w:t>for both applicants.</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45F0">
        <w:rPr>
          <w:rFonts w:ascii="Times New Roman" w:hAnsi="Times New Roman" w:cs="Times New Roman"/>
          <w:sz w:val="24"/>
          <w:szCs w:val="24"/>
        </w:rPr>
        <w:t>The third issue taken is that management</w:t>
      </w:r>
      <w:r>
        <w:rPr>
          <w:rFonts w:ascii="Times New Roman" w:hAnsi="Times New Roman" w:cs="Times New Roman"/>
          <w:sz w:val="24"/>
          <w:szCs w:val="24"/>
        </w:rPr>
        <w:t xml:space="preserve"> cannot delegate its duties </w:t>
      </w:r>
      <w:r w:rsidR="00A145F0">
        <w:rPr>
          <w:rFonts w:ascii="Times New Roman" w:hAnsi="Times New Roman" w:cs="Times New Roman"/>
          <w:sz w:val="24"/>
          <w:szCs w:val="24"/>
        </w:rPr>
        <w:t xml:space="preserve">to a </w:t>
      </w:r>
      <w:r>
        <w:rPr>
          <w:rFonts w:ascii="Times New Roman" w:hAnsi="Times New Roman" w:cs="Times New Roman"/>
          <w:sz w:val="24"/>
          <w:szCs w:val="24"/>
        </w:rPr>
        <w:t xml:space="preserve">shareholder.  </w:t>
      </w:r>
      <w:r w:rsidR="008D5431">
        <w:rPr>
          <w:rFonts w:ascii="Times New Roman" w:hAnsi="Times New Roman" w:cs="Times New Roman"/>
          <w:sz w:val="24"/>
          <w:szCs w:val="24"/>
        </w:rPr>
        <w:t xml:space="preserve">The submissions were that </w:t>
      </w:r>
      <w:r w:rsidRPr="00A145F0">
        <w:rPr>
          <w:rFonts w:ascii="Times New Roman" w:hAnsi="Times New Roman" w:cs="Times New Roman"/>
          <w:sz w:val="24"/>
          <w:szCs w:val="24"/>
        </w:rPr>
        <w:t>Bvirindi</w:t>
      </w:r>
      <w:r>
        <w:rPr>
          <w:rFonts w:ascii="Times New Roman" w:hAnsi="Times New Roman" w:cs="Times New Roman"/>
          <w:sz w:val="24"/>
          <w:szCs w:val="24"/>
        </w:rPr>
        <w:t xml:space="preserve"> </w:t>
      </w:r>
      <w:r w:rsidR="00A145F0">
        <w:rPr>
          <w:rFonts w:ascii="Times New Roman" w:hAnsi="Times New Roman" w:cs="Times New Roman"/>
          <w:sz w:val="24"/>
          <w:szCs w:val="24"/>
        </w:rPr>
        <w:t xml:space="preserve">sits in the first applicant’s board of directors representing </w:t>
      </w:r>
      <w:r w:rsidR="00A145F0">
        <w:rPr>
          <w:rFonts w:ascii="Times New Roman" w:hAnsi="Times New Roman" w:cs="Times New Roman"/>
          <w:sz w:val="24"/>
          <w:szCs w:val="24"/>
        </w:rPr>
        <w:lastRenderedPageBreak/>
        <w:t xml:space="preserve">the interests of the </w:t>
      </w:r>
      <w:r w:rsidR="00691C17">
        <w:rPr>
          <w:rFonts w:ascii="Times New Roman" w:hAnsi="Times New Roman" w:cs="Times New Roman"/>
          <w:sz w:val="24"/>
          <w:szCs w:val="24"/>
        </w:rPr>
        <w:t>shareholders. The duties and roles of the shareholders and the management are different. One of the duties of management is to represent the company in litigation. I</w:t>
      </w:r>
      <w:r>
        <w:rPr>
          <w:rFonts w:ascii="Times New Roman" w:hAnsi="Times New Roman" w:cs="Times New Roman"/>
          <w:sz w:val="24"/>
          <w:szCs w:val="24"/>
        </w:rPr>
        <w:t xml:space="preserve"> was referred to two </w:t>
      </w:r>
      <w:r w:rsidR="00691C17">
        <w:rPr>
          <w:rFonts w:ascii="Times New Roman" w:hAnsi="Times New Roman" w:cs="Times New Roman"/>
          <w:sz w:val="24"/>
          <w:szCs w:val="24"/>
        </w:rPr>
        <w:t>cases for the proposition that the respondent relied on</w:t>
      </w:r>
      <w:r>
        <w:rPr>
          <w:rStyle w:val="FootnoteReference"/>
          <w:rFonts w:ascii="Times New Roman" w:hAnsi="Times New Roman" w:cs="Times New Roman"/>
          <w:sz w:val="24"/>
          <w:szCs w:val="24"/>
        </w:rPr>
        <w:footnoteReference w:id="2"/>
      </w:r>
      <w:r w:rsidR="00691C17">
        <w:rPr>
          <w:rFonts w:ascii="Times New Roman" w:hAnsi="Times New Roman" w:cs="Times New Roman"/>
          <w:sz w:val="24"/>
          <w:szCs w:val="24"/>
        </w:rPr>
        <w:t xml:space="preserve">.The two </w:t>
      </w:r>
      <w:r w:rsidR="000233C4">
        <w:rPr>
          <w:rFonts w:ascii="Times New Roman" w:hAnsi="Times New Roman" w:cs="Times New Roman"/>
          <w:sz w:val="24"/>
          <w:szCs w:val="24"/>
        </w:rPr>
        <w:t>cases do</w:t>
      </w:r>
      <w:r w:rsidR="00691C17">
        <w:rPr>
          <w:rFonts w:ascii="Times New Roman" w:hAnsi="Times New Roman" w:cs="Times New Roman"/>
          <w:sz w:val="24"/>
          <w:szCs w:val="24"/>
        </w:rPr>
        <w:t xml:space="preserve"> not advance the point </w:t>
      </w:r>
      <w:r w:rsidR="000233C4">
        <w:rPr>
          <w:rFonts w:ascii="Times New Roman" w:hAnsi="Times New Roman" w:cs="Times New Roman"/>
          <w:sz w:val="24"/>
          <w:szCs w:val="24"/>
        </w:rPr>
        <w:t>taken. An</w:t>
      </w:r>
      <w:r w:rsidR="00691C17">
        <w:rPr>
          <w:rFonts w:ascii="Times New Roman" w:hAnsi="Times New Roman" w:cs="Times New Roman"/>
          <w:sz w:val="24"/>
          <w:szCs w:val="24"/>
        </w:rPr>
        <w:t xml:space="preserve"> undertaking was made to file further authority i</w:t>
      </w:r>
      <w:r w:rsidR="000233C4">
        <w:rPr>
          <w:rFonts w:ascii="Times New Roman" w:hAnsi="Times New Roman" w:cs="Times New Roman"/>
          <w:sz w:val="24"/>
          <w:szCs w:val="24"/>
        </w:rPr>
        <w:t>n</w:t>
      </w:r>
      <w:r w:rsidR="00691C17">
        <w:rPr>
          <w:rFonts w:ascii="Times New Roman" w:hAnsi="Times New Roman" w:cs="Times New Roman"/>
          <w:sz w:val="24"/>
          <w:szCs w:val="24"/>
        </w:rPr>
        <w:t xml:space="preserve"> support of the proposition. Nothing was filed</w:t>
      </w:r>
      <w:r w:rsidR="00382337">
        <w:rPr>
          <w:rFonts w:ascii="Times New Roman" w:hAnsi="Times New Roman" w:cs="Times New Roman"/>
          <w:sz w:val="24"/>
          <w:szCs w:val="24"/>
        </w:rPr>
        <w:t xml:space="preserve"> and the</w:t>
      </w:r>
      <w:r w:rsidR="00691C17">
        <w:rPr>
          <w:rFonts w:ascii="Times New Roman" w:hAnsi="Times New Roman" w:cs="Times New Roman"/>
          <w:sz w:val="24"/>
          <w:szCs w:val="24"/>
        </w:rPr>
        <w:t xml:space="preserve"> court could not wait forever. </w:t>
      </w:r>
      <w:r w:rsidR="00382337">
        <w:rPr>
          <w:rFonts w:ascii="Times New Roman" w:hAnsi="Times New Roman" w:cs="Times New Roman"/>
          <w:sz w:val="24"/>
          <w:szCs w:val="24"/>
        </w:rPr>
        <w:t>The proposition therefore remained unsupported at law. It</w:t>
      </w:r>
      <w:r w:rsidR="00691C17">
        <w:rPr>
          <w:rFonts w:ascii="Times New Roman" w:hAnsi="Times New Roman" w:cs="Times New Roman"/>
          <w:sz w:val="24"/>
          <w:szCs w:val="24"/>
        </w:rPr>
        <w:t xml:space="preserve"> was not shown that it is the sole duty of management to represent the company in litigation. As already stated it is the company’s sole prerogative to authorise a person to represent it in litigation. I have not been referred to any limitation as to who can be appointed by </w:t>
      </w:r>
      <w:r w:rsidR="000233C4">
        <w:rPr>
          <w:rFonts w:ascii="Times New Roman" w:hAnsi="Times New Roman" w:cs="Times New Roman"/>
          <w:sz w:val="24"/>
          <w:szCs w:val="24"/>
        </w:rPr>
        <w:t>a</w:t>
      </w:r>
      <w:r w:rsidR="00691C17">
        <w:rPr>
          <w:rFonts w:ascii="Times New Roman" w:hAnsi="Times New Roman" w:cs="Times New Roman"/>
          <w:sz w:val="24"/>
          <w:szCs w:val="24"/>
        </w:rPr>
        <w:t xml:space="preserve"> company to represent it. In the absence of a legal limitation it is my view that a company is at liberty to appoint anyone who i</w:t>
      </w:r>
      <w:r w:rsidR="000233C4">
        <w:rPr>
          <w:rFonts w:ascii="Times New Roman" w:hAnsi="Times New Roman" w:cs="Times New Roman"/>
          <w:sz w:val="24"/>
          <w:szCs w:val="24"/>
        </w:rPr>
        <w:t>n</w:t>
      </w:r>
      <w:r w:rsidR="00691C17">
        <w:rPr>
          <w:rFonts w:ascii="Times New Roman" w:hAnsi="Times New Roman" w:cs="Times New Roman"/>
          <w:sz w:val="24"/>
          <w:szCs w:val="24"/>
        </w:rPr>
        <w:t xml:space="preserve"> its view can best represent its interest in a matter. This includes the right to appoint even a shareholder.</w:t>
      </w:r>
      <w:r>
        <w:rPr>
          <w:rFonts w:ascii="Times New Roman" w:hAnsi="Times New Roman" w:cs="Times New Roman"/>
          <w:sz w:val="24"/>
          <w:szCs w:val="24"/>
        </w:rPr>
        <w:t xml:space="preserve"> The point taken is of no moment.</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was not persuaded that one person cannot represent two artificial persons. As long as the requirements to represent such artificial persons are met </w:t>
      </w:r>
      <w:r>
        <w:rPr>
          <w:rFonts w:ascii="Times New Roman" w:hAnsi="Times New Roman" w:cs="Times New Roman"/>
          <w:i/>
          <w:sz w:val="24"/>
          <w:szCs w:val="24"/>
        </w:rPr>
        <w:t>viz</w:t>
      </w:r>
      <w:r>
        <w:rPr>
          <w:rFonts w:ascii="Times New Roman" w:hAnsi="Times New Roman" w:cs="Times New Roman"/>
          <w:sz w:val="24"/>
          <w:szCs w:val="24"/>
        </w:rPr>
        <w:t xml:space="preserve"> a board resoluti</w:t>
      </w:r>
      <w:r w:rsidR="00382337">
        <w:rPr>
          <w:rFonts w:ascii="Times New Roman" w:hAnsi="Times New Roman" w:cs="Times New Roman"/>
          <w:sz w:val="24"/>
          <w:szCs w:val="24"/>
        </w:rPr>
        <w:t xml:space="preserve">on. The representation is </w:t>
      </w:r>
      <w:r w:rsidR="009D5B3B">
        <w:rPr>
          <w:rFonts w:ascii="Times New Roman" w:hAnsi="Times New Roman" w:cs="Times New Roman"/>
          <w:sz w:val="24"/>
          <w:szCs w:val="24"/>
        </w:rPr>
        <w:t>unassailable. Similarly</w:t>
      </w:r>
      <w:r w:rsidR="000233C4">
        <w:rPr>
          <w:rFonts w:ascii="Times New Roman" w:hAnsi="Times New Roman" w:cs="Times New Roman"/>
          <w:sz w:val="24"/>
          <w:szCs w:val="24"/>
        </w:rPr>
        <w:t xml:space="preserve"> the point that the board res</w:t>
      </w:r>
      <w:r w:rsidR="009D5B3B">
        <w:rPr>
          <w:rFonts w:ascii="Times New Roman" w:hAnsi="Times New Roman" w:cs="Times New Roman"/>
          <w:sz w:val="24"/>
          <w:szCs w:val="24"/>
        </w:rPr>
        <w:t>olutions are a recent invention is irrelevant. What is in issue is whether Bvirindi was properly authorised to represent the applicants in this litigation. My finding is that he was properly authorised. The court may not allude to the authorisation in other matters to discredit the authorisations in this matter.</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w:t>
      </w:r>
      <w:r w:rsidR="00382337">
        <w:rPr>
          <w:rFonts w:ascii="Times New Roman" w:hAnsi="Times New Roman" w:cs="Times New Roman"/>
          <w:sz w:val="24"/>
          <w:szCs w:val="24"/>
        </w:rPr>
        <w:t xml:space="preserve">no merit in the point taken </w:t>
      </w:r>
      <w:r w:rsidR="00382337" w:rsidRPr="00272678">
        <w:rPr>
          <w:rFonts w:ascii="Times New Roman" w:hAnsi="Times New Roman" w:cs="Times New Roman"/>
          <w:i/>
          <w:sz w:val="24"/>
          <w:szCs w:val="24"/>
        </w:rPr>
        <w:t>i</w:t>
      </w:r>
      <w:r w:rsidRPr="00272678">
        <w:rPr>
          <w:rFonts w:ascii="Times New Roman" w:hAnsi="Times New Roman" w:cs="Times New Roman"/>
          <w:i/>
          <w:sz w:val="24"/>
          <w:szCs w:val="24"/>
        </w:rPr>
        <w:t xml:space="preserve">n </w:t>
      </w:r>
      <w:r>
        <w:rPr>
          <w:rFonts w:ascii="Times New Roman" w:hAnsi="Times New Roman" w:cs="Times New Roman"/>
          <w:i/>
          <w:sz w:val="24"/>
          <w:szCs w:val="24"/>
        </w:rPr>
        <w:t>limine</w:t>
      </w:r>
      <w:r w:rsidR="00382337">
        <w:rPr>
          <w:rFonts w:ascii="Times New Roman" w:hAnsi="Times New Roman" w:cs="Times New Roman"/>
          <w:i/>
          <w:sz w:val="24"/>
          <w:szCs w:val="24"/>
        </w:rPr>
        <w:t>.</w:t>
      </w:r>
      <w:r>
        <w:rPr>
          <w:rFonts w:ascii="Times New Roman" w:hAnsi="Times New Roman" w:cs="Times New Roman"/>
          <w:i/>
          <w:sz w:val="24"/>
          <w:szCs w:val="24"/>
        </w:rPr>
        <w:t xml:space="preserve"> </w:t>
      </w:r>
      <w:r w:rsidR="00382337">
        <w:rPr>
          <w:rFonts w:ascii="Times New Roman" w:hAnsi="Times New Roman" w:cs="Times New Roman"/>
          <w:sz w:val="24"/>
          <w:szCs w:val="24"/>
        </w:rPr>
        <w:t>It is dismissed.</w:t>
      </w:r>
    </w:p>
    <w:p w:rsidR="00382337"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address the merits. </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236(3) provides a mechanism to dispose of a matter where the</w:t>
      </w:r>
      <w:r w:rsidR="005B4281">
        <w:rPr>
          <w:rFonts w:ascii="Times New Roman" w:hAnsi="Times New Roman" w:cs="Times New Roman"/>
          <w:sz w:val="24"/>
          <w:szCs w:val="24"/>
        </w:rPr>
        <w:t xml:space="preserve"> applicant has failed to prosecute the matter in terms of the </w:t>
      </w:r>
      <w:r w:rsidR="00F75E63">
        <w:rPr>
          <w:rFonts w:ascii="Times New Roman" w:hAnsi="Times New Roman" w:cs="Times New Roman"/>
          <w:sz w:val="24"/>
          <w:szCs w:val="24"/>
        </w:rPr>
        <w:t xml:space="preserve">rules. </w:t>
      </w:r>
      <w:r w:rsidR="00890CAB">
        <w:rPr>
          <w:rFonts w:ascii="Times New Roman" w:hAnsi="Times New Roman" w:cs="Times New Roman"/>
          <w:sz w:val="24"/>
          <w:szCs w:val="24"/>
        </w:rPr>
        <w:t xml:space="preserve">The court in </w:t>
      </w:r>
      <w:r w:rsidR="00890CAB" w:rsidRPr="00890CAB">
        <w:rPr>
          <w:rFonts w:ascii="Times New Roman" w:hAnsi="Times New Roman" w:cs="Times New Roman"/>
          <w:i/>
          <w:sz w:val="24"/>
          <w:szCs w:val="24"/>
        </w:rPr>
        <w:t>Scotfin</w:t>
      </w:r>
      <w:r w:rsidR="005B4281" w:rsidRPr="00F75E63">
        <w:rPr>
          <w:rFonts w:ascii="Times New Roman" w:hAnsi="Times New Roman" w:cs="Times New Roman"/>
          <w:i/>
          <w:sz w:val="24"/>
          <w:szCs w:val="24"/>
        </w:rPr>
        <w:t xml:space="preserve"> </w:t>
      </w:r>
      <w:r w:rsidR="005B4281" w:rsidRPr="00272678">
        <w:rPr>
          <w:rFonts w:ascii="Times New Roman" w:hAnsi="Times New Roman" w:cs="Times New Roman"/>
          <w:sz w:val="24"/>
          <w:szCs w:val="24"/>
        </w:rPr>
        <w:t>v</w:t>
      </w:r>
      <w:r w:rsidR="005B4281" w:rsidRPr="00F75E63">
        <w:rPr>
          <w:rFonts w:ascii="Times New Roman" w:hAnsi="Times New Roman" w:cs="Times New Roman"/>
          <w:i/>
          <w:sz w:val="24"/>
          <w:szCs w:val="24"/>
        </w:rPr>
        <w:t xml:space="preserve"> Mtetwa</w:t>
      </w:r>
      <w:r w:rsidR="00F75E63">
        <w:rPr>
          <w:rStyle w:val="FootnoteReference"/>
          <w:rFonts w:ascii="Times New Roman" w:hAnsi="Times New Roman" w:cs="Times New Roman"/>
          <w:i/>
          <w:sz w:val="24"/>
          <w:szCs w:val="24"/>
        </w:rPr>
        <w:footnoteReference w:id="3"/>
      </w:r>
      <w:r w:rsidR="005B4281">
        <w:rPr>
          <w:rFonts w:ascii="Times New Roman" w:hAnsi="Times New Roman" w:cs="Times New Roman"/>
          <w:sz w:val="24"/>
          <w:szCs w:val="24"/>
        </w:rPr>
        <w:t xml:space="preserve"> </w:t>
      </w:r>
      <w:r w:rsidR="00890CAB">
        <w:rPr>
          <w:rFonts w:ascii="Times New Roman" w:hAnsi="Times New Roman" w:cs="Times New Roman"/>
          <w:sz w:val="24"/>
          <w:szCs w:val="24"/>
        </w:rPr>
        <w:t xml:space="preserve"> succinctly summarised the purpose of the rule as follows,</w:t>
      </w:r>
    </w:p>
    <w:p w:rsidR="00242F9E" w:rsidRDefault="00272678" w:rsidP="00272678">
      <w:pPr>
        <w:spacing w:after="0" w:line="276" w:lineRule="auto"/>
        <w:ind w:left="720"/>
        <w:jc w:val="both"/>
        <w:rPr>
          <w:rFonts w:ascii="Times New Roman" w:hAnsi="Times New Roman" w:cs="Times New Roman"/>
        </w:rPr>
      </w:pPr>
      <w:r>
        <w:rPr>
          <w:rFonts w:ascii="Times New Roman" w:hAnsi="Times New Roman" w:cs="Times New Roman"/>
        </w:rPr>
        <w:t>‘</w:t>
      </w:r>
      <w:r w:rsidR="005B4281" w:rsidRPr="00F75E63">
        <w:rPr>
          <w:rFonts w:ascii="Times New Roman" w:hAnsi="Times New Roman" w:cs="Times New Roman"/>
        </w:rPr>
        <w:t>I think however the overall</w:t>
      </w:r>
      <w:r w:rsidR="00F75E63">
        <w:rPr>
          <w:rFonts w:ascii="Times New Roman" w:hAnsi="Times New Roman" w:cs="Times New Roman"/>
        </w:rPr>
        <w:t xml:space="preserve"> consideration for the judge is to exercise his or her </w:t>
      </w:r>
      <w:r w:rsidR="00890CAB">
        <w:rPr>
          <w:rFonts w:ascii="Times New Roman" w:hAnsi="Times New Roman" w:cs="Times New Roman"/>
        </w:rPr>
        <w:t>discretion</w:t>
      </w:r>
      <w:r w:rsidR="00F75E63">
        <w:rPr>
          <w:rFonts w:ascii="Times New Roman" w:hAnsi="Times New Roman" w:cs="Times New Roman"/>
        </w:rPr>
        <w:t xml:space="preserve"> in such a manner as would give effect to the intention of the law maker. The primary intention of the law maker is to ensure that matters brought to the court are dealt with due </w:t>
      </w:r>
      <w:r w:rsidR="00890CAB">
        <w:rPr>
          <w:rFonts w:ascii="Times New Roman" w:hAnsi="Times New Roman" w:cs="Times New Roman"/>
        </w:rPr>
        <w:t>expedition</w:t>
      </w:r>
      <w:r w:rsidR="00F75E63">
        <w:rPr>
          <w:rFonts w:ascii="Times New Roman" w:hAnsi="Times New Roman" w:cs="Times New Roman"/>
        </w:rPr>
        <w:t>.</w:t>
      </w:r>
      <w:r w:rsidR="00890CAB">
        <w:rPr>
          <w:rFonts w:ascii="Times New Roman" w:hAnsi="Times New Roman" w:cs="Times New Roman"/>
        </w:rPr>
        <w:t xml:space="preserve"> </w:t>
      </w:r>
      <w:r w:rsidR="00F75E63">
        <w:rPr>
          <w:rFonts w:ascii="Times New Roman" w:hAnsi="Times New Roman" w:cs="Times New Roman"/>
        </w:rPr>
        <w:t>But considering the application the judge can only make an order other dismissal if the respondent has opposed the application and shows good cause why the application should not be dismissed’</w:t>
      </w:r>
    </w:p>
    <w:p w:rsidR="00272678" w:rsidRPr="00272678" w:rsidRDefault="00272678" w:rsidP="00272678">
      <w:pPr>
        <w:spacing w:after="0" w:line="276" w:lineRule="auto"/>
        <w:ind w:left="720"/>
        <w:jc w:val="both"/>
        <w:rPr>
          <w:rFonts w:ascii="Times New Roman" w:hAnsi="Times New Roman" w:cs="Times New Roman"/>
        </w:rPr>
      </w:pPr>
    </w:p>
    <w:p w:rsidR="00267C3C" w:rsidRDefault="00242F9E" w:rsidP="009D5B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dicta is instructive in the decision I make herein. The</w:t>
      </w:r>
      <w:r w:rsidR="00267C3C">
        <w:rPr>
          <w:rFonts w:ascii="Times New Roman" w:hAnsi="Times New Roman" w:cs="Times New Roman"/>
          <w:sz w:val="24"/>
          <w:szCs w:val="24"/>
        </w:rPr>
        <w:t xml:space="preserve"> </w:t>
      </w:r>
      <w:r w:rsidR="009D5B3B">
        <w:rPr>
          <w:rFonts w:ascii="Times New Roman" w:hAnsi="Times New Roman" w:cs="Times New Roman"/>
          <w:sz w:val="24"/>
          <w:szCs w:val="24"/>
        </w:rPr>
        <w:t xml:space="preserve">applicant is </w:t>
      </w:r>
      <w:r w:rsidR="009D5B3B" w:rsidRPr="008D5431">
        <w:rPr>
          <w:rFonts w:ascii="Times New Roman" w:hAnsi="Times New Roman" w:cs="Times New Roman"/>
          <w:i/>
          <w:sz w:val="24"/>
          <w:szCs w:val="24"/>
        </w:rPr>
        <w:t>dominus</w:t>
      </w:r>
      <w:r w:rsidR="00267C3C">
        <w:rPr>
          <w:rFonts w:ascii="Times New Roman" w:hAnsi="Times New Roman" w:cs="Times New Roman"/>
          <w:i/>
          <w:sz w:val="24"/>
          <w:szCs w:val="24"/>
        </w:rPr>
        <w:t xml:space="preserve"> litis</w:t>
      </w:r>
      <w:r w:rsidR="009D5B3B">
        <w:rPr>
          <w:rFonts w:ascii="Times New Roman" w:hAnsi="Times New Roman" w:cs="Times New Roman"/>
          <w:sz w:val="24"/>
          <w:szCs w:val="24"/>
        </w:rPr>
        <w:t xml:space="preserve"> in any application.</w:t>
      </w:r>
      <w:r w:rsidR="00267C3C">
        <w:rPr>
          <w:rFonts w:ascii="Times New Roman" w:hAnsi="Times New Roman" w:cs="Times New Roman"/>
          <w:sz w:val="24"/>
          <w:szCs w:val="24"/>
        </w:rPr>
        <w:t xml:space="preserve"> It is expected that the applicant </w:t>
      </w:r>
      <w:r>
        <w:rPr>
          <w:rFonts w:ascii="Times New Roman" w:hAnsi="Times New Roman" w:cs="Times New Roman"/>
          <w:sz w:val="24"/>
          <w:szCs w:val="24"/>
        </w:rPr>
        <w:t xml:space="preserve">prosecutes the matter with a view to have </w:t>
      </w:r>
      <w:r w:rsidR="00272678">
        <w:rPr>
          <w:rFonts w:ascii="Times New Roman" w:hAnsi="Times New Roman" w:cs="Times New Roman"/>
          <w:sz w:val="24"/>
          <w:szCs w:val="24"/>
        </w:rPr>
        <w:t xml:space="preserve">it </w:t>
      </w:r>
      <w:r w:rsidR="00272678">
        <w:rPr>
          <w:rFonts w:ascii="Times New Roman" w:hAnsi="Times New Roman" w:cs="Times New Roman"/>
          <w:sz w:val="24"/>
          <w:szCs w:val="24"/>
        </w:rPr>
        <w:lastRenderedPageBreak/>
        <w:t>finalised</w:t>
      </w:r>
      <w:r w:rsidR="009D5B3B">
        <w:rPr>
          <w:rFonts w:ascii="Times New Roman" w:hAnsi="Times New Roman" w:cs="Times New Roman"/>
          <w:sz w:val="24"/>
          <w:szCs w:val="24"/>
        </w:rPr>
        <w:t xml:space="preserve"> in the shortest period possible</w:t>
      </w:r>
      <w:r>
        <w:rPr>
          <w:rFonts w:ascii="Times New Roman" w:hAnsi="Times New Roman" w:cs="Times New Roman"/>
          <w:sz w:val="24"/>
          <w:szCs w:val="24"/>
        </w:rPr>
        <w:t xml:space="preserve">. </w:t>
      </w:r>
      <w:r w:rsidR="00267C3C">
        <w:rPr>
          <w:rFonts w:ascii="Times New Roman" w:hAnsi="Times New Roman" w:cs="Times New Roman"/>
          <w:sz w:val="24"/>
          <w:szCs w:val="24"/>
        </w:rPr>
        <w:t xml:space="preserve">Rule 236(3) </w:t>
      </w:r>
      <w:r w:rsidR="009D5B3B">
        <w:rPr>
          <w:rFonts w:ascii="Times New Roman" w:hAnsi="Times New Roman" w:cs="Times New Roman"/>
          <w:sz w:val="24"/>
          <w:szCs w:val="24"/>
        </w:rPr>
        <w:t>empowers a</w:t>
      </w:r>
      <w:r w:rsidR="00267C3C">
        <w:rPr>
          <w:rFonts w:ascii="Times New Roman" w:hAnsi="Times New Roman" w:cs="Times New Roman"/>
          <w:sz w:val="24"/>
          <w:szCs w:val="24"/>
        </w:rPr>
        <w:t xml:space="preserve"> </w:t>
      </w:r>
      <w:r w:rsidR="009D5B3B">
        <w:rPr>
          <w:rFonts w:ascii="Times New Roman" w:hAnsi="Times New Roman" w:cs="Times New Roman"/>
          <w:sz w:val="24"/>
          <w:szCs w:val="24"/>
        </w:rPr>
        <w:t xml:space="preserve">respondent to take the matter forward </w:t>
      </w:r>
      <w:r w:rsidR="00267C3C">
        <w:rPr>
          <w:rFonts w:ascii="Times New Roman" w:hAnsi="Times New Roman" w:cs="Times New Roman"/>
          <w:sz w:val="24"/>
          <w:szCs w:val="24"/>
        </w:rPr>
        <w:t xml:space="preserve">where the applicant derogates from his or her role. Where the applicant fails to do so, the </w:t>
      </w:r>
      <w:r>
        <w:rPr>
          <w:rFonts w:ascii="Times New Roman" w:hAnsi="Times New Roman" w:cs="Times New Roman"/>
          <w:sz w:val="24"/>
          <w:szCs w:val="24"/>
        </w:rPr>
        <w:t xml:space="preserve">respondent has an option </w:t>
      </w:r>
      <w:r w:rsidR="00267C3C">
        <w:rPr>
          <w:rFonts w:ascii="Times New Roman" w:hAnsi="Times New Roman" w:cs="Times New Roman"/>
          <w:sz w:val="24"/>
          <w:szCs w:val="24"/>
        </w:rPr>
        <w:t>either set the matter down or to file a chamber</w:t>
      </w:r>
      <w:r>
        <w:rPr>
          <w:rFonts w:ascii="Times New Roman" w:hAnsi="Times New Roman" w:cs="Times New Roman"/>
          <w:sz w:val="24"/>
          <w:szCs w:val="24"/>
        </w:rPr>
        <w:t xml:space="preserve"> application</w:t>
      </w:r>
      <w:r w:rsidR="00267C3C">
        <w:rPr>
          <w:rFonts w:ascii="Times New Roman" w:hAnsi="Times New Roman" w:cs="Times New Roman"/>
          <w:sz w:val="24"/>
          <w:szCs w:val="24"/>
        </w:rPr>
        <w:t xml:space="preserve"> for the dismissal of the matter. In such an application, the applicant has to establish that it has filed the notice of opposition and</w:t>
      </w:r>
      <w:r>
        <w:rPr>
          <w:rFonts w:ascii="Times New Roman" w:hAnsi="Times New Roman" w:cs="Times New Roman"/>
          <w:sz w:val="24"/>
          <w:szCs w:val="24"/>
        </w:rPr>
        <w:t xml:space="preserve"> the</w:t>
      </w:r>
      <w:r w:rsidR="00267C3C">
        <w:rPr>
          <w:rFonts w:ascii="Times New Roman" w:hAnsi="Times New Roman" w:cs="Times New Roman"/>
          <w:sz w:val="24"/>
          <w:szCs w:val="24"/>
        </w:rPr>
        <w:t xml:space="preserve"> opposing affida</w:t>
      </w:r>
      <w:r>
        <w:rPr>
          <w:rFonts w:ascii="Times New Roman" w:hAnsi="Times New Roman" w:cs="Times New Roman"/>
          <w:sz w:val="24"/>
          <w:szCs w:val="24"/>
        </w:rPr>
        <w:t>vit and one month has lapsed and the</w:t>
      </w:r>
      <w:r w:rsidR="00267C3C">
        <w:rPr>
          <w:rFonts w:ascii="Times New Roman" w:hAnsi="Times New Roman" w:cs="Times New Roman"/>
          <w:sz w:val="24"/>
          <w:szCs w:val="24"/>
        </w:rPr>
        <w:t xml:space="preserve"> respondent</w:t>
      </w:r>
      <w:r>
        <w:rPr>
          <w:rFonts w:ascii="Times New Roman" w:hAnsi="Times New Roman" w:cs="Times New Roman"/>
          <w:sz w:val="24"/>
          <w:szCs w:val="24"/>
        </w:rPr>
        <w:t xml:space="preserve"> has </w:t>
      </w:r>
      <w:r w:rsidR="009D5B3B">
        <w:rPr>
          <w:rFonts w:ascii="Times New Roman" w:hAnsi="Times New Roman" w:cs="Times New Roman"/>
          <w:sz w:val="24"/>
          <w:szCs w:val="24"/>
        </w:rPr>
        <w:t>not done</w:t>
      </w:r>
      <w:r w:rsidR="00267C3C">
        <w:rPr>
          <w:rFonts w:ascii="Times New Roman" w:hAnsi="Times New Roman" w:cs="Times New Roman"/>
          <w:sz w:val="24"/>
          <w:szCs w:val="24"/>
        </w:rPr>
        <w:t xml:space="preserve"> nothing to take the matter to finality.</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onus shifts to the respondents to show that a reasonable explanation exists for the failure to prosecute the matter in terms of the rules.</w:t>
      </w:r>
    </w:p>
    <w:p w:rsidR="00267C3C" w:rsidRDefault="00267C3C" w:rsidP="0026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judge has to exercise a discretion either to grant the application or make such order as appropriate in the circumstances.</w:t>
      </w:r>
    </w:p>
    <w:p w:rsidR="00FC4CE0" w:rsidRDefault="00267C3C"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applicant opted to file a chamber application for the dismissal of the main matter. I must state that, the applicant has no obligation to justify its option as insinuated for the respondent. In as much as it was within the applicant’s capacity to set down the matter, it was not obliged to do so. The notion that the applicant </w:t>
      </w:r>
      <w:r w:rsidR="00242F9E">
        <w:rPr>
          <w:rFonts w:ascii="Times New Roman" w:hAnsi="Times New Roman" w:cs="Times New Roman"/>
          <w:sz w:val="24"/>
          <w:szCs w:val="24"/>
        </w:rPr>
        <w:t>sh</w:t>
      </w:r>
      <w:r>
        <w:rPr>
          <w:rFonts w:ascii="Times New Roman" w:hAnsi="Times New Roman" w:cs="Times New Roman"/>
          <w:sz w:val="24"/>
          <w:szCs w:val="24"/>
        </w:rPr>
        <w:t xml:space="preserve">ould have set the matter down instead of making this application is ill advised. The respondent’s main point in opposing the application is that he was ill and he could not instruct counsel. I find the explanation bare and unsubstantiated. The opposing affidavit is evidence of the casual approach in </w:t>
      </w:r>
      <w:r w:rsidR="00242F9E">
        <w:rPr>
          <w:rFonts w:ascii="Times New Roman" w:hAnsi="Times New Roman" w:cs="Times New Roman"/>
          <w:sz w:val="24"/>
          <w:szCs w:val="24"/>
        </w:rPr>
        <w:t xml:space="preserve">respondent’s manner of </w:t>
      </w:r>
      <w:r>
        <w:rPr>
          <w:rFonts w:ascii="Times New Roman" w:hAnsi="Times New Roman" w:cs="Times New Roman"/>
          <w:sz w:val="24"/>
          <w:szCs w:val="24"/>
        </w:rPr>
        <w:t xml:space="preserve">dealing with his case. No further information was provided on the indisposition in the affidavit. The respondent did not take the court into his confidence to at </w:t>
      </w:r>
      <w:r w:rsidR="00242F9E">
        <w:rPr>
          <w:rFonts w:ascii="Times New Roman" w:hAnsi="Times New Roman" w:cs="Times New Roman"/>
          <w:sz w:val="24"/>
          <w:szCs w:val="24"/>
        </w:rPr>
        <w:t>least attach some doctor’s</w:t>
      </w:r>
      <w:r>
        <w:rPr>
          <w:rFonts w:ascii="Times New Roman" w:hAnsi="Times New Roman" w:cs="Times New Roman"/>
          <w:sz w:val="24"/>
          <w:szCs w:val="24"/>
        </w:rPr>
        <w:t xml:space="preserve"> affidavit or anyone who could confirm</w:t>
      </w:r>
      <w:r w:rsidR="00FC4CE0">
        <w:rPr>
          <w:rFonts w:ascii="Times New Roman" w:hAnsi="Times New Roman" w:cs="Times New Roman"/>
          <w:sz w:val="24"/>
          <w:szCs w:val="24"/>
        </w:rPr>
        <w:t xml:space="preserve"> the position. There was no information when he became ill and when he recovered. There was no evidence that such illness or incapacity was communicated to the applicants. </w:t>
      </w:r>
      <w:r w:rsidR="009D5B3B">
        <w:rPr>
          <w:rFonts w:ascii="Times New Roman" w:hAnsi="Times New Roman" w:cs="Times New Roman"/>
          <w:sz w:val="24"/>
          <w:szCs w:val="24"/>
        </w:rPr>
        <w:t>In fact</w:t>
      </w:r>
      <w:r w:rsidR="00FC4CE0">
        <w:rPr>
          <w:rFonts w:ascii="Times New Roman" w:hAnsi="Times New Roman" w:cs="Times New Roman"/>
          <w:sz w:val="24"/>
          <w:szCs w:val="24"/>
        </w:rPr>
        <w:t xml:space="preserve"> Mr </w:t>
      </w:r>
      <w:r w:rsidR="00FC4CE0" w:rsidRPr="00164647">
        <w:rPr>
          <w:rFonts w:ascii="Times New Roman" w:hAnsi="Times New Roman" w:cs="Times New Roman"/>
          <w:i/>
          <w:sz w:val="24"/>
          <w:szCs w:val="24"/>
        </w:rPr>
        <w:t>Madhuku</w:t>
      </w:r>
      <w:r w:rsidR="00FC4CE0">
        <w:rPr>
          <w:rFonts w:ascii="Times New Roman" w:hAnsi="Times New Roman" w:cs="Times New Roman"/>
          <w:sz w:val="24"/>
          <w:szCs w:val="24"/>
        </w:rPr>
        <w:t xml:space="preserve"> made a start</w:t>
      </w:r>
      <w:r w:rsidR="00242F9E">
        <w:rPr>
          <w:rFonts w:ascii="Times New Roman" w:hAnsi="Times New Roman" w:cs="Times New Roman"/>
          <w:sz w:val="24"/>
          <w:szCs w:val="24"/>
        </w:rPr>
        <w:t>l</w:t>
      </w:r>
      <w:r w:rsidR="00FC4CE0">
        <w:rPr>
          <w:rFonts w:ascii="Times New Roman" w:hAnsi="Times New Roman" w:cs="Times New Roman"/>
          <w:sz w:val="24"/>
          <w:szCs w:val="24"/>
        </w:rPr>
        <w:t xml:space="preserve">ing submission that the court should accept the averment of the illness because it was made under oath. I do not believe that </w:t>
      </w:r>
      <w:r w:rsidR="00242F9E">
        <w:rPr>
          <w:rFonts w:ascii="Times New Roman" w:hAnsi="Times New Roman" w:cs="Times New Roman"/>
          <w:sz w:val="24"/>
          <w:szCs w:val="24"/>
        </w:rPr>
        <w:t>was</w:t>
      </w:r>
      <w:r w:rsidR="00025637">
        <w:rPr>
          <w:rFonts w:ascii="Times New Roman" w:hAnsi="Times New Roman" w:cs="Times New Roman"/>
          <w:sz w:val="24"/>
          <w:szCs w:val="24"/>
        </w:rPr>
        <w:t xml:space="preserve"> enough. Since the indisposition is not admitted by the applicants, it was for the respondent to show by way of evidence the veracity of the averment. Failure to do so</w:t>
      </w:r>
      <w:r w:rsidR="00632700">
        <w:rPr>
          <w:rFonts w:ascii="Times New Roman" w:hAnsi="Times New Roman" w:cs="Times New Roman"/>
          <w:sz w:val="24"/>
          <w:szCs w:val="24"/>
        </w:rPr>
        <w:t xml:space="preserve"> is prejudicial to the respondent’s case.</w:t>
      </w:r>
      <w:r w:rsidR="00FC4CE0">
        <w:rPr>
          <w:rFonts w:ascii="Times New Roman" w:hAnsi="Times New Roman" w:cs="Times New Roman"/>
          <w:sz w:val="24"/>
          <w:szCs w:val="24"/>
        </w:rPr>
        <w:t xml:space="preserve"> The incapacity alleged </w:t>
      </w:r>
      <w:r w:rsidR="00272678">
        <w:rPr>
          <w:rFonts w:ascii="Times New Roman" w:hAnsi="Times New Roman" w:cs="Times New Roman"/>
          <w:sz w:val="24"/>
          <w:szCs w:val="24"/>
        </w:rPr>
        <w:t>must have</w:t>
      </w:r>
      <w:r w:rsidR="00632700">
        <w:rPr>
          <w:rFonts w:ascii="Times New Roman" w:hAnsi="Times New Roman" w:cs="Times New Roman"/>
          <w:sz w:val="24"/>
          <w:szCs w:val="24"/>
        </w:rPr>
        <w:t xml:space="preserve"> been</w:t>
      </w:r>
      <w:r w:rsidR="00FC4CE0">
        <w:rPr>
          <w:rFonts w:ascii="Times New Roman" w:hAnsi="Times New Roman" w:cs="Times New Roman"/>
          <w:sz w:val="24"/>
          <w:szCs w:val="24"/>
        </w:rPr>
        <w:t xml:space="preserve"> </w:t>
      </w:r>
      <w:r w:rsidR="00242F9E">
        <w:rPr>
          <w:rFonts w:ascii="Times New Roman" w:hAnsi="Times New Roman" w:cs="Times New Roman"/>
          <w:sz w:val="24"/>
          <w:szCs w:val="24"/>
        </w:rPr>
        <w:t>supported. In the absence of such supporting evidence I cannot find a reasonable explanation.</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fact that by December 2018 the respondent had failed to file the required papers within the one month and an application for dismissal was filed. When the matter was set down for hearing the parties agreed to withdraw the matter in favour of disposal of the matter on the merits. An olive branch was extended to the respondent but he did not fully embrace it. Neither the applicant</w:t>
      </w:r>
      <w:r w:rsidR="00025637">
        <w:rPr>
          <w:rFonts w:ascii="Times New Roman" w:hAnsi="Times New Roman" w:cs="Times New Roman"/>
          <w:sz w:val="24"/>
          <w:szCs w:val="24"/>
        </w:rPr>
        <w:t>s</w:t>
      </w:r>
      <w:r>
        <w:rPr>
          <w:rFonts w:ascii="Times New Roman" w:hAnsi="Times New Roman" w:cs="Times New Roman"/>
          <w:sz w:val="24"/>
          <w:szCs w:val="24"/>
        </w:rPr>
        <w:t xml:space="preserve"> nor the respondent refer to the withdra</w:t>
      </w:r>
      <w:r w:rsidR="00025637">
        <w:rPr>
          <w:rFonts w:ascii="Times New Roman" w:hAnsi="Times New Roman" w:cs="Times New Roman"/>
          <w:sz w:val="24"/>
          <w:szCs w:val="24"/>
        </w:rPr>
        <w:t xml:space="preserve">wal as occasioned by illness it was </w:t>
      </w:r>
      <w:r w:rsidR="00025637">
        <w:rPr>
          <w:rFonts w:ascii="Times New Roman" w:hAnsi="Times New Roman" w:cs="Times New Roman"/>
          <w:sz w:val="24"/>
          <w:szCs w:val="24"/>
        </w:rPr>
        <w:lastRenderedPageBreak/>
        <w:t>attributed to the parties’ desire to dispose the main matter on the</w:t>
      </w:r>
      <w:r>
        <w:rPr>
          <w:rFonts w:ascii="Times New Roman" w:hAnsi="Times New Roman" w:cs="Times New Roman"/>
          <w:sz w:val="24"/>
          <w:szCs w:val="24"/>
        </w:rPr>
        <w:t xml:space="preserve"> merits. Despite the withdrawal, the respondent did not file the required pleadings. It is only when this application was filed that the respon</w:t>
      </w:r>
      <w:r w:rsidR="00025637">
        <w:rPr>
          <w:rFonts w:ascii="Times New Roman" w:hAnsi="Times New Roman" w:cs="Times New Roman"/>
          <w:sz w:val="24"/>
          <w:szCs w:val="24"/>
        </w:rPr>
        <w:t>dent was jerked into action. This</w:t>
      </w:r>
      <w:r>
        <w:rPr>
          <w:rFonts w:ascii="Times New Roman" w:hAnsi="Times New Roman" w:cs="Times New Roman"/>
          <w:sz w:val="24"/>
          <w:szCs w:val="24"/>
        </w:rPr>
        <w:t xml:space="preserve"> chamber application was filed on 2 August</w:t>
      </w:r>
      <w:r w:rsidR="00A67606">
        <w:rPr>
          <w:rFonts w:ascii="Times New Roman" w:hAnsi="Times New Roman" w:cs="Times New Roman"/>
          <w:sz w:val="24"/>
          <w:szCs w:val="24"/>
        </w:rPr>
        <w:t xml:space="preserve"> 2019</w:t>
      </w:r>
      <w:r>
        <w:rPr>
          <w:rFonts w:ascii="Times New Roman" w:hAnsi="Times New Roman" w:cs="Times New Roman"/>
          <w:sz w:val="24"/>
          <w:szCs w:val="24"/>
        </w:rPr>
        <w:t xml:space="preserve"> and served on the respondent the same day. It is only then that the respondent </w:t>
      </w:r>
      <w:r w:rsidR="00632700">
        <w:rPr>
          <w:rFonts w:ascii="Times New Roman" w:hAnsi="Times New Roman" w:cs="Times New Roman"/>
          <w:sz w:val="24"/>
          <w:szCs w:val="24"/>
        </w:rPr>
        <w:t>filed the answering</w:t>
      </w:r>
      <w:r>
        <w:rPr>
          <w:rFonts w:ascii="Times New Roman" w:hAnsi="Times New Roman" w:cs="Times New Roman"/>
          <w:sz w:val="24"/>
          <w:szCs w:val="24"/>
        </w:rPr>
        <w:t xml:space="preserve"> affidavit and</w:t>
      </w:r>
      <w:r w:rsidR="00025637">
        <w:rPr>
          <w:rFonts w:ascii="Times New Roman" w:hAnsi="Times New Roman" w:cs="Times New Roman"/>
          <w:sz w:val="24"/>
          <w:szCs w:val="24"/>
        </w:rPr>
        <w:t xml:space="preserve"> the</w:t>
      </w:r>
      <w:r>
        <w:rPr>
          <w:rFonts w:ascii="Times New Roman" w:hAnsi="Times New Roman" w:cs="Times New Roman"/>
          <w:sz w:val="24"/>
          <w:szCs w:val="24"/>
        </w:rPr>
        <w:t xml:space="preserve"> heads of argument on 19 August 2019 about 5 months after the withdrawal of the first application for dismissal and 16 months later from the date the applicants filed the opposing papers.</w:t>
      </w:r>
    </w:p>
    <w:p w:rsidR="00025637" w:rsidRDefault="00FC4CE0" w:rsidP="006327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extent of</w:t>
      </w:r>
      <w:r w:rsidR="00632700">
        <w:rPr>
          <w:rFonts w:ascii="Times New Roman" w:hAnsi="Times New Roman" w:cs="Times New Roman"/>
          <w:sz w:val="24"/>
          <w:szCs w:val="24"/>
        </w:rPr>
        <w:t xml:space="preserve"> the</w:t>
      </w:r>
      <w:r>
        <w:rPr>
          <w:rFonts w:ascii="Times New Roman" w:hAnsi="Times New Roman" w:cs="Times New Roman"/>
          <w:sz w:val="24"/>
          <w:szCs w:val="24"/>
        </w:rPr>
        <w:t xml:space="preserve"> delay is evidence of a non-committal to finalise the matter. There was no explanation when the respondent recovered to be able to give instructions. What is evident from the facts is that, it was upon service of the application that the respondent decided to act. </w:t>
      </w:r>
      <w:r w:rsidR="00A67606">
        <w:rPr>
          <w:rFonts w:ascii="Times New Roman" w:hAnsi="Times New Roman" w:cs="Times New Roman"/>
          <w:sz w:val="24"/>
          <w:szCs w:val="24"/>
        </w:rPr>
        <w:t>It is farfetched to even insinuate that the respondent recovered when this application was filed.</w:t>
      </w:r>
    </w:p>
    <w:p w:rsidR="00FC4CE0" w:rsidRDefault="00FC4CE0" w:rsidP="000256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5637">
        <w:rPr>
          <w:rFonts w:ascii="Times New Roman" w:hAnsi="Times New Roman" w:cs="Times New Roman"/>
          <w:sz w:val="24"/>
          <w:szCs w:val="24"/>
        </w:rPr>
        <w:tab/>
        <w:t>The respondent alleged</w:t>
      </w:r>
      <w:r>
        <w:rPr>
          <w:rFonts w:ascii="Times New Roman" w:hAnsi="Times New Roman" w:cs="Times New Roman"/>
          <w:sz w:val="24"/>
          <w:szCs w:val="24"/>
        </w:rPr>
        <w:t xml:space="preserve"> that the applicants intend to snatch a</w:t>
      </w:r>
      <w:r w:rsidR="00025637">
        <w:rPr>
          <w:rFonts w:ascii="Times New Roman" w:hAnsi="Times New Roman" w:cs="Times New Roman"/>
          <w:sz w:val="24"/>
          <w:szCs w:val="24"/>
        </w:rPr>
        <w:t xml:space="preserve">t a </w:t>
      </w:r>
      <w:r w:rsidR="00A67606">
        <w:rPr>
          <w:rFonts w:ascii="Times New Roman" w:hAnsi="Times New Roman" w:cs="Times New Roman"/>
          <w:sz w:val="24"/>
          <w:szCs w:val="24"/>
        </w:rPr>
        <w:t>judgment. I do not believe so.</w:t>
      </w:r>
      <w:r>
        <w:rPr>
          <w:rFonts w:ascii="Times New Roman" w:hAnsi="Times New Roman" w:cs="Times New Roman"/>
          <w:sz w:val="24"/>
          <w:szCs w:val="24"/>
        </w:rPr>
        <w:t xml:space="preserve"> An indulgence was once extended</w:t>
      </w:r>
      <w:r w:rsidR="00A67606">
        <w:rPr>
          <w:rFonts w:ascii="Times New Roman" w:hAnsi="Times New Roman" w:cs="Times New Roman"/>
          <w:sz w:val="24"/>
          <w:szCs w:val="24"/>
        </w:rPr>
        <w:t xml:space="preserve"> to the respondent</w:t>
      </w:r>
      <w:r>
        <w:rPr>
          <w:rFonts w:ascii="Times New Roman" w:hAnsi="Times New Roman" w:cs="Times New Roman"/>
          <w:sz w:val="24"/>
          <w:szCs w:val="24"/>
        </w:rPr>
        <w:t xml:space="preserve"> for the</w:t>
      </w:r>
      <w:r w:rsidR="00632700">
        <w:rPr>
          <w:rFonts w:ascii="Times New Roman" w:hAnsi="Times New Roman" w:cs="Times New Roman"/>
          <w:sz w:val="24"/>
          <w:szCs w:val="24"/>
        </w:rPr>
        <w:t xml:space="preserve"> matter to be determined on the merits,</w:t>
      </w:r>
      <w:r>
        <w:rPr>
          <w:rFonts w:ascii="Times New Roman" w:hAnsi="Times New Roman" w:cs="Times New Roman"/>
          <w:sz w:val="24"/>
          <w:szCs w:val="24"/>
        </w:rPr>
        <w:t xml:space="preserve"> th</w:t>
      </w:r>
      <w:r w:rsidR="00632700">
        <w:rPr>
          <w:rFonts w:ascii="Times New Roman" w:hAnsi="Times New Roman" w:cs="Times New Roman"/>
          <w:sz w:val="24"/>
          <w:szCs w:val="24"/>
        </w:rPr>
        <w:t>is could not be achieved due</w:t>
      </w:r>
      <w:r>
        <w:rPr>
          <w:rFonts w:ascii="Times New Roman" w:hAnsi="Times New Roman" w:cs="Times New Roman"/>
          <w:sz w:val="24"/>
          <w:szCs w:val="24"/>
        </w:rPr>
        <w:t xml:space="preserve"> to the respondent’s inaction. The respondent wants a second bite of the cherry to the applicant’s </w:t>
      </w:r>
      <w:r w:rsidR="00A67606">
        <w:rPr>
          <w:rFonts w:ascii="Times New Roman" w:hAnsi="Times New Roman" w:cs="Times New Roman"/>
          <w:sz w:val="24"/>
          <w:szCs w:val="24"/>
        </w:rPr>
        <w:t>prejudice. It</w:t>
      </w:r>
      <w:r w:rsidR="000E67FB">
        <w:rPr>
          <w:rFonts w:ascii="Times New Roman" w:hAnsi="Times New Roman" w:cs="Times New Roman"/>
          <w:sz w:val="24"/>
          <w:szCs w:val="24"/>
        </w:rPr>
        <w:t xml:space="preserve"> is trite that a litigant who leaves his affairs to chance and is not diligent has himself to </w:t>
      </w:r>
      <w:r w:rsidR="00A67606">
        <w:rPr>
          <w:rFonts w:ascii="Times New Roman" w:hAnsi="Times New Roman" w:cs="Times New Roman"/>
          <w:sz w:val="24"/>
          <w:szCs w:val="24"/>
        </w:rPr>
        <w:t>blame</w:t>
      </w:r>
      <w:r w:rsidR="000E67FB">
        <w:rPr>
          <w:rFonts w:ascii="Times New Roman" w:hAnsi="Times New Roman" w:cs="Times New Roman"/>
          <w:sz w:val="24"/>
          <w:szCs w:val="24"/>
        </w:rPr>
        <w:t xml:space="preserve"> because the law assists the diligent and not the sluggard. See </w:t>
      </w:r>
      <w:r w:rsidR="000E67FB" w:rsidRPr="00A67606">
        <w:rPr>
          <w:rFonts w:ascii="Times New Roman" w:hAnsi="Times New Roman" w:cs="Times New Roman"/>
          <w:i/>
          <w:sz w:val="24"/>
          <w:szCs w:val="24"/>
        </w:rPr>
        <w:t>Ndebele v Ncube</w:t>
      </w:r>
      <w:r w:rsidR="000E67FB">
        <w:rPr>
          <w:rStyle w:val="FootnoteReference"/>
          <w:rFonts w:ascii="Times New Roman" w:hAnsi="Times New Roman" w:cs="Times New Roman"/>
          <w:sz w:val="24"/>
          <w:szCs w:val="24"/>
        </w:rPr>
        <w:footnoteReference w:id="4"/>
      </w:r>
      <w:r w:rsidR="000E67FB">
        <w:rPr>
          <w:rFonts w:ascii="Times New Roman" w:hAnsi="Times New Roman" w:cs="Times New Roman"/>
          <w:sz w:val="24"/>
          <w:szCs w:val="24"/>
        </w:rPr>
        <w:t xml:space="preserve">  where the court stated</w:t>
      </w:r>
      <w:r w:rsidR="00A67606">
        <w:rPr>
          <w:rFonts w:ascii="Times New Roman" w:hAnsi="Times New Roman" w:cs="Times New Roman"/>
          <w:sz w:val="24"/>
          <w:szCs w:val="24"/>
        </w:rPr>
        <w:t>;</w:t>
      </w:r>
      <w:r w:rsidR="000E67FB">
        <w:rPr>
          <w:rFonts w:ascii="Times New Roman" w:hAnsi="Times New Roman" w:cs="Times New Roman"/>
          <w:sz w:val="24"/>
          <w:szCs w:val="24"/>
        </w:rPr>
        <w:t xml:space="preserve"> </w:t>
      </w:r>
    </w:p>
    <w:p w:rsidR="000E67FB" w:rsidRPr="000E67FB" w:rsidRDefault="000E67FB" w:rsidP="00FC4CE0">
      <w:pPr>
        <w:spacing w:after="0" w:line="360" w:lineRule="auto"/>
        <w:jc w:val="both"/>
        <w:rPr>
          <w:rFonts w:ascii="Times New Roman" w:hAnsi="Times New Roman" w:cs="Times New Roman"/>
        </w:rPr>
      </w:pPr>
      <w:r>
        <w:rPr>
          <w:rFonts w:ascii="Times New Roman" w:hAnsi="Times New Roman" w:cs="Times New Roman"/>
          <w:sz w:val="24"/>
          <w:szCs w:val="24"/>
        </w:rPr>
        <w:tab/>
        <w:t>‘</w:t>
      </w:r>
      <w:r w:rsidR="00632700">
        <w:rPr>
          <w:rFonts w:ascii="Times New Roman" w:hAnsi="Times New Roman" w:cs="Times New Roman"/>
        </w:rPr>
        <w:t>It</w:t>
      </w:r>
      <w:r w:rsidR="005B4281">
        <w:rPr>
          <w:rFonts w:ascii="Times New Roman" w:hAnsi="Times New Roman" w:cs="Times New Roman"/>
        </w:rPr>
        <w:t xml:space="preserve"> is the policy of the law that there should be finality to litigation…the time has come to remind the legal profession of the old adage </w:t>
      </w:r>
      <w:r w:rsidR="005B4281" w:rsidRPr="005B4281">
        <w:rPr>
          <w:rFonts w:ascii="Times New Roman" w:hAnsi="Times New Roman" w:cs="Times New Roman"/>
          <w:i/>
        </w:rPr>
        <w:t>vintilantibus non dormlentibus jura subveniurit</w:t>
      </w:r>
      <w:r w:rsidR="005B4281">
        <w:rPr>
          <w:rFonts w:ascii="Times New Roman" w:hAnsi="Times New Roman" w:cs="Times New Roman"/>
        </w:rPr>
        <w:t xml:space="preserve">, roughly </w:t>
      </w:r>
      <w:r w:rsidR="00632700">
        <w:rPr>
          <w:rFonts w:ascii="Times New Roman" w:hAnsi="Times New Roman" w:cs="Times New Roman"/>
        </w:rPr>
        <w:t>translated, the</w:t>
      </w:r>
      <w:r w:rsidR="005B4281">
        <w:rPr>
          <w:rFonts w:ascii="Times New Roman" w:hAnsi="Times New Roman" w:cs="Times New Roman"/>
        </w:rPr>
        <w:t xml:space="preserve"> law will help the vigilant and not the sluggard.’</w:t>
      </w:r>
    </w:p>
    <w:p w:rsidR="00A67606"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7606">
        <w:rPr>
          <w:rFonts w:ascii="Times New Roman" w:hAnsi="Times New Roman" w:cs="Times New Roman"/>
          <w:sz w:val="24"/>
          <w:szCs w:val="24"/>
        </w:rPr>
        <w:t xml:space="preserve">If this matter was indeed important to the </w:t>
      </w:r>
      <w:r w:rsidR="003B2933">
        <w:rPr>
          <w:rFonts w:ascii="Times New Roman" w:hAnsi="Times New Roman" w:cs="Times New Roman"/>
          <w:sz w:val="24"/>
          <w:szCs w:val="24"/>
        </w:rPr>
        <w:t>respondent, his</w:t>
      </w:r>
      <w:r w:rsidR="00025637">
        <w:rPr>
          <w:rFonts w:ascii="Times New Roman" w:hAnsi="Times New Roman" w:cs="Times New Roman"/>
          <w:sz w:val="24"/>
          <w:szCs w:val="24"/>
        </w:rPr>
        <w:t xml:space="preserve"> conduct in dealing with matter must</w:t>
      </w:r>
      <w:r w:rsidR="00632700">
        <w:rPr>
          <w:rFonts w:ascii="Times New Roman" w:hAnsi="Times New Roman" w:cs="Times New Roman"/>
          <w:sz w:val="24"/>
          <w:szCs w:val="24"/>
        </w:rPr>
        <w:t xml:space="preserve"> have</w:t>
      </w:r>
      <w:r w:rsidR="00025637">
        <w:rPr>
          <w:rFonts w:ascii="Times New Roman" w:hAnsi="Times New Roman" w:cs="Times New Roman"/>
          <w:sz w:val="24"/>
          <w:szCs w:val="24"/>
        </w:rPr>
        <w:t xml:space="preserve"> confirm</w:t>
      </w:r>
      <w:r w:rsidR="00632700">
        <w:rPr>
          <w:rFonts w:ascii="Times New Roman" w:hAnsi="Times New Roman" w:cs="Times New Roman"/>
          <w:sz w:val="24"/>
          <w:szCs w:val="24"/>
        </w:rPr>
        <w:t>ed</w:t>
      </w:r>
      <w:r w:rsidR="00025637">
        <w:rPr>
          <w:rFonts w:ascii="Times New Roman" w:hAnsi="Times New Roman" w:cs="Times New Roman"/>
          <w:sz w:val="24"/>
          <w:szCs w:val="24"/>
        </w:rPr>
        <w:t xml:space="preserve"> so, unfortunately his conduct d</w:t>
      </w:r>
      <w:r w:rsidR="00632700">
        <w:rPr>
          <w:rFonts w:ascii="Times New Roman" w:hAnsi="Times New Roman" w:cs="Times New Roman"/>
          <w:sz w:val="24"/>
          <w:szCs w:val="24"/>
        </w:rPr>
        <w:t>id</w:t>
      </w:r>
      <w:r w:rsidR="00025637">
        <w:rPr>
          <w:rFonts w:ascii="Times New Roman" w:hAnsi="Times New Roman" w:cs="Times New Roman"/>
          <w:sz w:val="24"/>
          <w:szCs w:val="24"/>
        </w:rPr>
        <w:t xml:space="preserve"> not confirm the submissions made.</w:t>
      </w:r>
      <w:r w:rsidR="00A67606">
        <w:rPr>
          <w:rFonts w:ascii="Times New Roman" w:hAnsi="Times New Roman" w:cs="Times New Roman"/>
          <w:sz w:val="24"/>
          <w:szCs w:val="24"/>
        </w:rPr>
        <w:t xml:space="preserve"> One wonders</w:t>
      </w:r>
      <w:r w:rsidR="003B2933">
        <w:rPr>
          <w:rFonts w:ascii="Times New Roman" w:hAnsi="Times New Roman" w:cs="Times New Roman"/>
          <w:sz w:val="24"/>
          <w:szCs w:val="24"/>
        </w:rPr>
        <w:t xml:space="preserve"> if the respondent would have filed the outstanding pleadings had the app</w:t>
      </w:r>
      <w:r w:rsidR="00A67606">
        <w:rPr>
          <w:rFonts w:ascii="Times New Roman" w:hAnsi="Times New Roman" w:cs="Times New Roman"/>
          <w:sz w:val="24"/>
          <w:szCs w:val="24"/>
        </w:rPr>
        <w:t xml:space="preserve">licants not filed this </w:t>
      </w:r>
      <w:r w:rsidR="003B2933">
        <w:rPr>
          <w:rFonts w:ascii="Times New Roman" w:hAnsi="Times New Roman" w:cs="Times New Roman"/>
          <w:sz w:val="24"/>
          <w:szCs w:val="24"/>
        </w:rPr>
        <w:t xml:space="preserve">application. It seems the filing was a direct response to this application. </w:t>
      </w:r>
    </w:p>
    <w:p w:rsidR="00FC4CE0" w:rsidRDefault="00A67606" w:rsidP="00A676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w:t>
      </w:r>
      <w:r w:rsidR="00FC4CE0">
        <w:rPr>
          <w:rFonts w:ascii="Times New Roman" w:hAnsi="Times New Roman" w:cs="Times New Roman"/>
          <w:sz w:val="24"/>
          <w:szCs w:val="24"/>
        </w:rPr>
        <w:t xml:space="preserve"> argue</w:t>
      </w:r>
      <w:r>
        <w:rPr>
          <w:rFonts w:ascii="Times New Roman" w:hAnsi="Times New Roman" w:cs="Times New Roman"/>
          <w:sz w:val="24"/>
          <w:szCs w:val="24"/>
        </w:rPr>
        <w:t>d</w:t>
      </w:r>
      <w:r w:rsidR="00FC4CE0">
        <w:rPr>
          <w:rFonts w:ascii="Times New Roman" w:hAnsi="Times New Roman" w:cs="Times New Roman"/>
          <w:sz w:val="24"/>
          <w:szCs w:val="24"/>
        </w:rPr>
        <w:t xml:space="preserve"> that </w:t>
      </w:r>
      <w:r>
        <w:rPr>
          <w:rFonts w:ascii="Times New Roman" w:hAnsi="Times New Roman" w:cs="Times New Roman"/>
          <w:sz w:val="24"/>
          <w:szCs w:val="24"/>
        </w:rPr>
        <w:t xml:space="preserve">the main </w:t>
      </w:r>
      <w:r w:rsidR="00FC4CE0">
        <w:rPr>
          <w:rFonts w:ascii="Times New Roman" w:hAnsi="Times New Roman" w:cs="Times New Roman"/>
          <w:sz w:val="24"/>
          <w:szCs w:val="24"/>
        </w:rPr>
        <w:t>matter is now ready for set down since the requisite pleadings were filed. The point is not whether the</w:t>
      </w:r>
      <w:r w:rsidR="003B2933">
        <w:rPr>
          <w:rFonts w:ascii="Times New Roman" w:hAnsi="Times New Roman" w:cs="Times New Roman"/>
          <w:sz w:val="24"/>
          <w:szCs w:val="24"/>
        </w:rPr>
        <w:t xml:space="preserve"> main</w:t>
      </w:r>
      <w:r w:rsidR="00FC4CE0">
        <w:rPr>
          <w:rFonts w:ascii="Times New Roman" w:hAnsi="Times New Roman" w:cs="Times New Roman"/>
          <w:sz w:val="24"/>
          <w:szCs w:val="24"/>
        </w:rPr>
        <w:t xml:space="preserve"> matter is ready, otherwise we may lose focus. The issue is whether the respondent complied with the rules in the prosecution of the matter. If he has failed to do so</w:t>
      </w:r>
      <w:r w:rsidR="003B2933">
        <w:rPr>
          <w:rFonts w:ascii="Times New Roman" w:hAnsi="Times New Roman" w:cs="Times New Roman"/>
          <w:sz w:val="24"/>
          <w:szCs w:val="24"/>
        </w:rPr>
        <w:t>, has</w:t>
      </w:r>
      <w:r>
        <w:rPr>
          <w:rFonts w:ascii="Times New Roman" w:hAnsi="Times New Roman" w:cs="Times New Roman"/>
          <w:sz w:val="24"/>
          <w:szCs w:val="24"/>
        </w:rPr>
        <w:t xml:space="preserve"> </w:t>
      </w:r>
      <w:r w:rsidR="003B2933">
        <w:rPr>
          <w:rFonts w:ascii="Times New Roman" w:hAnsi="Times New Roman" w:cs="Times New Roman"/>
          <w:sz w:val="24"/>
          <w:szCs w:val="24"/>
        </w:rPr>
        <w:t>t</w:t>
      </w:r>
      <w:r>
        <w:rPr>
          <w:rFonts w:ascii="Times New Roman" w:hAnsi="Times New Roman" w:cs="Times New Roman"/>
          <w:sz w:val="24"/>
          <w:szCs w:val="24"/>
        </w:rPr>
        <w:t>he</w:t>
      </w:r>
      <w:r w:rsidR="003B2933">
        <w:rPr>
          <w:rFonts w:ascii="Times New Roman" w:hAnsi="Times New Roman" w:cs="Times New Roman"/>
          <w:sz w:val="24"/>
          <w:szCs w:val="24"/>
        </w:rPr>
        <w:t xml:space="preserve"> respondent</w:t>
      </w:r>
      <w:r>
        <w:rPr>
          <w:rFonts w:ascii="Times New Roman" w:hAnsi="Times New Roman" w:cs="Times New Roman"/>
          <w:sz w:val="24"/>
          <w:szCs w:val="24"/>
        </w:rPr>
        <w:t xml:space="preserve"> given</w:t>
      </w:r>
      <w:r w:rsidR="00FC4CE0">
        <w:rPr>
          <w:rFonts w:ascii="Times New Roman" w:hAnsi="Times New Roman" w:cs="Times New Roman"/>
          <w:sz w:val="24"/>
          <w:szCs w:val="24"/>
        </w:rPr>
        <w:t xml:space="preserve"> an excu</w:t>
      </w:r>
      <w:r>
        <w:rPr>
          <w:rFonts w:ascii="Times New Roman" w:hAnsi="Times New Roman" w:cs="Times New Roman"/>
          <w:sz w:val="24"/>
          <w:szCs w:val="24"/>
        </w:rPr>
        <w:t xml:space="preserve">sable explanation for the </w:t>
      </w:r>
      <w:r w:rsidR="003B2933">
        <w:rPr>
          <w:rFonts w:ascii="Times New Roman" w:hAnsi="Times New Roman" w:cs="Times New Roman"/>
          <w:sz w:val="24"/>
          <w:szCs w:val="24"/>
        </w:rPr>
        <w:t>inaction?</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w:t>
      </w:r>
      <w:r w:rsidR="003B2933">
        <w:rPr>
          <w:rFonts w:ascii="Times New Roman" w:hAnsi="Times New Roman" w:cs="Times New Roman"/>
          <w:sz w:val="24"/>
          <w:szCs w:val="24"/>
        </w:rPr>
        <w:t>no</w:t>
      </w:r>
      <w:r>
        <w:rPr>
          <w:rFonts w:ascii="Times New Roman" w:hAnsi="Times New Roman" w:cs="Times New Roman"/>
          <w:sz w:val="24"/>
          <w:szCs w:val="24"/>
        </w:rPr>
        <w:t xml:space="preserve"> excusable explanation. The fact of the illness was not confirmed by independent evidence. The respondent chose not to give the court adequate information. If </w:t>
      </w:r>
      <w:r>
        <w:rPr>
          <w:rFonts w:ascii="Times New Roman" w:hAnsi="Times New Roman" w:cs="Times New Roman"/>
          <w:sz w:val="24"/>
          <w:szCs w:val="24"/>
        </w:rPr>
        <w:lastRenderedPageBreak/>
        <w:t>indeed he was ill disposed there was no communication with the other party</w:t>
      </w:r>
      <w:r w:rsidR="003B2933">
        <w:rPr>
          <w:rFonts w:ascii="Times New Roman" w:hAnsi="Times New Roman" w:cs="Times New Roman"/>
          <w:sz w:val="24"/>
          <w:szCs w:val="24"/>
        </w:rPr>
        <w:t xml:space="preserve"> he just let the matter lie dormant</w:t>
      </w:r>
      <w:r>
        <w:rPr>
          <w:rFonts w:ascii="Times New Roman" w:hAnsi="Times New Roman" w:cs="Times New Roman"/>
          <w:sz w:val="24"/>
          <w:szCs w:val="24"/>
        </w:rPr>
        <w:t>.</w:t>
      </w:r>
      <w:r w:rsidR="003B2933">
        <w:rPr>
          <w:rFonts w:ascii="Times New Roman" w:hAnsi="Times New Roman" w:cs="Times New Roman"/>
          <w:sz w:val="24"/>
          <w:szCs w:val="24"/>
        </w:rPr>
        <w:t xml:space="preserve"> So it was within the applicant’s rights to file this application.</w:t>
      </w:r>
      <w:r>
        <w:rPr>
          <w:rFonts w:ascii="Times New Roman" w:hAnsi="Times New Roman" w:cs="Times New Roman"/>
          <w:sz w:val="24"/>
          <w:szCs w:val="24"/>
        </w:rPr>
        <w:t xml:space="preserve"> </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principle indeed it is best that the real dispute between the parties be resolved. However, where a party drags the matter u</w:t>
      </w:r>
      <w:r w:rsidR="00A67606">
        <w:rPr>
          <w:rFonts w:ascii="Times New Roman" w:hAnsi="Times New Roman" w:cs="Times New Roman"/>
          <w:sz w:val="24"/>
          <w:szCs w:val="24"/>
        </w:rPr>
        <w:t xml:space="preserve">nnecessarily, the  court rules </w:t>
      </w:r>
      <w:r>
        <w:rPr>
          <w:rFonts w:ascii="Times New Roman" w:hAnsi="Times New Roman" w:cs="Times New Roman"/>
          <w:sz w:val="24"/>
          <w:szCs w:val="24"/>
        </w:rPr>
        <w:t xml:space="preserve"> have allowed the disposal of a matter on a technicality. In this case, the respondent is his own worst enemy, he has literally stood in the way of the disposal of the matter on the merits. </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of the filing by the respondent of the heads of argument and the answering affidavit was clearly done to defeat this application. In my view in such an application, the court must consider the pleadings up to the date of filing of the application</w:t>
      </w:r>
      <w:r w:rsidR="003B2933">
        <w:rPr>
          <w:rFonts w:ascii="Times New Roman" w:hAnsi="Times New Roman" w:cs="Times New Roman"/>
          <w:sz w:val="24"/>
          <w:szCs w:val="24"/>
        </w:rPr>
        <w:t xml:space="preserve"> for dismissal. </w:t>
      </w:r>
      <w:r>
        <w:rPr>
          <w:rFonts w:ascii="Times New Roman" w:hAnsi="Times New Roman" w:cs="Times New Roman"/>
          <w:sz w:val="24"/>
          <w:szCs w:val="24"/>
        </w:rPr>
        <w:t xml:space="preserve">Any pleadings filed thereafter are </w:t>
      </w:r>
      <w:r w:rsidR="003B2933">
        <w:rPr>
          <w:rFonts w:ascii="Times New Roman" w:hAnsi="Times New Roman" w:cs="Times New Roman"/>
          <w:sz w:val="24"/>
          <w:szCs w:val="24"/>
        </w:rPr>
        <w:t>unnecessary in</w:t>
      </w:r>
      <w:r>
        <w:rPr>
          <w:rFonts w:ascii="Times New Roman" w:hAnsi="Times New Roman" w:cs="Times New Roman"/>
          <w:sz w:val="24"/>
          <w:szCs w:val="24"/>
        </w:rPr>
        <w:t xml:space="preserve"> the determination</w:t>
      </w:r>
      <w:r w:rsidR="003B2933">
        <w:rPr>
          <w:rFonts w:ascii="Times New Roman" w:hAnsi="Times New Roman" w:cs="Times New Roman"/>
          <w:sz w:val="24"/>
          <w:szCs w:val="24"/>
        </w:rPr>
        <w:t xml:space="preserve"> of the application for dismissal.</w:t>
      </w:r>
      <w:r>
        <w:rPr>
          <w:rFonts w:ascii="Times New Roman" w:hAnsi="Times New Roman" w:cs="Times New Roman"/>
          <w:sz w:val="24"/>
          <w:szCs w:val="24"/>
        </w:rPr>
        <w:t xml:space="preserve"> </w:t>
      </w:r>
    </w:p>
    <w:p w:rsidR="003B2933"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2933">
        <w:rPr>
          <w:rFonts w:ascii="Times New Roman" w:hAnsi="Times New Roman" w:cs="Times New Roman"/>
          <w:sz w:val="24"/>
          <w:szCs w:val="24"/>
        </w:rPr>
        <w:t>As already stated, I</w:t>
      </w:r>
      <w:r>
        <w:rPr>
          <w:rFonts w:ascii="Times New Roman" w:hAnsi="Times New Roman" w:cs="Times New Roman"/>
          <w:sz w:val="24"/>
          <w:szCs w:val="24"/>
        </w:rPr>
        <w:t xml:space="preserve"> find no plausible explanation for the </w:t>
      </w:r>
      <w:r w:rsidR="003B2933">
        <w:rPr>
          <w:rFonts w:ascii="Times New Roman" w:hAnsi="Times New Roman" w:cs="Times New Roman"/>
          <w:sz w:val="24"/>
          <w:szCs w:val="24"/>
        </w:rPr>
        <w:t>inaction. The application must be granted.</w:t>
      </w:r>
      <w:r>
        <w:rPr>
          <w:rFonts w:ascii="Times New Roman" w:hAnsi="Times New Roman" w:cs="Times New Roman"/>
          <w:sz w:val="24"/>
          <w:szCs w:val="24"/>
        </w:rPr>
        <w:t xml:space="preserve"> The law protects the diligent and not the sluggard. </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application is granted. </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under HC 2821/18 is dismissed for want of prosecution. </w:t>
      </w:r>
    </w:p>
    <w:p w:rsidR="00FC4CE0" w:rsidRDefault="00FC4CE0" w:rsidP="00FC4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costs of this application and costs in HC 2821/18 shall be paid by the respondent.  </w:t>
      </w:r>
    </w:p>
    <w:p w:rsidR="00FC4CE0" w:rsidRDefault="00FC4CE0" w:rsidP="00FC4CE0">
      <w:pPr>
        <w:spacing w:after="0" w:line="360" w:lineRule="auto"/>
        <w:jc w:val="both"/>
        <w:rPr>
          <w:rFonts w:ascii="Times New Roman" w:hAnsi="Times New Roman" w:cs="Times New Roman"/>
          <w:sz w:val="24"/>
          <w:szCs w:val="24"/>
        </w:rPr>
      </w:pPr>
    </w:p>
    <w:p w:rsidR="00FC4CE0" w:rsidRDefault="00FC4CE0" w:rsidP="00FC4CE0">
      <w:pPr>
        <w:spacing w:after="0" w:line="360" w:lineRule="auto"/>
        <w:jc w:val="both"/>
        <w:rPr>
          <w:rFonts w:ascii="Times New Roman" w:hAnsi="Times New Roman" w:cs="Times New Roman"/>
          <w:sz w:val="24"/>
          <w:szCs w:val="24"/>
        </w:rPr>
      </w:pPr>
    </w:p>
    <w:p w:rsidR="00FC4CE0" w:rsidRDefault="00FC4CE0" w:rsidP="00FC4CE0">
      <w:pPr>
        <w:spacing w:after="0" w:line="360" w:lineRule="auto"/>
        <w:jc w:val="both"/>
        <w:rPr>
          <w:rFonts w:ascii="Times New Roman" w:hAnsi="Times New Roman" w:cs="Times New Roman"/>
          <w:sz w:val="24"/>
          <w:szCs w:val="24"/>
        </w:rPr>
      </w:pPr>
    </w:p>
    <w:p w:rsidR="005A685B" w:rsidRDefault="005A685B" w:rsidP="005A685B">
      <w:pPr>
        <w:spacing w:after="0" w:line="240" w:lineRule="auto"/>
        <w:jc w:val="both"/>
        <w:rPr>
          <w:rFonts w:ascii="Times New Roman" w:hAnsi="Times New Roman" w:cs="Times New Roman"/>
          <w:sz w:val="24"/>
          <w:szCs w:val="24"/>
        </w:rPr>
      </w:pPr>
      <w:r w:rsidRPr="005A685B">
        <w:rPr>
          <w:rFonts w:ascii="Times New Roman" w:hAnsi="Times New Roman" w:cs="Times New Roman"/>
          <w:i/>
          <w:sz w:val="24"/>
          <w:szCs w:val="24"/>
        </w:rPr>
        <w:t>Muzangaza Mandaza &amp; Tomana</w:t>
      </w:r>
      <w:r>
        <w:rPr>
          <w:rFonts w:ascii="Times New Roman" w:hAnsi="Times New Roman" w:cs="Times New Roman"/>
          <w:sz w:val="24"/>
          <w:szCs w:val="24"/>
        </w:rPr>
        <w:t>, 1</w:t>
      </w:r>
      <w:r w:rsidRPr="005A685B">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5A685B">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w:t>
      </w:r>
    </w:p>
    <w:p w:rsidR="00FC4CE0" w:rsidRPr="00BF4F88" w:rsidRDefault="005A685B" w:rsidP="005A685B">
      <w:pPr>
        <w:spacing w:after="0" w:line="240" w:lineRule="auto"/>
        <w:jc w:val="both"/>
        <w:rPr>
          <w:rFonts w:ascii="Times New Roman" w:hAnsi="Times New Roman" w:cs="Times New Roman"/>
          <w:sz w:val="24"/>
          <w:szCs w:val="24"/>
        </w:rPr>
      </w:pPr>
      <w:r w:rsidRPr="005A685B">
        <w:rPr>
          <w:rFonts w:ascii="Times New Roman" w:hAnsi="Times New Roman" w:cs="Times New Roman"/>
          <w:i/>
          <w:sz w:val="24"/>
          <w:szCs w:val="24"/>
        </w:rPr>
        <w:t>Lovemore Madhuku Lawyers</w:t>
      </w:r>
      <w:r>
        <w:rPr>
          <w:rFonts w:ascii="Times New Roman" w:hAnsi="Times New Roman" w:cs="Times New Roman"/>
          <w:sz w:val="24"/>
          <w:szCs w:val="24"/>
        </w:rPr>
        <w:t>, respondent’s legal practitioners</w:t>
      </w:r>
      <w:r w:rsidR="00FC4CE0">
        <w:rPr>
          <w:rFonts w:ascii="Times New Roman" w:hAnsi="Times New Roman" w:cs="Times New Roman"/>
          <w:sz w:val="24"/>
          <w:szCs w:val="24"/>
        </w:rPr>
        <w:t xml:space="preserve">    </w:t>
      </w:r>
    </w:p>
    <w:p w:rsidR="00FC4CE0" w:rsidRPr="00BF4F88" w:rsidRDefault="00FC4CE0" w:rsidP="00FC4CE0">
      <w:pPr>
        <w:spacing w:after="0" w:line="360" w:lineRule="auto"/>
        <w:jc w:val="both"/>
        <w:rPr>
          <w:rFonts w:ascii="Times New Roman" w:hAnsi="Times New Roman" w:cs="Times New Roman"/>
          <w:sz w:val="24"/>
          <w:szCs w:val="24"/>
        </w:rPr>
      </w:pPr>
    </w:p>
    <w:p w:rsidR="00267C3C" w:rsidRDefault="00267C3C" w:rsidP="00267C3C">
      <w:pPr>
        <w:spacing w:after="0" w:line="360" w:lineRule="auto"/>
        <w:jc w:val="both"/>
        <w:rPr>
          <w:rFonts w:ascii="Times New Roman" w:hAnsi="Times New Roman" w:cs="Times New Roman"/>
          <w:sz w:val="24"/>
          <w:szCs w:val="24"/>
        </w:rPr>
      </w:pPr>
    </w:p>
    <w:sectPr w:rsidR="00267C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07" w:rsidRDefault="00242207" w:rsidP="007D4384">
      <w:pPr>
        <w:spacing w:after="0" w:line="240" w:lineRule="auto"/>
      </w:pPr>
      <w:r>
        <w:separator/>
      </w:r>
    </w:p>
  </w:endnote>
  <w:endnote w:type="continuationSeparator" w:id="0">
    <w:p w:rsidR="00242207" w:rsidRDefault="00242207" w:rsidP="007D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07" w:rsidRDefault="00242207" w:rsidP="007D4384">
      <w:pPr>
        <w:spacing w:after="0" w:line="240" w:lineRule="auto"/>
      </w:pPr>
      <w:r>
        <w:separator/>
      </w:r>
    </w:p>
  </w:footnote>
  <w:footnote w:type="continuationSeparator" w:id="0">
    <w:p w:rsidR="00242207" w:rsidRDefault="00242207" w:rsidP="007D4384">
      <w:pPr>
        <w:spacing w:after="0" w:line="240" w:lineRule="auto"/>
      </w:pPr>
      <w:r>
        <w:continuationSeparator/>
      </w:r>
    </w:p>
  </w:footnote>
  <w:footnote w:id="1">
    <w:p w:rsidR="005138A3" w:rsidRPr="005138A3" w:rsidRDefault="005138A3">
      <w:pPr>
        <w:pStyle w:val="FootnoteText"/>
        <w:rPr>
          <w:lang w:val="en-ZW"/>
        </w:rPr>
      </w:pPr>
      <w:r>
        <w:rPr>
          <w:rStyle w:val="FootnoteReference"/>
        </w:rPr>
        <w:footnoteRef/>
      </w:r>
      <w:r>
        <w:t xml:space="preserve"> </w:t>
      </w:r>
      <w:r w:rsidR="00AA01D0">
        <w:rPr>
          <w:lang w:val="en-ZW"/>
        </w:rPr>
        <w:t>Madzivire &amp; Ors v Zvarivadza 2006 (1) ZLR 514 (S)</w:t>
      </w:r>
    </w:p>
  </w:footnote>
  <w:footnote w:id="2">
    <w:p w:rsidR="00267C3C" w:rsidRDefault="00267C3C" w:rsidP="00267C3C">
      <w:pPr>
        <w:pStyle w:val="FootnoteText"/>
      </w:pPr>
      <w:r>
        <w:rPr>
          <w:rStyle w:val="FootnoteReference"/>
        </w:rPr>
        <w:footnoteRef/>
      </w:r>
      <w:r w:rsidR="00242F9E">
        <w:t xml:space="preserve"> Automatic Self C</w:t>
      </w:r>
      <w:r>
        <w:t xml:space="preserve">leansing </w:t>
      </w:r>
      <w:r w:rsidR="00242F9E">
        <w:t>Filter S</w:t>
      </w:r>
      <w:r>
        <w:t>yndicate Co Ltd v Cunning name (1906) 2Ch 34 @ 42-43</w:t>
      </w:r>
      <w:r w:rsidR="00242F9E">
        <w:t xml:space="preserve"> ;</w:t>
      </w:r>
    </w:p>
    <w:p w:rsidR="00267C3C" w:rsidRDefault="00267C3C" w:rsidP="00267C3C">
      <w:pPr>
        <w:pStyle w:val="FootnoteText"/>
      </w:pPr>
      <w:r>
        <w:t>Scott v Scott (1943) 1 ALL ER 582</w:t>
      </w:r>
    </w:p>
  </w:footnote>
  <w:footnote w:id="3">
    <w:p w:rsidR="00F75E63" w:rsidRPr="00F75E63" w:rsidRDefault="00F75E63">
      <w:pPr>
        <w:pStyle w:val="FootnoteText"/>
        <w:rPr>
          <w:lang w:val="en-ZW"/>
        </w:rPr>
      </w:pPr>
      <w:r>
        <w:rPr>
          <w:rStyle w:val="FootnoteReference"/>
        </w:rPr>
        <w:footnoteRef/>
      </w:r>
      <w:r>
        <w:t xml:space="preserve"> </w:t>
      </w:r>
      <w:r>
        <w:rPr>
          <w:lang w:val="en-ZW"/>
        </w:rPr>
        <w:t xml:space="preserve"> 2001  (1) ZLR  249 (H)  at p250 D- E</w:t>
      </w:r>
    </w:p>
  </w:footnote>
  <w:footnote w:id="4">
    <w:p w:rsidR="000E67FB" w:rsidRPr="000E67FB" w:rsidRDefault="000E67FB">
      <w:pPr>
        <w:pStyle w:val="FootnoteText"/>
        <w:rPr>
          <w:lang w:val="en-ZW"/>
        </w:rPr>
      </w:pPr>
      <w:r>
        <w:rPr>
          <w:rStyle w:val="FootnoteReference"/>
        </w:rPr>
        <w:footnoteRef/>
      </w:r>
      <w:r>
        <w:t xml:space="preserve"> </w:t>
      </w:r>
      <w:r>
        <w:rPr>
          <w:lang w:val="en-ZW"/>
        </w:rPr>
        <w:t xml:space="preserve"> 1992 (2) ZLR 288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909688"/>
      <w:docPartObj>
        <w:docPartGallery w:val="Page Numbers (Top of Page)"/>
        <w:docPartUnique/>
      </w:docPartObj>
    </w:sdtPr>
    <w:sdtEndPr>
      <w:rPr>
        <w:noProof/>
      </w:rPr>
    </w:sdtEndPr>
    <w:sdtContent>
      <w:p w:rsidR="007D4384" w:rsidRDefault="007D4384">
        <w:pPr>
          <w:pStyle w:val="Header"/>
          <w:jc w:val="right"/>
          <w:rPr>
            <w:noProof/>
          </w:rPr>
        </w:pPr>
        <w:r>
          <w:fldChar w:fldCharType="begin"/>
        </w:r>
        <w:r>
          <w:instrText xml:space="preserve"> PAGE   \* MERGEFORMAT </w:instrText>
        </w:r>
        <w:r>
          <w:fldChar w:fldCharType="separate"/>
        </w:r>
        <w:r w:rsidR="006738EB">
          <w:rPr>
            <w:noProof/>
          </w:rPr>
          <w:t>1</w:t>
        </w:r>
        <w:r>
          <w:rPr>
            <w:noProof/>
          </w:rPr>
          <w:fldChar w:fldCharType="end"/>
        </w:r>
      </w:p>
      <w:p w:rsidR="007D4384" w:rsidRDefault="007D4384">
        <w:pPr>
          <w:pStyle w:val="Header"/>
          <w:jc w:val="right"/>
          <w:rPr>
            <w:noProof/>
          </w:rPr>
        </w:pPr>
        <w:r>
          <w:rPr>
            <w:noProof/>
          </w:rPr>
          <w:t>HH</w:t>
        </w:r>
        <w:r w:rsidR="00FD6178">
          <w:rPr>
            <w:noProof/>
          </w:rPr>
          <w:t xml:space="preserve"> 35</w:t>
        </w:r>
        <w:r w:rsidR="00272678">
          <w:rPr>
            <w:noProof/>
          </w:rPr>
          <w:t>4</w:t>
        </w:r>
        <w:r w:rsidR="00FD6178">
          <w:rPr>
            <w:noProof/>
          </w:rPr>
          <w:t xml:space="preserve"> -21</w:t>
        </w:r>
      </w:p>
      <w:p w:rsidR="00B9057A" w:rsidRDefault="00B9057A">
        <w:pPr>
          <w:pStyle w:val="Header"/>
          <w:jc w:val="right"/>
          <w:rPr>
            <w:noProof/>
          </w:rPr>
        </w:pPr>
        <w:r>
          <w:rPr>
            <w:noProof/>
          </w:rPr>
          <w:t>HC 6407</w:t>
        </w:r>
        <w:r w:rsidR="007D4384">
          <w:rPr>
            <w:noProof/>
          </w:rPr>
          <w:t>/19</w:t>
        </w:r>
      </w:p>
      <w:p w:rsidR="007D4384" w:rsidRDefault="00B9057A">
        <w:pPr>
          <w:pStyle w:val="Header"/>
          <w:jc w:val="right"/>
        </w:pPr>
        <w:r>
          <w:rPr>
            <w:noProof/>
          </w:rPr>
          <w:t>REF CASE HC 2821/18</w:t>
        </w:r>
      </w:p>
    </w:sdtContent>
  </w:sdt>
  <w:p w:rsidR="007D4384" w:rsidRDefault="007D4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84"/>
    <w:rsid w:val="000233C4"/>
    <w:rsid w:val="00025637"/>
    <w:rsid w:val="00070B79"/>
    <w:rsid w:val="00075374"/>
    <w:rsid w:val="000E67FB"/>
    <w:rsid w:val="001225C3"/>
    <w:rsid w:val="00135B70"/>
    <w:rsid w:val="001A09C7"/>
    <w:rsid w:val="00242207"/>
    <w:rsid w:val="00242F9E"/>
    <w:rsid w:val="00245F9B"/>
    <w:rsid w:val="00267C3C"/>
    <w:rsid w:val="00272678"/>
    <w:rsid w:val="00382337"/>
    <w:rsid w:val="00387623"/>
    <w:rsid w:val="003B2933"/>
    <w:rsid w:val="003F745B"/>
    <w:rsid w:val="00403017"/>
    <w:rsid w:val="004624F0"/>
    <w:rsid w:val="005138A3"/>
    <w:rsid w:val="00560588"/>
    <w:rsid w:val="005765F6"/>
    <w:rsid w:val="005A685B"/>
    <w:rsid w:val="005B4281"/>
    <w:rsid w:val="005D4E8D"/>
    <w:rsid w:val="00632700"/>
    <w:rsid w:val="006738EB"/>
    <w:rsid w:val="00691C17"/>
    <w:rsid w:val="00694911"/>
    <w:rsid w:val="0078080D"/>
    <w:rsid w:val="007D4384"/>
    <w:rsid w:val="00890CAB"/>
    <w:rsid w:val="008D5431"/>
    <w:rsid w:val="008E12B8"/>
    <w:rsid w:val="009A778C"/>
    <w:rsid w:val="009D5B3B"/>
    <w:rsid w:val="00A145F0"/>
    <w:rsid w:val="00A67606"/>
    <w:rsid w:val="00AA01D0"/>
    <w:rsid w:val="00AC6BEF"/>
    <w:rsid w:val="00B14019"/>
    <w:rsid w:val="00B9057A"/>
    <w:rsid w:val="00C02D7B"/>
    <w:rsid w:val="00C46CA5"/>
    <w:rsid w:val="00D7727E"/>
    <w:rsid w:val="00D93F4E"/>
    <w:rsid w:val="00E85F8E"/>
    <w:rsid w:val="00EA3E20"/>
    <w:rsid w:val="00EB4486"/>
    <w:rsid w:val="00F75E63"/>
    <w:rsid w:val="00FC4CE0"/>
    <w:rsid w:val="00FD61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97EFF-4E3F-46C0-98BF-4215B48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384"/>
  </w:style>
  <w:style w:type="paragraph" w:styleId="Footer">
    <w:name w:val="footer"/>
    <w:basedOn w:val="Normal"/>
    <w:link w:val="FooterChar"/>
    <w:uiPriority w:val="99"/>
    <w:unhideWhenUsed/>
    <w:rsid w:val="007D4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384"/>
  </w:style>
  <w:style w:type="paragraph" w:styleId="FootnoteText">
    <w:name w:val="footnote text"/>
    <w:basedOn w:val="Normal"/>
    <w:link w:val="FootnoteTextChar"/>
    <w:uiPriority w:val="99"/>
    <w:semiHidden/>
    <w:unhideWhenUsed/>
    <w:rsid w:val="00267C3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67C3C"/>
    <w:rPr>
      <w:sz w:val="20"/>
      <w:szCs w:val="20"/>
      <w:lang w:val="en-US"/>
    </w:rPr>
  </w:style>
  <w:style w:type="character" w:styleId="FootnoteReference">
    <w:name w:val="footnote reference"/>
    <w:basedOn w:val="DefaultParagraphFont"/>
    <w:uiPriority w:val="99"/>
    <w:semiHidden/>
    <w:unhideWhenUsed/>
    <w:rsid w:val="00267C3C"/>
    <w:rPr>
      <w:vertAlign w:val="superscript"/>
    </w:rPr>
  </w:style>
  <w:style w:type="paragraph" w:styleId="BalloonText">
    <w:name w:val="Balloon Text"/>
    <w:basedOn w:val="Normal"/>
    <w:link w:val="BalloonTextChar"/>
    <w:uiPriority w:val="99"/>
    <w:semiHidden/>
    <w:unhideWhenUsed/>
    <w:rsid w:val="00694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DAF06-F809-463B-AC04-36AF541E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2021-07-08T12:49:00Z</cp:lastPrinted>
  <dcterms:created xsi:type="dcterms:W3CDTF">2021-07-09T08:17:00Z</dcterms:created>
  <dcterms:modified xsi:type="dcterms:W3CDTF">2021-07-09T08:17:00Z</dcterms:modified>
</cp:coreProperties>
</file>