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10" w:rsidRPr="00047C13" w:rsidRDefault="00A75210" w:rsidP="00A75210">
      <w:pPr>
        <w:spacing w:line="360" w:lineRule="auto"/>
        <w:jc w:val="both"/>
        <w:rPr>
          <w:b/>
        </w:rPr>
      </w:pPr>
      <w:r w:rsidRPr="00047C13">
        <w:rPr>
          <w:b/>
        </w:rPr>
        <w:t>IN T</w:t>
      </w:r>
      <w:r>
        <w:rPr>
          <w:b/>
        </w:rPr>
        <w:t>HE LABOUR COURT OF ZIMBABWE      JUDGMENT NO. LC/H/</w:t>
      </w:r>
      <w:r w:rsidR="003550B2">
        <w:rPr>
          <w:b/>
        </w:rPr>
        <w:t>193</w:t>
      </w:r>
      <w:r>
        <w:rPr>
          <w:b/>
        </w:rPr>
        <w:t>/2016</w:t>
      </w:r>
    </w:p>
    <w:p w:rsidR="00A75210" w:rsidRDefault="00A75210" w:rsidP="00A75210">
      <w:pPr>
        <w:spacing w:line="360" w:lineRule="auto"/>
        <w:jc w:val="both"/>
        <w:rPr>
          <w:b/>
        </w:rPr>
      </w:pPr>
      <w:r w:rsidRPr="00047C13">
        <w:rPr>
          <w:b/>
        </w:rPr>
        <w:t xml:space="preserve">HARARE, </w:t>
      </w:r>
      <w:r>
        <w:rPr>
          <w:b/>
        </w:rPr>
        <w:t xml:space="preserve">19 FEBRUARY 2016 </w:t>
      </w:r>
      <w:r>
        <w:rPr>
          <w:b/>
        </w:rPr>
        <w:tab/>
      </w:r>
      <w:r>
        <w:rPr>
          <w:b/>
        </w:rPr>
        <w:tab/>
      </w:r>
      <w:r>
        <w:rPr>
          <w:b/>
        </w:rPr>
        <w:tab/>
        <w:t xml:space="preserve">     </w:t>
      </w:r>
      <w:r>
        <w:rPr>
          <w:b/>
        </w:rPr>
        <w:tab/>
      </w:r>
      <w:r w:rsidRPr="00047C13">
        <w:rPr>
          <w:b/>
        </w:rPr>
        <w:t>CASE NO. LC/H/</w:t>
      </w:r>
      <w:r w:rsidR="00DB563B">
        <w:rPr>
          <w:b/>
        </w:rPr>
        <w:t>909</w:t>
      </w:r>
      <w:bookmarkStart w:id="0" w:name="_GoBack"/>
      <w:bookmarkEnd w:id="0"/>
      <w:r>
        <w:rPr>
          <w:b/>
        </w:rPr>
        <w:t>/14</w:t>
      </w:r>
    </w:p>
    <w:p w:rsidR="00A75210" w:rsidRDefault="00A75210" w:rsidP="00A75210">
      <w:pPr>
        <w:spacing w:line="360" w:lineRule="auto"/>
        <w:jc w:val="both"/>
        <w:rPr>
          <w:b/>
        </w:rPr>
      </w:pPr>
      <w:r>
        <w:rPr>
          <w:b/>
        </w:rPr>
        <w:t xml:space="preserve">AND </w:t>
      </w:r>
      <w:r w:rsidR="003550B2">
        <w:rPr>
          <w:b/>
        </w:rPr>
        <w:t>8 APRIL</w:t>
      </w:r>
      <w:r>
        <w:rPr>
          <w:b/>
        </w:rPr>
        <w:t xml:space="preserve"> 2016</w:t>
      </w:r>
    </w:p>
    <w:p w:rsidR="00A75210" w:rsidRPr="00047C13" w:rsidRDefault="00A75210" w:rsidP="00A75210">
      <w:pPr>
        <w:spacing w:line="360" w:lineRule="auto"/>
        <w:jc w:val="both"/>
      </w:pPr>
      <w:r w:rsidRPr="00047C13">
        <w:t>In the matter between</w:t>
      </w:r>
      <w:r>
        <w:t>:-</w:t>
      </w:r>
    </w:p>
    <w:p w:rsidR="00A75210" w:rsidRPr="00047C13" w:rsidRDefault="00A75210" w:rsidP="00A75210">
      <w:pPr>
        <w:spacing w:line="360" w:lineRule="auto"/>
        <w:jc w:val="both"/>
      </w:pPr>
    </w:p>
    <w:p w:rsidR="00A75210" w:rsidRPr="00047C13" w:rsidRDefault="00A75210" w:rsidP="00A75210">
      <w:pPr>
        <w:spacing w:line="360" w:lineRule="auto"/>
        <w:jc w:val="both"/>
        <w:rPr>
          <w:b/>
        </w:rPr>
      </w:pPr>
      <w:r>
        <w:rPr>
          <w:b/>
        </w:rPr>
        <w:t>PIONEER TRANSPORT</w:t>
      </w:r>
      <w:r w:rsidR="006F6D4F">
        <w:rPr>
          <w:b/>
        </w:rPr>
        <w:tab/>
      </w:r>
      <w:r w:rsidR="006F6D4F">
        <w:rPr>
          <w:b/>
        </w:rPr>
        <w:tab/>
      </w:r>
      <w:r w:rsidR="006F6D4F">
        <w:rPr>
          <w:b/>
        </w:rPr>
        <w:tab/>
      </w:r>
      <w:r w:rsidR="006F6D4F">
        <w:rPr>
          <w:b/>
        </w:rPr>
        <w:tab/>
      </w:r>
      <w:r w:rsidR="006F6D4F">
        <w:rPr>
          <w:b/>
        </w:rPr>
        <w:tab/>
      </w:r>
      <w:r>
        <w:rPr>
          <w:b/>
        </w:rPr>
        <w:tab/>
        <w:t>Appellant</w:t>
      </w:r>
    </w:p>
    <w:p w:rsidR="00A75210" w:rsidRPr="00047C13" w:rsidRDefault="00A75210" w:rsidP="00A75210">
      <w:pPr>
        <w:tabs>
          <w:tab w:val="left" w:pos="1995"/>
        </w:tabs>
        <w:spacing w:line="360" w:lineRule="auto"/>
        <w:jc w:val="both"/>
        <w:outlineLvl w:val="0"/>
      </w:pPr>
      <w:r w:rsidRPr="00047C13">
        <w:t>And</w:t>
      </w:r>
      <w:r w:rsidRPr="00047C13">
        <w:tab/>
      </w:r>
    </w:p>
    <w:p w:rsidR="00A75210" w:rsidRDefault="006F6D4F" w:rsidP="00A75210">
      <w:pPr>
        <w:spacing w:line="360" w:lineRule="auto"/>
        <w:jc w:val="both"/>
        <w:rPr>
          <w:b/>
        </w:rPr>
      </w:pPr>
      <w:r>
        <w:rPr>
          <w:b/>
        </w:rPr>
        <w:t>ANGELA DANDADZI</w:t>
      </w:r>
      <w:r w:rsidR="00A75210">
        <w:rPr>
          <w:b/>
        </w:rPr>
        <w:tab/>
      </w:r>
      <w:r>
        <w:rPr>
          <w:b/>
        </w:rPr>
        <w:tab/>
      </w:r>
      <w:r>
        <w:rPr>
          <w:b/>
        </w:rPr>
        <w:tab/>
      </w:r>
      <w:r>
        <w:rPr>
          <w:b/>
        </w:rPr>
        <w:tab/>
      </w:r>
      <w:r>
        <w:rPr>
          <w:b/>
        </w:rPr>
        <w:tab/>
      </w:r>
      <w:r w:rsidR="00A75210">
        <w:rPr>
          <w:b/>
        </w:rPr>
        <w:tab/>
        <w:t>Respondent</w:t>
      </w:r>
    </w:p>
    <w:p w:rsidR="00A75210" w:rsidRPr="00047C13" w:rsidRDefault="00A75210" w:rsidP="00A75210">
      <w:pPr>
        <w:spacing w:line="360" w:lineRule="auto"/>
        <w:jc w:val="both"/>
        <w:rPr>
          <w:b/>
        </w:rPr>
      </w:pPr>
    </w:p>
    <w:p w:rsidR="00A75210" w:rsidRDefault="00A75210" w:rsidP="00A75210">
      <w:pPr>
        <w:spacing w:line="360" w:lineRule="auto"/>
        <w:jc w:val="both"/>
        <w:outlineLvl w:val="0"/>
      </w:pPr>
      <w:r>
        <w:t xml:space="preserve">Before Honourable L.M. Murasi, Judge                             </w:t>
      </w:r>
    </w:p>
    <w:p w:rsidR="00A75210" w:rsidRPr="00047C13" w:rsidRDefault="00A75210" w:rsidP="00A75210">
      <w:pPr>
        <w:spacing w:line="360" w:lineRule="auto"/>
        <w:jc w:val="both"/>
      </w:pPr>
      <w:r w:rsidRPr="00047C13">
        <w:tab/>
      </w:r>
      <w:r w:rsidRPr="00047C13">
        <w:tab/>
      </w:r>
      <w:r w:rsidRPr="00047C13">
        <w:tab/>
      </w:r>
    </w:p>
    <w:p w:rsidR="00A75210" w:rsidRPr="00047C13" w:rsidRDefault="00A75210" w:rsidP="006F6D4F">
      <w:pPr>
        <w:spacing w:line="360" w:lineRule="auto"/>
        <w:rPr>
          <w:b/>
        </w:rPr>
      </w:pPr>
      <w:r>
        <w:rPr>
          <w:b/>
        </w:rPr>
        <w:t xml:space="preserve">For </w:t>
      </w:r>
      <w:r w:rsidRPr="00047C13">
        <w:rPr>
          <w:b/>
        </w:rPr>
        <w:t>App</w:t>
      </w:r>
      <w:r>
        <w:rPr>
          <w:b/>
        </w:rPr>
        <w:t>ellant</w:t>
      </w:r>
      <w:r w:rsidR="006F6D4F">
        <w:rPr>
          <w:b/>
        </w:rPr>
        <w:tab/>
      </w:r>
      <w:r w:rsidRPr="00047C13">
        <w:rPr>
          <w:b/>
        </w:rPr>
        <w:tab/>
      </w:r>
      <w:r w:rsidR="00E31D02">
        <w:rPr>
          <w:b/>
        </w:rPr>
        <w:t>Mr R. Matsikidze</w:t>
      </w:r>
      <w:r>
        <w:rPr>
          <w:b/>
        </w:rPr>
        <w:t xml:space="preserve"> (Legal Practitioner)</w:t>
      </w:r>
    </w:p>
    <w:p w:rsidR="00A75210" w:rsidRDefault="006F6D4F" w:rsidP="00A75210">
      <w:pPr>
        <w:spacing w:line="360" w:lineRule="auto"/>
        <w:jc w:val="both"/>
        <w:rPr>
          <w:b/>
        </w:rPr>
      </w:pPr>
      <w:r>
        <w:rPr>
          <w:b/>
        </w:rPr>
        <w:t>For Respondent</w:t>
      </w:r>
      <w:r>
        <w:rPr>
          <w:b/>
        </w:rPr>
        <w:tab/>
      </w:r>
      <w:r w:rsidR="00A75210">
        <w:rPr>
          <w:b/>
        </w:rPr>
        <w:tab/>
        <w:t xml:space="preserve">Mr. </w:t>
      </w:r>
      <w:r w:rsidR="00533713">
        <w:rPr>
          <w:b/>
        </w:rPr>
        <w:t>M. Hungwe</w:t>
      </w:r>
      <w:r w:rsidR="00A75210">
        <w:rPr>
          <w:b/>
        </w:rPr>
        <w:t xml:space="preserve"> (Legal Practitioner)</w:t>
      </w:r>
    </w:p>
    <w:p w:rsidR="00A75210" w:rsidRPr="00047C13" w:rsidRDefault="00A75210" w:rsidP="00A75210">
      <w:pPr>
        <w:spacing w:line="360" w:lineRule="auto"/>
        <w:jc w:val="both"/>
        <w:rPr>
          <w:b/>
        </w:rPr>
      </w:pPr>
    </w:p>
    <w:p w:rsidR="00A75210" w:rsidRDefault="00A75210" w:rsidP="00A75210">
      <w:pPr>
        <w:spacing w:line="360" w:lineRule="auto"/>
        <w:jc w:val="both"/>
        <w:outlineLvl w:val="0"/>
        <w:rPr>
          <w:b/>
        </w:rPr>
      </w:pPr>
      <w:r>
        <w:rPr>
          <w:b/>
        </w:rPr>
        <w:t>MURASI J:</w:t>
      </w:r>
    </w:p>
    <w:p w:rsidR="0068335F" w:rsidRDefault="0068335F" w:rsidP="00570901">
      <w:pPr>
        <w:spacing w:line="360" w:lineRule="auto"/>
        <w:jc w:val="both"/>
      </w:pPr>
    </w:p>
    <w:p w:rsidR="00570901" w:rsidRDefault="00570901" w:rsidP="00F220E8">
      <w:pPr>
        <w:spacing w:line="360" w:lineRule="auto"/>
        <w:ind w:firstLine="720"/>
        <w:jc w:val="both"/>
      </w:pPr>
      <w:r>
        <w:t>This is an appeal against the decision of the arbitrator who found in favour of the respondent after a hearing before that tribunal.  Most of the facts in this matter are common cause.  Appellant’s grounds of appeal are as follows:</w:t>
      </w:r>
    </w:p>
    <w:p w:rsidR="00A023BB" w:rsidRDefault="00A023BB" w:rsidP="004B2AF0">
      <w:pPr>
        <w:jc w:val="both"/>
      </w:pPr>
    </w:p>
    <w:p w:rsidR="00A023BB" w:rsidRDefault="00A023BB" w:rsidP="00A023BB">
      <w:pPr>
        <w:pStyle w:val="ListParagraph"/>
        <w:numPr>
          <w:ilvl w:val="0"/>
          <w:numId w:val="1"/>
        </w:numPr>
        <w:spacing w:line="360" w:lineRule="auto"/>
        <w:jc w:val="both"/>
      </w:pPr>
      <w:r>
        <w:t xml:space="preserve">The arbitrator </w:t>
      </w:r>
      <w:r w:rsidRPr="00B554CD">
        <w:rPr>
          <w:i/>
          <w:u w:val="single"/>
        </w:rPr>
        <w:t>a quo</w:t>
      </w:r>
      <w:r>
        <w:t xml:space="preserve"> grossly erred and misdirected himself at law in making a finding that respondent had been unfairly dismissed based on procedural irregularities</w:t>
      </w:r>
      <w:r w:rsidR="002F0221">
        <w:t xml:space="preserve"> which</w:t>
      </w:r>
      <w:r>
        <w:t xml:space="preserve"> </w:t>
      </w:r>
      <w:r w:rsidR="004770CB">
        <w:t>did not vitiate the proceedings and without alleging that respondent suffered any prejudice.</w:t>
      </w:r>
    </w:p>
    <w:p w:rsidR="004770CB" w:rsidRDefault="004770CB" w:rsidP="00A023BB">
      <w:pPr>
        <w:pStyle w:val="ListParagraph"/>
        <w:numPr>
          <w:ilvl w:val="0"/>
          <w:numId w:val="1"/>
        </w:numPr>
        <w:spacing w:line="360" w:lineRule="auto"/>
        <w:jc w:val="both"/>
      </w:pPr>
      <w:r>
        <w:t xml:space="preserve">The arbitrator grossly erred at law by failing to remit the matter for a hearing </w:t>
      </w:r>
      <w:r w:rsidRPr="00B554CD">
        <w:rPr>
          <w:i/>
          <w:u w:val="single"/>
        </w:rPr>
        <w:t>de novo</w:t>
      </w:r>
      <w:r>
        <w:t xml:space="preserve"> had the hearing not properly been done.</w:t>
      </w:r>
    </w:p>
    <w:p w:rsidR="00B554CD" w:rsidRDefault="00B554CD" w:rsidP="00A023BB">
      <w:pPr>
        <w:pStyle w:val="ListParagraph"/>
        <w:numPr>
          <w:ilvl w:val="0"/>
          <w:numId w:val="1"/>
        </w:numPr>
        <w:spacing w:line="360" w:lineRule="auto"/>
        <w:jc w:val="both"/>
      </w:pPr>
      <w:r>
        <w:t xml:space="preserve">The arbitrator </w:t>
      </w:r>
      <w:r w:rsidRPr="00390207">
        <w:rPr>
          <w:i/>
          <w:u w:val="single"/>
        </w:rPr>
        <w:t>a quo</w:t>
      </w:r>
      <w:r>
        <w:t xml:space="preserve"> erred at law in failing to make a finding on the critical issue of whether the alleged misconduct was committed and if so, to make a finding on whether dismissal was the appropriate penalty.</w:t>
      </w:r>
    </w:p>
    <w:p w:rsidR="003F7C2E" w:rsidRDefault="003F7C2E" w:rsidP="00A023BB">
      <w:pPr>
        <w:pStyle w:val="ListParagraph"/>
        <w:numPr>
          <w:ilvl w:val="0"/>
          <w:numId w:val="1"/>
        </w:numPr>
        <w:spacing w:line="360" w:lineRule="auto"/>
        <w:jc w:val="both"/>
      </w:pPr>
      <w:r>
        <w:t xml:space="preserve">The arbitrator grossly erred and misdirected (himself) at law in failing to make a finding that in terms of section 12 B (4) of the Labour Act, [Chapter 28:01] </w:t>
      </w:r>
      <w:r>
        <w:lastRenderedPageBreak/>
        <w:t>he is empowered at law to consider mitigation and aggravation at arbitration hearing and make a determination as to the appropriateness of the penalty.</w:t>
      </w:r>
    </w:p>
    <w:p w:rsidR="004A1CB0" w:rsidRDefault="004A1CB0" w:rsidP="004B2AF0">
      <w:pPr>
        <w:jc w:val="both"/>
      </w:pPr>
    </w:p>
    <w:p w:rsidR="004A1CB0" w:rsidRDefault="004A1CB0" w:rsidP="004A215F">
      <w:pPr>
        <w:spacing w:line="360" w:lineRule="auto"/>
        <w:ind w:firstLine="720"/>
        <w:jc w:val="both"/>
      </w:pPr>
      <w:r w:rsidRPr="008B1174">
        <w:rPr>
          <w:i/>
        </w:rPr>
        <w:t>Mr Matsikidze</w:t>
      </w:r>
      <w:r>
        <w:t xml:space="preserve"> for the appellant, stated that he abided by the heads of argument filed of record.  It was submitted that the arbitrator had found that procedural irregularities had been </w:t>
      </w:r>
      <w:r w:rsidR="00E27272">
        <w:t>committed</w:t>
      </w:r>
      <w:r>
        <w:t xml:space="preserve"> by</w:t>
      </w:r>
      <w:r w:rsidR="008B1174">
        <w:t xml:space="preserve"> the appellant and the correct </w:t>
      </w:r>
      <w:r w:rsidR="00AC2DCA">
        <w:t>course</w:t>
      </w:r>
      <w:r w:rsidR="008B1174">
        <w:t xml:space="preserve"> of action should have been an order for a trial </w:t>
      </w:r>
      <w:r w:rsidR="008B1174" w:rsidRPr="00524D0E">
        <w:rPr>
          <w:i/>
          <w:u w:val="single"/>
        </w:rPr>
        <w:t>de novo</w:t>
      </w:r>
      <w:r w:rsidR="008B1174">
        <w:t xml:space="preserve">.  To this end </w:t>
      </w:r>
      <w:r w:rsidR="008B1174" w:rsidRPr="00524D0E">
        <w:rPr>
          <w:i/>
        </w:rPr>
        <w:t>Mr Matsi</w:t>
      </w:r>
      <w:r w:rsidR="00524D0E" w:rsidRPr="00524D0E">
        <w:rPr>
          <w:i/>
        </w:rPr>
        <w:t>kidze</w:t>
      </w:r>
      <w:r w:rsidR="00524D0E">
        <w:t xml:space="preserve"> relied on case law.</w:t>
      </w:r>
      <w:r w:rsidR="007266A8">
        <w:t xml:space="preserve">  It was stated that by ordering the reinstatement of the respondent, the arbitrator had clearly erred as he </w:t>
      </w:r>
      <w:r w:rsidR="00273A04">
        <w:t>had not pronounced on the fact whether the respondent was guilty or innocent having regard to the charges that were preferred against her</w:t>
      </w:r>
      <w:r w:rsidR="00223443">
        <w:t>.  It was also argued that the Labour Act provided for the arbitrator to hear the mitigat</w:t>
      </w:r>
      <w:r w:rsidR="000358B8">
        <w:t xml:space="preserve">ion himself and he should have </w:t>
      </w:r>
      <w:r w:rsidR="00793037">
        <w:t>utilised</w:t>
      </w:r>
      <w:r w:rsidR="00F8630D">
        <w:t xml:space="preserve"> the provision in this </w:t>
      </w:r>
      <w:r w:rsidR="00A84858">
        <w:t xml:space="preserve">instance.  </w:t>
      </w:r>
      <w:r w:rsidR="007621B1">
        <w:rPr>
          <w:i/>
        </w:rPr>
        <w:t>Mr Ma</w:t>
      </w:r>
      <w:r w:rsidR="00A84858" w:rsidRPr="004A215F">
        <w:rPr>
          <w:i/>
        </w:rPr>
        <w:t>tsikidze</w:t>
      </w:r>
      <w:r w:rsidR="00A84858">
        <w:t xml:space="preserve"> further submitted that the respondent had not shown the extend of the bias she had suffered </w:t>
      </w:r>
      <w:r w:rsidR="002F3F0B">
        <w:t>at the behest of the Chairperson of the Disciplinary Committee.</w:t>
      </w:r>
      <w:r w:rsidR="00F8630D">
        <w:t xml:space="preserve"> </w:t>
      </w:r>
    </w:p>
    <w:p w:rsidR="00D23261" w:rsidRDefault="00D23261" w:rsidP="004B2AF0">
      <w:pPr>
        <w:ind w:firstLine="720"/>
        <w:jc w:val="both"/>
      </w:pPr>
    </w:p>
    <w:p w:rsidR="00D23261" w:rsidRDefault="00D23261" w:rsidP="004A215F">
      <w:pPr>
        <w:spacing w:line="360" w:lineRule="auto"/>
        <w:ind w:firstLine="720"/>
        <w:jc w:val="both"/>
      </w:pPr>
      <w:r w:rsidRPr="007A55A6">
        <w:rPr>
          <w:i/>
        </w:rPr>
        <w:t>Mr Hungwe</w:t>
      </w:r>
      <w:r>
        <w:t xml:space="preserve"> for the respondent</w:t>
      </w:r>
      <w:r w:rsidR="007A55A6">
        <w:t xml:space="preserve"> </w:t>
      </w:r>
      <w:r>
        <w:t>also stated that he abided by th</w:t>
      </w:r>
      <w:r w:rsidR="004F6E5B">
        <w:t xml:space="preserve">e submissions filed of record. </w:t>
      </w:r>
      <w:r w:rsidR="007A55A6">
        <w:t>He submitted that the record clearly showed the irregularities committed by appellant’s chairperson</w:t>
      </w:r>
      <w:r w:rsidR="00E247D7">
        <w:t xml:space="preserve"> during the disciplinary committee’s hearing.  The respondent, it was</w:t>
      </w:r>
      <w:r w:rsidR="00D3191B">
        <w:t xml:space="preserve"> argued, was clearly prejudiced by </w:t>
      </w:r>
      <w:r w:rsidR="00BA7069">
        <w:t>their</w:t>
      </w:r>
      <w:r w:rsidR="00D3191B">
        <w:t xml:space="preserve"> actions</w:t>
      </w:r>
      <w:r w:rsidR="00BA7069">
        <w:t xml:space="preserve">.  It was noted that the chairperson of the hearing committee had emphasised </w:t>
      </w:r>
      <w:r w:rsidR="00CB330B">
        <w:t>the respondent’s previous convictions before the hearing.  It was added that the Disci</w:t>
      </w:r>
      <w:r w:rsidR="00601FB5">
        <w:t>plinary Committee had called for aggravating evidence without hearing the mitigating features from the respondent.</w:t>
      </w:r>
      <w:r w:rsidR="00DF073F">
        <w:t xml:space="preserve">  </w:t>
      </w:r>
      <w:r w:rsidR="00DF073F" w:rsidRPr="00DF073F">
        <w:rPr>
          <w:i/>
        </w:rPr>
        <w:t>Mr Hungwe</w:t>
      </w:r>
      <w:r w:rsidR="00DF073F">
        <w:t xml:space="preserve"> further argued that the irregularities committed </w:t>
      </w:r>
      <w:r w:rsidR="00FD5A80">
        <w:t>by the hearing committee clearly vitiated the proceedings and this had led to the unfair dismissal of the respondent.  It was further submitted that the remedy for</w:t>
      </w:r>
      <w:r w:rsidR="00FB5EF3">
        <w:t xml:space="preserve"> an unfair dismissal was reinstatement which the arbitrator had awarded.  To this end, it was further argu</w:t>
      </w:r>
      <w:r w:rsidR="00ED5285">
        <w:t>ed the arbitrator’s findings were correct.</w:t>
      </w:r>
    </w:p>
    <w:p w:rsidR="00ED5285" w:rsidRDefault="00ED5285" w:rsidP="004B2AF0">
      <w:pPr>
        <w:ind w:firstLine="720"/>
        <w:jc w:val="both"/>
      </w:pPr>
    </w:p>
    <w:p w:rsidR="00ED5285" w:rsidRDefault="002566FA" w:rsidP="004A215F">
      <w:pPr>
        <w:spacing w:line="360" w:lineRule="auto"/>
        <w:ind w:firstLine="720"/>
        <w:jc w:val="both"/>
      </w:pPr>
      <w:r>
        <w:t xml:space="preserve">In determining this matter, it is pertinent to have a look at the </w:t>
      </w:r>
      <w:r w:rsidR="00DD7BA8">
        <w:t>arbitrator’s</w:t>
      </w:r>
      <w:r>
        <w:t xml:space="preserve"> findings.  At page</w:t>
      </w:r>
      <w:r w:rsidR="00DD7BA8">
        <w:t xml:space="preserve"> 6 </w:t>
      </w:r>
      <w:r w:rsidR="007621B1">
        <w:t>of</w:t>
      </w:r>
      <w:r w:rsidR="00DD7BA8">
        <w:t xml:space="preserve"> the award, the arbitrator notes the following:</w:t>
      </w:r>
    </w:p>
    <w:p w:rsidR="00CA7D62" w:rsidRPr="00CD1CB7" w:rsidRDefault="00C34458" w:rsidP="00CD1CB7">
      <w:pPr>
        <w:spacing w:line="276" w:lineRule="auto"/>
        <w:ind w:left="720"/>
        <w:jc w:val="both"/>
        <w:rPr>
          <w:sz w:val="22"/>
          <w:szCs w:val="22"/>
        </w:rPr>
      </w:pPr>
      <w:r w:rsidRPr="00CD1CB7">
        <w:rPr>
          <w:sz w:val="22"/>
          <w:szCs w:val="22"/>
        </w:rPr>
        <w:t>“In</w:t>
      </w:r>
      <w:r w:rsidR="00CA7D62" w:rsidRPr="00CD1CB7">
        <w:rPr>
          <w:sz w:val="22"/>
          <w:szCs w:val="22"/>
        </w:rPr>
        <w:t xml:space="preserve"> the present case, the emphasis on the previous warning </w:t>
      </w:r>
      <w:r w:rsidRPr="00CD1CB7">
        <w:rPr>
          <w:sz w:val="22"/>
          <w:szCs w:val="22"/>
        </w:rPr>
        <w:t>on diesel shortage</w:t>
      </w:r>
      <w:r w:rsidR="004D2AAB" w:rsidRPr="00CD1CB7">
        <w:rPr>
          <w:sz w:val="22"/>
          <w:szCs w:val="22"/>
        </w:rPr>
        <w:t xml:space="preserve"> before the commencement of the </w:t>
      </w:r>
      <w:r w:rsidR="006F30D2" w:rsidRPr="00CD1CB7">
        <w:rPr>
          <w:sz w:val="22"/>
          <w:szCs w:val="22"/>
        </w:rPr>
        <w:t>hea</w:t>
      </w:r>
      <w:r w:rsidR="0067053F" w:rsidRPr="00CD1CB7">
        <w:rPr>
          <w:sz w:val="22"/>
          <w:szCs w:val="22"/>
        </w:rPr>
        <w:t>ring, the invitation to the panel to lead the aggravating factors, the failure by the panel in mitigation</w:t>
      </w:r>
      <w:r w:rsidR="004E7DF7" w:rsidRPr="00CD1CB7">
        <w:rPr>
          <w:sz w:val="22"/>
          <w:szCs w:val="22"/>
        </w:rPr>
        <w:t xml:space="preserve"> and the panel’s failure to </w:t>
      </w:r>
      <w:r w:rsidR="004E7DF7" w:rsidRPr="00CD1CB7">
        <w:rPr>
          <w:sz w:val="22"/>
          <w:szCs w:val="22"/>
        </w:rPr>
        <w:lastRenderedPageBreak/>
        <w:t xml:space="preserve">even consider mitigation and the exercise of casting vote not provided for or agreed upon prior to the hearing in my </w:t>
      </w:r>
      <w:r w:rsidR="00A545EE" w:rsidRPr="00CD1CB7">
        <w:rPr>
          <w:sz w:val="22"/>
          <w:szCs w:val="22"/>
        </w:rPr>
        <w:t>cumulatively constitute serious misdirection on the party (part) of the Disciplinary Auth</w:t>
      </w:r>
      <w:r w:rsidR="00A966C4" w:rsidRPr="00CD1CB7">
        <w:rPr>
          <w:sz w:val="22"/>
          <w:szCs w:val="22"/>
        </w:rPr>
        <w:t>ority to warrant inter</w:t>
      </w:r>
      <w:r w:rsidR="00630181" w:rsidRPr="00CD1CB7">
        <w:rPr>
          <w:sz w:val="22"/>
          <w:szCs w:val="22"/>
        </w:rPr>
        <w:t>ference by an appellate court or tribunal.  Accordingly the tribunal holds that the c</w:t>
      </w:r>
      <w:r w:rsidR="00E25C5B" w:rsidRPr="00CD1CB7">
        <w:rPr>
          <w:sz w:val="22"/>
          <w:szCs w:val="22"/>
        </w:rPr>
        <w:t>laimant was unfairly dismissed.”</w:t>
      </w:r>
    </w:p>
    <w:p w:rsidR="00E25C5B" w:rsidRDefault="00E25C5B" w:rsidP="004B2AF0">
      <w:pPr>
        <w:ind w:firstLine="720"/>
        <w:jc w:val="both"/>
      </w:pPr>
    </w:p>
    <w:p w:rsidR="00E25C5B" w:rsidRDefault="00E25C5B" w:rsidP="004A215F">
      <w:pPr>
        <w:spacing w:line="360" w:lineRule="auto"/>
        <w:ind w:firstLine="720"/>
        <w:jc w:val="both"/>
      </w:pPr>
      <w:r>
        <w:t>The arbitrator thereafter goes on to order respondent’s reinstatement.  What is not revealed by the arbitrator’s decision is whether the extent of the procedural irregula</w:t>
      </w:r>
      <w:r w:rsidR="00EA75F1">
        <w:t xml:space="preserve">rities goes on to vitiate the proceedings.  It is also not stated whether the arbitrator therefore is of the view that the respondent is not guilty of the offences preferred </w:t>
      </w:r>
      <w:r w:rsidR="00B23682">
        <w:t>against her</w:t>
      </w:r>
      <w:r w:rsidR="00C77614">
        <w:t xml:space="preserve">.  I am in agreement with the submissions by </w:t>
      </w:r>
      <w:r w:rsidR="00C77614" w:rsidRPr="00172C09">
        <w:rPr>
          <w:i/>
        </w:rPr>
        <w:t>Mr Matsikidze</w:t>
      </w:r>
      <w:r w:rsidR="00C77614">
        <w:t xml:space="preserve"> that the nullification of proceedings on account of procedural irregularities does not necessarily lead to reinstatement</w:t>
      </w:r>
      <w:r w:rsidR="00832458">
        <w:t xml:space="preserve"> where such proceedings are set aside and the merits of the case are not determined, the parties</w:t>
      </w:r>
      <w:r w:rsidR="007A47C4">
        <w:t xml:space="preserve"> revert to the status </w:t>
      </w:r>
      <w:r w:rsidR="007A47C4" w:rsidRPr="00172C09">
        <w:rPr>
          <w:i/>
        </w:rPr>
        <w:t>quo</w:t>
      </w:r>
      <w:r w:rsidR="007A47C4">
        <w:t xml:space="preserve"> ante</w:t>
      </w:r>
      <w:r w:rsidR="00145C70">
        <w:t>,</w:t>
      </w:r>
      <w:r w:rsidR="007A47C4">
        <w:t xml:space="preserve"> to be placed before a hearing committee.</w:t>
      </w:r>
    </w:p>
    <w:p w:rsidR="00172C09" w:rsidRDefault="00172C09" w:rsidP="004B2AF0">
      <w:pPr>
        <w:ind w:firstLine="720"/>
        <w:jc w:val="both"/>
      </w:pPr>
    </w:p>
    <w:p w:rsidR="00172C09" w:rsidRDefault="00AD11C0" w:rsidP="004A215F">
      <w:pPr>
        <w:spacing w:line="360" w:lineRule="auto"/>
        <w:ind w:firstLine="720"/>
        <w:jc w:val="both"/>
      </w:pPr>
      <w:r>
        <w:t xml:space="preserve">It is my view that the arbitrator, having found gross procedural irregularities, should have ordered a hearing </w:t>
      </w:r>
      <w:r w:rsidRPr="002B0CF9">
        <w:rPr>
          <w:i/>
          <w:u w:val="single"/>
        </w:rPr>
        <w:t>de novo</w:t>
      </w:r>
      <w:r>
        <w:t xml:space="preserve">.  I understood </w:t>
      </w:r>
      <w:r w:rsidRPr="00885455">
        <w:rPr>
          <w:i/>
        </w:rPr>
        <w:t xml:space="preserve">Mr </w:t>
      </w:r>
      <w:r w:rsidR="003D1057" w:rsidRPr="00885455">
        <w:rPr>
          <w:i/>
        </w:rPr>
        <w:t>Matsikidze</w:t>
      </w:r>
      <w:r w:rsidR="003D1057">
        <w:t xml:space="preserve"> in his submissions to state that appellant was willing to subject itself to a re-hearing even before a different independent arbitrator.</w:t>
      </w:r>
    </w:p>
    <w:p w:rsidR="00496109" w:rsidRDefault="00496109" w:rsidP="004B2AF0">
      <w:pPr>
        <w:ind w:firstLine="720"/>
        <w:jc w:val="both"/>
      </w:pPr>
    </w:p>
    <w:p w:rsidR="00496109" w:rsidRDefault="00496109" w:rsidP="004A215F">
      <w:pPr>
        <w:spacing w:line="360" w:lineRule="auto"/>
        <w:ind w:firstLine="720"/>
        <w:jc w:val="both"/>
      </w:pPr>
      <w:r w:rsidRPr="00582145">
        <w:rPr>
          <w:i/>
        </w:rPr>
        <w:t>In casu</w:t>
      </w:r>
      <w:r w:rsidR="00571667">
        <w:t>, I am of the view that the actions of the Chairperson of the Disciplinary C</w:t>
      </w:r>
      <w:r w:rsidR="002E00A7">
        <w:t xml:space="preserve">ommittee did not lead to a fair hearing.  However the remedy for the gross irregularity was not reinstatement but a trial </w:t>
      </w:r>
      <w:r w:rsidR="002E00A7" w:rsidRPr="00B468E8">
        <w:rPr>
          <w:i/>
          <w:u w:val="single"/>
        </w:rPr>
        <w:t>de novo</w:t>
      </w:r>
      <w:r w:rsidR="002E00A7">
        <w:t>.  Generally an appellate court will not interfer with the decision of a lower court or tribuna</w:t>
      </w:r>
      <w:r w:rsidR="004D68E7">
        <w:t xml:space="preserve">l </w:t>
      </w:r>
      <w:r w:rsidR="00B1261E">
        <w:t>unless there is evidence of gross misdirection.  A su</w:t>
      </w:r>
      <w:r w:rsidR="00885455">
        <w:t xml:space="preserve">bstantial wrong or miscarriage of </w:t>
      </w:r>
      <w:r w:rsidR="00222425">
        <w:t>justice would be occasioned by allowing the decision of the arbitrator to stand (See</w:t>
      </w:r>
      <w:r w:rsidR="005D3369">
        <w:t xml:space="preserve"> generally </w:t>
      </w:r>
      <w:r w:rsidR="005D3369" w:rsidRPr="00B8171D">
        <w:rPr>
          <w:i/>
        </w:rPr>
        <w:t>Levy</w:t>
      </w:r>
      <w:r w:rsidR="005D3369">
        <w:t xml:space="preserve"> vs </w:t>
      </w:r>
      <w:r w:rsidR="005D3369" w:rsidRPr="00B8171D">
        <w:rPr>
          <w:i/>
        </w:rPr>
        <w:t>Modus Publications</w:t>
      </w:r>
      <w:r w:rsidR="005D3369">
        <w:t xml:space="preserve"> 1998 (1) ZLR 229 (S)).  The arbitrator’s award cannot be allowed to stand.</w:t>
      </w:r>
    </w:p>
    <w:p w:rsidR="00451907" w:rsidRDefault="00451907" w:rsidP="004A215F">
      <w:pPr>
        <w:spacing w:line="360" w:lineRule="auto"/>
        <w:ind w:firstLine="720"/>
        <w:jc w:val="both"/>
      </w:pPr>
    </w:p>
    <w:p w:rsidR="00451907" w:rsidRDefault="00451907" w:rsidP="004A215F">
      <w:pPr>
        <w:spacing w:line="360" w:lineRule="auto"/>
        <w:ind w:firstLine="720"/>
        <w:jc w:val="both"/>
      </w:pPr>
      <w:r>
        <w:t>In conclusion t</w:t>
      </w:r>
      <w:r w:rsidR="006C3CC0">
        <w:t>he appeal succeeds to the extent</w:t>
      </w:r>
      <w:r>
        <w:t xml:space="preserve"> that the arbitrator fell into error by not </w:t>
      </w:r>
      <w:r w:rsidR="00901CAA">
        <w:t xml:space="preserve">ordering a hearing </w:t>
      </w:r>
      <w:r w:rsidR="00901CAA" w:rsidRPr="007D54B1">
        <w:rPr>
          <w:i/>
          <w:u w:val="single"/>
        </w:rPr>
        <w:t>de novo</w:t>
      </w:r>
      <w:r w:rsidR="00901CAA">
        <w:t>.</w:t>
      </w:r>
    </w:p>
    <w:p w:rsidR="007D54B1" w:rsidRDefault="007D54B1" w:rsidP="004B2AF0">
      <w:pPr>
        <w:jc w:val="both"/>
      </w:pPr>
    </w:p>
    <w:p w:rsidR="007D54B1" w:rsidRDefault="007D54B1" w:rsidP="007D54B1">
      <w:pPr>
        <w:spacing w:line="360" w:lineRule="auto"/>
        <w:jc w:val="both"/>
      </w:pPr>
      <w:r>
        <w:t>In the result, the Court makes the following order:</w:t>
      </w:r>
    </w:p>
    <w:p w:rsidR="001B2A52" w:rsidRDefault="001B2A52" w:rsidP="004B2AF0">
      <w:pPr>
        <w:jc w:val="both"/>
      </w:pPr>
    </w:p>
    <w:p w:rsidR="001B2A52" w:rsidRDefault="001B2A52" w:rsidP="001B2A52">
      <w:pPr>
        <w:pStyle w:val="ListParagraph"/>
        <w:numPr>
          <w:ilvl w:val="0"/>
          <w:numId w:val="2"/>
        </w:numPr>
        <w:spacing w:line="360" w:lineRule="auto"/>
        <w:jc w:val="both"/>
      </w:pPr>
      <w:r>
        <w:lastRenderedPageBreak/>
        <w:t>The appeal is allowed</w:t>
      </w:r>
      <w:r w:rsidR="00BA4A7F">
        <w:t>.</w:t>
      </w:r>
    </w:p>
    <w:p w:rsidR="00BA4A7F" w:rsidRDefault="00BA4A7F" w:rsidP="001B2A52">
      <w:pPr>
        <w:pStyle w:val="ListParagraph"/>
        <w:numPr>
          <w:ilvl w:val="0"/>
          <w:numId w:val="2"/>
        </w:numPr>
        <w:spacing w:line="360" w:lineRule="auto"/>
        <w:jc w:val="both"/>
      </w:pPr>
      <w:r>
        <w:t xml:space="preserve">The decision of </w:t>
      </w:r>
      <w:r w:rsidR="00990BC4">
        <w:t xml:space="preserve">Honourable Matongera be and is hereby set aside and substituted with: </w:t>
      </w:r>
    </w:p>
    <w:p w:rsidR="001B286B" w:rsidRPr="0061188E" w:rsidRDefault="001D605B" w:rsidP="0061188E">
      <w:pPr>
        <w:pStyle w:val="ListParagraph"/>
        <w:spacing w:line="276" w:lineRule="auto"/>
        <w:jc w:val="both"/>
        <w:rPr>
          <w:sz w:val="22"/>
          <w:szCs w:val="22"/>
        </w:rPr>
      </w:pPr>
      <w:r w:rsidRPr="0061188E">
        <w:rPr>
          <w:sz w:val="22"/>
          <w:szCs w:val="22"/>
        </w:rPr>
        <w:t xml:space="preserve">“The decision of the Disciplinary Committee finding the </w:t>
      </w:r>
      <w:r w:rsidR="0061188E" w:rsidRPr="0061188E">
        <w:rPr>
          <w:sz w:val="22"/>
          <w:szCs w:val="22"/>
        </w:rPr>
        <w:t>Claimant</w:t>
      </w:r>
      <w:r w:rsidRPr="0061188E">
        <w:rPr>
          <w:sz w:val="22"/>
          <w:szCs w:val="22"/>
        </w:rPr>
        <w:t xml:space="preserve"> guilty culminating in her dismissal be and is hereby set aside.</w:t>
      </w:r>
      <w:r w:rsidR="0093210D" w:rsidRPr="0061188E">
        <w:rPr>
          <w:sz w:val="22"/>
          <w:szCs w:val="22"/>
        </w:rPr>
        <w:t>”</w:t>
      </w:r>
    </w:p>
    <w:p w:rsidR="0093210D" w:rsidRDefault="0093210D" w:rsidP="0093210D">
      <w:pPr>
        <w:pStyle w:val="ListParagraph"/>
        <w:numPr>
          <w:ilvl w:val="0"/>
          <w:numId w:val="2"/>
        </w:numPr>
        <w:spacing w:line="360" w:lineRule="auto"/>
        <w:jc w:val="both"/>
      </w:pPr>
      <w:r>
        <w:t xml:space="preserve">The </w:t>
      </w:r>
      <w:r w:rsidR="00C80D43">
        <w:t xml:space="preserve">disciplinary hearing is to be conducted </w:t>
      </w:r>
      <w:r w:rsidR="00C80D43" w:rsidRPr="00B85B0D">
        <w:rPr>
          <w:i/>
          <w:u w:val="single"/>
        </w:rPr>
        <w:t>de novo</w:t>
      </w:r>
      <w:r w:rsidR="00C80D43">
        <w:t xml:space="preserve"> before a different arbitrator whose costs will be met by the appellant.</w:t>
      </w:r>
    </w:p>
    <w:p w:rsidR="00C80D43" w:rsidRDefault="00C80D43" w:rsidP="0093210D">
      <w:pPr>
        <w:pStyle w:val="ListParagraph"/>
        <w:numPr>
          <w:ilvl w:val="0"/>
          <w:numId w:val="2"/>
        </w:numPr>
        <w:spacing w:line="360" w:lineRule="auto"/>
        <w:jc w:val="both"/>
      </w:pPr>
      <w:r>
        <w:t xml:space="preserve">The hearing in paragraph (3) </w:t>
      </w:r>
      <w:r w:rsidR="00B059C7">
        <w:t>above is to be held within sixty (60) days from the date of this order failing which the respondent will be deemed to have been reinstated from the date of dismissal without loss of salary and benefits.</w:t>
      </w:r>
    </w:p>
    <w:p w:rsidR="00B059C7" w:rsidRDefault="001E6732" w:rsidP="0093210D">
      <w:pPr>
        <w:pStyle w:val="ListParagraph"/>
        <w:numPr>
          <w:ilvl w:val="0"/>
          <w:numId w:val="2"/>
        </w:numPr>
        <w:spacing w:line="360" w:lineRule="auto"/>
        <w:jc w:val="both"/>
      </w:pPr>
      <w:r>
        <w:t>Each party to bear its own costs in respect of the present appeal.</w:t>
      </w:r>
    </w:p>
    <w:p w:rsidR="001E6732" w:rsidRDefault="001E6732" w:rsidP="001E6732">
      <w:pPr>
        <w:spacing w:line="360" w:lineRule="auto"/>
        <w:jc w:val="both"/>
      </w:pPr>
    </w:p>
    <w:p w:rsidR="001E6732" w:rsidRDefault="001E6732" w:rsidP="001E6732">
      <w:pPr>
        <w:spacing w:line="360" w:lineRule="auto"/>
        <w:jc w:val="both"/>
      </w:pPr>
    </w:p>
    <w:p w:rsidR="001E6732" w:rsidRDefault="001E6732" w:rsidP="001E6732">
      <w:pPr>
        <w:spacing w:line="360" w:lineRule="auto"/>
        <w:jc w:val="both"/>
      </w:pPr>
      <w:r w:rsidRPr="0061188E">
        <w:rPr>
          <w:i/>
        </w:rPr>
        <w:t>Matsikidze &amp; Mucheche</w:t>
      </w:r>
      <w:r>
        <w:t>, appellant’s legal practitioners</w:t>
      </w:r>
    </w:p>
    <w:p w:rsidR="001E6732" w:rsidRDefault="001E6732" w:rsidP="001E6732">
      <w:pPr>
        <w:spacing w:line="360" w:lineRule="auto"/>
        <w:jc w:val="both"/>
      </w:pPr>
      <w:r w:rsidRPr="0061188E">
        <w:rPr>
          <w:i/>
        </w:rPr>
        <w:t>Hungwe &amp; Partners</w:t>
      </w:r>
      <w:r>
        <w:t>, respondent</w:t>
      </w:r>
      <w:r w:rsidR="0061188E">
        <w:t>’s legal practitioners</w:t>
      </w:r>
    </w:p>
    <w:p w:rsidR="00CD1CB7" w:rsidRDefault="00CD1CB7" w:rsidP="004A215F">
      <w:pPr>
        <w:spacing w:line="360" w:lineRule="auto"/>
        <w:ind w:firstLine="720"/>
        <w:jc w:val="both"/>
      </w:pPr>
    </w:p>
    <w:sectPr w:rsidR="00CD1CB7" w:rsidSect="008F48D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7F" w:rsidRDefault="00C4207F" w:rsidP="008F48DF">
      <w:r>
        <w:separator/>
      </w:r>
    </w:p>
  </w:endnote>
  <w:endnote w:type="continuationSeparator" w:id="0">
    <w:p w:rsidR="00C4207F" w:rsidRDefault="00C4207F" w:rsidP="008F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60009"/>
      <w:docPartObj>
        <w:docPartGallery w:val="Page Numbers (Bottom of Page)"/>
        <w:docPartUnique/>
      </w:docPartObj>
    </w:sdtPr>
    <w:sdtEndPr>
      <w:rPr>
        <w:noProof/>
      </w:rPr>
    </w:sdtEndPr>
    <w:sdtContent>
      <w:p w:rsidR="00C77614" w:rsidRDefault="00C77614">
        <w:pPr>
          <w:pStyle w:val="Footer"/>
          <w:jc w:val="center"/>
        </w:pPr>
        <w:r>
          <w:fldChar w:fldCharType="begin"/>
        </w:r>
        <w:r>
          <w:instrText xml:space="preserve"> PAGE   \* MERGEFORMAT </w:instrText>
        </w:r>
        <w:r>
          <w:fldChar w:fldCharType="separate"/>
        </w:r>
        <w:r w:rsidR="00480B07">
          <w:rPr>
            <w:noProof/>
          </w:rPr>
          <w:t>4</w:t>
        </w:r>
        <w:r>
          <w:rPr>
            <w:noProof/>
          </w:rPr>
          <w:fldChar w:fldCharType="end"/>
        </w:r>
      </w:p>
    </w:sdtContent>
  </w:sdt>
  <w:p w:rsidR="00C77614" w:rsidRDefault="00C7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7F" w:rsidRDefault="00C4207F" w:rsidP="008F48DF">
      <w:r>
        <w:separator/>
      </w:r>
    </w:p>
  </w:footnote>
  <w:footnote w:type="continuationSeparator" w:id="0">
    <w:p w:rsidR="00C4207F" w:rsidRDefault="00C4207F" w:rsidP="008F4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14" w:rsidRPr="008F48DF" w:rsidRDefault="00C77614">
    <w:pPr>
      <w:pStyle w:val="Header"/>
      <w:rPr>
        <w:lang w:val="en-ZW"/>
      </w:rPr>
    </w:pPr>
    <w:r>
      <w:rPr>
        <w:lang w:val="en-ZW"/>
      </w:rPr>
      <w:tab/>
    </w:r>
    <w:r>
      <w:rPr>
        <w:lang w:val="en-ZW"/>
      </w:rPr>
      <w:tab/>
      <w:t>JUDGMENT NO. LC/H/</w:t>
    </w:r>
    <w:r w:rsidR="00881BF9">
      <w:rPr>
        <w:lang w:val="en-ZW"/>
      </w:rPr>
      <w:t>193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8381E"/>
    <w:multiLevelType w:val="hybridMultilevel"/>
    <w:tmpl w:val="8D4280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2C422C"/>
    <w:multiLevelType w:val="hybridMultilevel"/>
    <w:tmpl w:val="91C83C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10"/>
    <w:rsid w:val="000358B8"/>
    <w:rsid w:val="0003610E"/>
    <w:rsid w:val="000501DF"/>
    <w:rsid w:val="000D4E32"/>
    <w:rsid w:val="000F78D7"/>
    <w:rsid w:val="00145C70"/>
    <w:rsid w:val="00172C09"/>
    <w:rsid w:val="001B286B"/>
    <w:rsid w:val="001B2A52"/>
    <w:rsid w:val="001D605B"/>
    <w:rsid w:val="001E6732"/>
    <w:rsid w:val="00222425"/>
    <w:rsid w:val="00223443"/>
    <w:rsid w:val="002566FA"/>
    <w:rsid w:val="002653B9"/>
    <w:rsid w:val="00273A04"/>
    <w:rsid w:val="002B0CF9"/>
    <w:rsid w:val="002E00A7"/>
    <w:rsid w:val="002F0221"/>
    <w:rsid w:val="002F3F0B"/>
    <w:rsid w:val="003550B2"/>
    <w:rsid w:val="0038732F"/>
    <w:rsid w:val="00390207"/>
    <w:rsid w:val="003D1057"/>
    <w:rsid w:val="003D2CD5"/>
    <w:rsid w:val="003F7C2E"/>
    <w:rsid w:val="00451907"/>
    <w:rsid w:val="004770CB"/>
    <w:rsid w:val="00480B07"/>
    <w:rsid w:val="00496109"/>
    <w:rsid w:val="004A1CB0"/>
    <w:rsid w:val="004A215F"/>
    <w:rsid w:val="004A31A5"/>
    <w:rsid w:val="004B2AF0"/>
    <w:rsid w:val="004D2AAB"/>
    <w:rsid w:val="004D68E7"/>
    <w:rsid w:val="004E7DF7"/>
    <w:rsid w:val="004F6E5B"/>
    <w:rsid w:val="00524D0E"/>
    <w:rsid w:val="00533713"/>
    <w:rsid w:val="00542D28"/>
    <w:rsid w:val="00570901"/>
    <w:rsid w:val="00571667"/>
    <w:rsid w:val="00582145"/>
    <w:rsid w:val="005D3369"/>
    <w:rsid w:val="00601FB5"/>
    <w:rsid w:val="0061188E"/>
    <w:rsid w:val="00630181"/>
    <w:rsid w:val="0067053F"/>
    <w:rsid w:val="0068335F"/>
    <w:rsid w:val="006C3CC0"/>
    <w:rsid w:val="006F30D2"/>
    <w:rsid w:val="006F6D4F"/>
    <w:rsid w:val="007266A8"/>
    <w:rsid w:val="007621B1"/>
    <w:rsid w:val="00793037"/>
    <w:rsid w:val="007A47C4"/>
    <w:rsid w:val="007A55A6"/>
    <w:rsid w:val="007D54B1"/>
    <w:rsid w:val="00832458"/>
    <w:rsid w:val="00881BF9"/>
    <w:rsid w:val="00885455"/>
    <w:rsid w:val="008B1174"/>
    <w:rsid w:val="008F48DF"/>
    <w:rsid w:val="00901CAA"/>
    <w:rsid w:val="0093210D"/>
    <w:rsid w:val="00990BC4"/>
    <w:rsid w:val="00A023BB"/>
    <w:rsid w:val="00A545EE"/>
    <w:rsid w:val="00A75210"/>
    <w:rsid w:val="00A84858"/>
    <w:rsid w:val="00A966C4"/>
    <w:rsid w:val="00AC2DCA"/>
    <w:rsid w:val="00AD11C0"/>
    <w:rsid w:val="00B059C7"/>
    <w:rsid w:val="00B1261E"/>
    <w:rsid w:val="00B22618"/>
    <w:rsid w:val="00B23682"/>
    <w:rsid w:val="00B468E8"/>
    <w:rsid w:val="00B554CD"/>
    <w:rsid w:val="00B8171D"/>
    <w:rsid w:val="00B85B0D"/>
    <w:rsid w:val="00BA4A7F"/>
    <w:rsid w:val="00BA7069"/>
    <w:rsid w:val="00BF0B77"/>
    <w:rsid w:val="00C34458"/>
    <w:rsid w:val="00C4207F"/>
    <w:rsid w:val="00C711DA"/>
    <w:rsid w:val="00C77614"/>
    <w:rsid w:val="00C80D43"/>
    <w:rsid w:val="00CA7D62"/>
    <w:rsid w:val="00CB330B"/>
    <w:rsid w:val="00CB4842"/>
    <w:rsid w:val="00CD1CB7"/>
    <w:rsid w:val="00D23261"/>
    <w:rsid w:val="00D3191B"/>
    <w:rsid w:val="00DB563B"/>
    <w:rsid w:val="00DD7BA8"/>
    <w:rsid w:val="00DF073F"/>
    <w:rsid w:val="00E247D7"/>
    <w:rsid w:val="00E25C5B"/>
    <w:rsid w:val="00E27272"/>
    <w:rsid w:val="00E31D02"/>
    <w:rsid w:val="00EA75F1"/>
    <w:rsid w:val="00EB1AED"/>
    <w:rsid w:val="00ED5285"/>
    <w:rsid w:val="00EF1F6E"/>
    <w:rsid w:val="00F220E8"/>
    <w:rsid w:val="00F83CB2"/>
    <w:rsid w:val="00F8630D"/>
    <w:rsid w:val="00FB5EF3"/>
    <w:rsid w:val="00FD5A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1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3BB"/>
    <w:pPr>
      <w:ind w:left="720"/>
      <w:contextualSpacing/>
    </w:pPr>
  </w:style>
  <w:style w:type="paragraph" w:styleId="Header">
    <w:name w:val="header"/>
    <w:basedOn w:val="Normal"/>
    <w:link w:val="HeaderChar"/>
    <w:uiPriority w:val="99"/>
    <w:unhideWhenUsed/>
    <w:rsid w:val="008F48DF"/>
    <w:pPr>
      <w:tabs>
        <w:tab w:val="center" w:pos="4513"/>
        <w:tab w:val="right" w:pos="9026"/>
      </w:tabs>
    </w:pPr>
  </w:style>
  <w:style w:type="character" w:customStyle="1" w:styleId="HeaderChar">
    <w:name w:val="Header Char"/>
    <w:basedOn w:val="DefaultParagraphFont"/>
    <w:link w:val="Header"/>
    <w:uiPriority w:val="99"/>
    <w:rsid w:val="008F48DF"/>
    <w:rPr>
      <w:rFonts w:ascii="Tahoma" w:eastAsia="Times New Roman" w:hAnsi="Tahoma" w:cs="Times New Roman"/>
      <w:sz w:val="24"/>
      <w:szCs w:val="24"/>
      <w:lang w:val="en-US"/>
    </w:rPr>
  </w:style>
  <w:style w:type="paragraph" w:styleId="Footer">
    <w:name w:val="footer"/>
    <w:basedOn w:val="Normal"/>
    <w:link w:val="FooterChar"/>
    <w:uiPriority w:val="99"/>
    <w:unhideWhenUsed/>
    <w:rsid w:val="008F48DF"/>
    <w:pPr>
      <w:tabs>
        <w:tab w:val="center" w:pos="4513"/>
        <w:tab w:val="right" w:pos="9026"/>
      </w:tabs>
    </w:pPr>
  </w:style>
  <w:style w:type="character" w:customStyle="1" w:styleId="FooterChar">
    <w:name w:val="Footer Char"/>
    <w:basedOn w:val="DefaultParagraphFont"/>
    <w:link w:val="Footer"/>
    <w:uiPriority w:val="99"/>
    <w:rsid w:val="008F48D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80B07"/>
    <w:rPr>
      <w:rFonts w:cs="Tahoma"/>
      <w:sz w:val="16"/>
      <w:szCs w:val="16"/>
    </w:rPr>
  </w:style>
  <w:style w:type="character" w:customStyle="1" w:styleId="BalloonTextChar">
    <w:name w:val="Balloon Text Char"/>
    <w:basedOn w:val="DefaultParagraphFont"/>
    <w:link w:val="BalloonText"/>
    <w:uiPriority w:val="99"/>
    <w:semiHidden/>
    <w:rsid w:val="00480B0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1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3BB"/>
    <w:pPr>
      <w:ind w:left="720"/>
      <w:contextualSpacing/>
    </w:pPr>
  </w:style>
  <w:style w:type="paragraph" w:styleId="Header">
    <w:name w:val="header"/>
    <w:basedOn w:val="Normal"/>
    <w:link w:val="HeaderChar"/>
    <w:uiPriority w:val="99"/>
    <w:unhideWhenUsed/>
    <w:rsid w:val="008F48DF"/>
    <w:pPr>
      <w:tabs>
        <w:tab w:val="center" w:pos="4513"/>
        <w:tab w:val="right" w:pos="9026"/>
      </w:tabs>
    </w:pPr>
  </w:style>
  <w:style w:type="character" w:customStyle="1" w:styleId="HeaderChar">
    <w:name w:val="Header Char"/>
    <w:basedOn w:val="DefaultParagraphFont"/>
    <w:link w:val="Header"/>
    <w:uiPriority w:val="99"/>
    <w:rsid w:val="008F48DF"/>
    <w:rPr>
      <w:rFonts w:ascii="Tahoma" w:eastAsia="Times New Roman" w:hAnsi="Tahoma" w:cs="Times New Roman"/>
      <w:sz w:val="24"/>
      <w:szCs w:val="24"/>
      <w:lang w:val="en-US"/>
    </w:rPr>
  </w:style>
  <w:style w:type="paragraph" w:styleId="Footer">
    <w:name w:val="footer"/>
    <w:basedOn w:val="Normal"/>
    <w:link w:val="FooterChar"/>
    <w:uiPriority w:val="99"/>
    <w:unhideWhenUsed/>
    <w:rsid w:val="008F48DF"/>
    <w:pPr>
      <w:tabs>
        <w:tab w:val="center" w:pos="4513"/>
        <w:tab w:val="right" w:pos="9026"/>
      </w:tabs>
    </w:pPr>
  </w:style>
  <w:style w:type="character" w:customStyle="1" w:styleId="FooterChar">
    <w:name w:val="Footer Char"/>
    <w:basedOn w:val="DefaultParagraphFont"/>
    <w:link w:val="Footer"/>
    <w:uiPriority w:val="99"/>
    <w:rsid w:val="008F48D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80B07"/>
    <w:rPr>
      <w:rFonts w:cs="Tahoma"/>
      <w:sz w:val="16"/>
      <w:szCs w:val="16"/>
    </w:rPr>
  </w:style>
  <w:style w:type="character" w:customStyle="1" w:styleId="BalloonTextChar">
    <w:name w:val="Balloon Text Char"/>
    <w:basedOn w:val="DefaultParagraphFont"/>
    <w:link w:val="BalloonText"/>
    <w:uiPriority w:val="99"/>
    <w:semiHidden/>
    <w:rsid w:val="00480B0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50</cp:revision>
  <cp:lastPrinted>2016-04-07T10:50:00Z</cp:lastPrinted>
  <dcterms:created xsi:type="dcterms:W3CDTF">2016-03-11T06:16:00Z</dcterms:created>
  <dcterms:modified xsi:type="dcterms:W3CDTF">2016-04-07T10:51:00Z</dcterms:modified>
</cp:coreProperties>
</file>