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7D" w:rsidRPr="001F612D" w:rsidRDefault="00DD4C41" w:rsidP="00FF1CBE">
      <w:pPr>
        <w:pStyle w:val="NoSpacing"/>
        <w:jc w:val="both"/>
        <w:rPr>
          <w:b/>
          <w:szCs w:val="24"/>
        </w:rPr>
      </w:pPr>
      <w:r w:rsidRPr="001F612D">
        <w:rPr>
          <w:b/>
          <w:szCs w:val="24"/>
        </w:rPr>
        <w:t>PIONEER MINING &amp; PROSPECTING (PVT) LTD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  <w:r w:rsidRPr="001F612D">
        <w:rPr>
          <w:b/>
          <w:szCs w:val="24"/>
        </w:rPr>
        <w:t>Versus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  <w:r w:rsidRPr="001F612D">
        <w:rPr>
          <w:b/>
          <w:szCs w:val="24"/>
        </w:rPr>
        <w:t>FARAYI NGULUBE N.O.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  <w:r w:rsidRPr="001F612D">
        <w:rPr>
          <w:b/>
          <w:szCs w:val="24"/>
        </w:rPr>
        <w:t>And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  <w:r w:rsidRPr="001F612D">
        <w:rPr>
          <w:b/>
          <w:szCs w:val="24"/>
        </w:rPr>
        <w:t>VANELE MOYO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  <w:r w:rsidRPr="001F612D">
        <w:rPr>
          <w:b/>
          <w:szCs w:val="24"/>
        </w:rPr>
        <w:t>And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  <w:r w:rsidRPr="001F612D">
        <w:rPr>
          <w:b/>
          <w:szCs w:val="24"/>
        </w:rPr>
        <w:t>JAMES NGOMA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  <w:r w:rsidRPr="001F612D">
        <w:rPr>
          <w:b/>
          <w:szCs w:val="24"/>
        </w:rPr>
        <w:t>(BOTH KNOWN AS MPUMELELO MINING SYNDICATE)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</w:p>
    <w:p w:rsidR="00DD4C41" w:rsidRPr="001F612D" w:rsidRDefault="00DD4C41" w:rsidP="00FF1CBE">
      <w:pPr>
        <w:pStyle w:val="NoSpacing"/>
        <w:jc w:val="both"/>
        <w:rPr>
          <w:szCs w:val="24"/>
        </w:rPr>
      </w:pPr>
      <w:r w:rsidRPr="001F612D">
        <w:rPr>
          <w:szCs w:val="24"/>
        </w:rPr>
        <w:t>IN THE HIGH COURT OF ZIMBABWE</w:t>
      </w:r>
    </w:p>
    <w:p w:rsidR="00DD4C41" w:rsidRPr="001F612D" w:rsidRDefault="00DD4C41" w:rsidP="00FF1CBE">
      <w:pPr>
        <w:pStyle w:val="NoSpacing"/>
        <w:jc w:val="both"/>
        <w:rPr>
          <w:szCs w:val="24"/>
        </w:rPr>
      </w:pPr>
      <w:r w:rsidRPr="001F612D">
        <w:rPr>
          <w:szCs w:val="24"/>
        </w:rPr>
        <w:t>MAKONESE J</w:t>
      </w:r>
    </w:p>
    <w:p w:rsidR="00DD4C41" w:rsidRPr="001F612D" w:rsidRDefault="00DD4C41" w:rsidP="00FF1CBE">
      <w:pPr>
        <w:pStyle w:val="NoSpacing"/>
        <w:jc w:val="both"/>
        <w:rPr>
          <w:szCs w:val="24"/>
        </w:rPr>
      </w:pPr>
      <w:r w:rsidRPr="001F612D">
        <w:rPr>
          <w:szCs w:val="24"/>
        </w:rPr>
        <w:t>BULAWAYO 14 &amp; 30 MAY 2019</w:t>
      </w:r>
    </w:p>
    <w:p w:rsidR="00DD4C41" w:rsidRPr="001F612D" w:rsidRDefault="00DD4C41" w:rsidP="00FF1CBE">
      <w:pPr>
        <w:pStyle w:val="NoSpacing"/>
        <w:jc w:val="both"/>
        <w:rPr>
          <w:szCs w:val="24"/>
        </w:rPr>
      </w:pP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  <w:r w:rsidRPr="001F612D">
        <w:rPr>
          <w:b/>
          <w:szCs w:val="24"/>
        </w:rPr>
        <w:t>Urgent Chamber Application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</w:p>
    <w:p w:rsidR="00DD4C41" w:rsidRPr="001F612D" w:rsidRDefault="00DD4C41" w:rsidP="00FF1CBE">
      <w:pPr>
        <w:pStyle w:val="NoSpacing"/>
        <w:jc w:val="both"/>
        <w:rPr>
          <w:szCs w:val="24"/>
        </w:rPr>
      </w:pPr>
      <w:r w:rsidRPr="001F612D">
        <w:rPr>
          <w:i/>
          <w:szCs w:val="24"/>
        </w:rPr>
        <w:t>S. Nkomo</w:t>
      </w:r>
      <w:r w:rsidRPr="001F612D">
        <w:rPr>
          <w:szCs w:val="24"/>
        </w:rPr>
        <w:t xml:space="preserve"> for applicant</w:t>
      </w:r>
    </w:p>
    <w:p w:rsidR="00DD4C41" w:rsidRPr="001F612D" w:rsidRDefault="00DD4C41" w:rsidP="00FF1CBE">
      <w:pPr>
        <w:pStyle w:val="NoSpacing"/>
        <w:jc w:val="both"/>
        <w:rPr>
          <w:szCs w:val="24"/>
        </w:rPr>
      </w:pPr>
      <w:r w:rsidRPr="001F612D">
        <w:rPr>
          <w:i/>
          <w:szCs w:val="24"/>
        </w:rPr>
        <w:t>P. Taruberekera</w:t>
      </w:r>
      <w:r w:rsidRPr="001F612D">
        <w:rPr>
          <w:szCs w:val="24"/>
        </w:rPr>
        <w:t xml:space="preserve"> for 1</w:t>
      </w:r>
      <w:r w:rsidRPr="001F612D">
        <w:rPr>
          <w:szCs w:val="24"/>
          <w:vertAlign w:val="superscript"/>
        </w:rPr>
        <w:t>st</w:t>
      </w:r>
      <w:r w:rsidRPr="001F612D">
        <w:rPr>
          <w:szCs w:val="24"/>
        </w:rPr>
        <w:t xml:space="preserve"> respondent</w:t>
      </w:r>
    </w:p>
    <w:p w:rsidR="00DD4C41" w:rsidRPr="001F612D" w:rsidRDefault="00DD4C41" w:rsidP="00FF1CBE">
      <w:pPr>
        <w:pStyle w:val="NoSpacing"/>
        <w:jc w:val="both"/>
        <w:rPr>
          <w:szCs w:val="24"/>
        </w:rPr>
      </w:pPr>
      <w:r w:rsidRPr="001F612D">
        <w:rPr>
          <w:i/>
          <w:szCs w:val="24"/>
        </w:rPr>
        <w:t>V. Majoko</w:t>
      </w:r>
      <w:r w:rsidRPr="001F612D">
        <w:rPr>
          <w:szCs w:val="24"/>
        </w:rPr>
        <w:t xml:space="preserve"> for 2</w:t>
      </w:r>
      <w:r w:rsidRPr="001F612D">
        <w:rPr>
          <w:szCs w:val="24"/>
          <w:vertAlign w:val="superscript"/>
        </w:rPr>
        <w:t>nd</w:t>
      </w:r>
      <w:r w:rsidRPr="001F612D">
        <w:rPr>
          <w:szCs w:val="24"/>
        </w:rPr>
        <w:t xml:space="preserve"> &amp; 3</w:t>
      </w:r>
      <w:r w:rsidR="00FF5D2E" w:rsidRPr="001F612D">
        <w:rPr>
          <w:szCs w:val="24"/>
          <w:vertAlign w:val="superscript"/>
        </w:rPr>
        <w:t>rd</w:t>
      </w:r>
      <w:r w:rsidR="00FF5D2E" w:rsidRPr="001F612D">
        <w:rPr>
          <w:szCs w:val="24"/>
        </w:rPr>
        <w:t xml:space="preserve"> </w:t>
      </w:r>
      <w:r w:rsidRPr="001F612D">
        <w:rPr>
          <w:szCs w:val="24"/>
        </w:rPr>
        <w:t>respondents</w:t>
      </w:r>
    </w:p>
    <w:p w:rsidR="00DD4C41" w:rsidRPr="001F612D" w:rsidRDefault="00DD4C41" w:rsidP="00FF1CBE">
      <w:pPr>
        <w:jc w:val="both"/>
        <w:rPr>
          <w:szCs w:val="24"/>
        </w:rPr>
      </w:pPr>
      <w:r w:rsidRPr="001F612D">
        <w:rPr>
          <w:szCs w:val="24"/>
        </w:rPr>
        <w:tab/>
      </w:r>
      <w:r w:rsidRPr="001F612D">
        <w:rPr>
          <w:b/>
          <w:szCs w:val="24"/>
        </w:rPr>
        <w:t>MAKONESE J:</w:t>
      </w:r>
      <w:r w:rsidRPr="001F612D">
        <w:rPr>
          <w:b/>
          <w:szCs w:val="24"/>
        </w:rPr>
        <w:tab/>
      </w:r>
      <w:r w:rsidR="00B465E8" w:rsidRPr="001F612D">
        <w:rPr>
          <w:szCs w:val="24"/>
        </w:rPr>
        <w:t>This is an urgent chamber application filed on the 8</w:t>
      </w:r>
      <w:r w:rsidR="00B465E8" w:rsidRPr="001F612D">
        <w:rPr>
          <w:szCs w:val="24"/>
          <w:vertAlign w:val="superscript"/>
        </w:rPr>
        <w:t>t</w:t>
      </w:r>
      <w:r w:rsidR="00FF5D2E" w:rsidRPr="001F612D">
        <w:rPr>
          <w:szCs w:val="24"/>
          <w:vertAlign w:val="superscript"/>
        </w:rPr>
        <w:t>h</w:t>
      </w:r>
      <w:r w:rsidR="00FF5D2E" w:rsidRPr="001F612D">
        <w:rPr>
          <w:szCs w:val="24"/>
        </w:rPr>
        <w:t xml:space="preserve"> </w:t>
      </w:r>
      <w:r w:rsidR="00B465E8" w:rsidRPr="001F612D">
        <w:rPr>
          <w:szCs w:val="24"/>
        </w:rPr>
        <w:t>May 2019 seeking the following interim relief:</w:t>
      </w:r>
    </w:p>
    <w:p w:rsidR="00B465E8" w:rsidRPr="00FF1CBE" w:rsidRDefault="00B465E8" w:rsidP="00FF1CBE">
      <w:pPr>
        <w:pStyle w:val="NoSpacing"/>
        <w:jc w:val="both"/>
        <w:rPr>
          <w:szCs w:val="24"/>
          <w:u w:val="single"/>
        </w:rPr>
      </w:pPr>
      <w:r w:rsidRPr="001F612D">
        <w:rPr>
          <w:szCs w:val="24"/>
        </w:rPr>
        <w:tab/>
      </w:r>
      <w:r w:rsidRPr="00FF1CBE">
        <w:rPr>
          <w:szCs w:val="24"/>
          <w:u w:val="single"/>
        </w:rPr>
        <w:t>“</w:t>
      </w:r>
      <w:r w:rsidRPr="006B4E27">
        <w:rPr>
          <w:b/>
          <w:szCs w:val="24"/>
          <w:u w:val="single"/>
        </w:rPr>
        <w:t>Interim relief</w:t>
      </w:r>
    </w:p>
    <w:p w:rsidR="00B465E8" w:rsidRPr="001F612D" w:rsidRDefault="00B465E8" w:rsidP="00FF1CBE">
      <w:pPr>
        <w:pStyle w:val="NoSpacing"/>
        <w:jc w:val="both"/>
        <w:rPr>
          <w:szCs w:val="24"/>
        </w:rPr>
      </w:pPr>
    </w:p>
    <w:p w:rsidR="00B465E8" w:rsidRPr="001F612D" w:rsidRDefault="00FF5D2E" w:rsidP="00FF1CBE">
      <w:pPr>
        <w:pStyle w:val="NoSpacing"/>
        <w:numPr>
          <w:ilvl w:val="0"/>
          <w:numId w:val="2"/>
        </w:numPr>
        <w:jc w:val="both"/>
        <w:rPr>
          <w:szCs w:val="24"/>
        </w:rPr>
      </w:pPr>
      <w:r w:rsidRPr="001F612D">
        <w:rPr>
          <w:szCs w:val="24"/>
        </w:rPr>
        <w:t>T</w:t>
      </w:r>
      <w:r w:rsidR="00B465E8" w:rsidRPr="001F612D">
        <w:rPr>
          <w:szCs w:val="24"/>
        </w:rPr>
        <w:t>hat the 1</w:t>
      </w:r>
      <w:r w:rsidR="00B465E8" w:rsidRPr="001F612D">
        <w:rPr>
          <w:szCs w:val="24"/>
          <w:vertAlign w:val="superscript"/>
        </w:rPr>
        <w:t>st</w:t>
      </w:r>
      <w:r w:rsidR="00B465E8" w:rsidRPr="001F612D">
        <w:rPr>
          <w:szCs w:val="24"/>
        </w:rPr>
        <w:t xml:space="preserve"> respondent’s decision of the 209</w:t>
      </w:r>
      <w:r w:rsidR="00B465E8" w:rsidRPr="001F612D">
        <w:rPr>
          <w:szCs w:val="24"/>
          <w:vertAlign w:val="superscript"/>
        </w:rPr>
        <w:t>th</w:t>
      </w:r>
      <w:r w:rsidR="00B465E8" w:rsidRPr="001F612D">
        <w:rPr>
          <w:szCs w:val="24"/>
        </w:rPr>
        <w:t xml:space="preserve"> April 2019 be</w:t>
      </w:r>
      <w:r w:rsidR="00912D20">
        <w:rPr>
          <w:szCs w:val="24"/>
        </w:rPr>
        <w:t xml:space="preserve"> </w:t>
      </w:r>
      <w:r w:rsidR="00B465E8" w:rsidRPr="001F612D">
        <w:rPr>
          <w:szCs w:val="24"/>
        </w:rPr>
        <w:t xml:space="preserve"> and is hereby stayed pending determination of the application for review filed under c</w:t>
      </w:r>
      <w:r w:rsidRPr="001F612D">
        <w:rPr>
          <w:szCs w:val="24"/>
        </w:rPr>
        <w:t>a</w:t>
      </w:r>
      <w:r w:rsidR="00B465E8" w:rsidRPr="001F612D">
        <w:rPr>
          <w:szCs w:val="24"/>
        </w:rPr>
        <w:t>se number HC 1038/19.</w:t>
      </w:r>
    </w:p>
    <w:p w:rsidR="00B465E8" w:rsidRPr="001F612D" w:rsidRDefault="00B465E8" w:rsidP="00FF1CBE">
      <w:pPr>
        <w:pStyle w:val="NoSpacing"/>
        <w:numPr>
          <w:ilvl w:val="0"/>
          <w:numId w:val="2"/>
        </w:numPr>
        <w:jc w:val="both"/>
        <w:rPr>
          <w:szCs w:val="24"/>
        </w:rPr>
      </w:pPr>
      <w:r w:rsidRPr="001F612D">
        <w:rPr>
          <w:szCs w:val="24"/>
        </w:rPr>
        <w:t xml:space="preserve">For the avoidance of </w:t>
      </w:r>
      <w:r w:rsidR="00FF5D2E" w:rsidRPr="001F612D">
        <w:rPr>
          <w:szCs w:val="24"/>
        </w:rPr>
        <w:t>doubt</w:t>
      </w:r>
      <w:r w:rsidRPr="001F612D">
        <w:rPr>
          <w:szCs w:val="24"/>
        </w:rPr>
        <w:t xml:space="preserve"> 2</w:t>
      </w:r>
      <w:r w:rsidRPr="001F612D">
        <w:rPr>
          <w:szCs w:val="24"/>
          <w:vertAlign w:val="superscript"/>
        </w:rPr>
        <w:t>nd</w:t>
      </w:r>
      <w:r w:rsidRPr="001F612D">
        <w:rPr>
          <w:szCs w:val="24"/>
        </w:rPr>
        <w:t xml:space="preserve"> and 3</w:t>
      </w:r>
      <w:r w:rsidRPr="001F612D">
        <w:rPr>
          <w:szCs w:val="24"/>
          <w:vertAlign w:val="superscript"/>
        </w:rPr>
        <w:t>rd</w:t>
      </w:r>
      <w:r w:rsidRPr="001F612D">
        <w:rPr>
          <w:szCs w:val="24"/>
        </w:rPr>
        <w:t xml:space="preserve"> respondents</w:t>
      </w:r>
      <w:r w:rsidR="00C83BE5" w:rsidRPr="001F612D">
        <w:rPr>
          <w:szCs w:val="24"/>
        </w:rPr>
        <w:t>, t</w:t>
      </w:r>
      <w:r w:rsidR="00FF5D2E" w:rsidRPr="001F612D">
        <w:rPr>
          <w:szCs w:val="24"/>
        </w:rPr>
        <w:t>h</w:t>
      </w:r>
      <w:r w:rsidR="00C83BE5" w:rsidRPr="001F612D">
        <w:rPr>
          <w:szCs w:val="24"/>
        </w:rPr>
        <w:t>eir agents or assignees be and are hereby ordered not to carry out mining activities in the disputed production shaft.</w:t>
      </w:r>
    </w:p>
    <w:p w:rsidR="00C83BE5" w:rsidRPr="001F612D" w:rsidRDefault="00C83BE5" w:rsidP="00FF1CBE">
      <w:pPr>
        <w:pStyle w:val="NoSpacing"/>
        <w:numPr>
          <w:ilvl w:val="0"/>
          <w:numId w:val="2"/>
        </w:numPr>
        <w:jc w:val="both"/>
        <w:rPr>
          <w:szCs w:val="24"/>
        </w:rPr>
      </w:pPr>
      <w:r w:rsidRPr="001F612D">
        <w:rPr>
          <w:szCs w:val="24"/>
        </w:rPr>
        <w:t>Applicant be and is hereby allowed to carry out its mining activities</w:t>
      </w:r>
      <w:r w:rsidR="00FF5D2E" w:rsidRPr="001F612D">
        <w:rPr>
          <w:szCs w:val="24"/>
        </w:rPr>
        <w:t xml:space="preserve"> on </w:t>
      </w:r>
      <w:r w:rsidRPr="001F612D">
        <w:rPr>
          <w:szCs w:val="24"/>
        </w:rPr>
        <w:t>Jessi</w:t>
      </w:r>
      <w:r w:rsidR="00FF5D2E" w:rsidRPr="001F612D">
        <w:rPr>
          <w:szCs w:val="24"/>
        </w:rPr>
        <w:t>e’s</w:t>
      </w:r>
      <w:r w:rsidRPr="001F612D">
        <w:rPr>
          <w:szCs w:val="24"/>
        </w:rPr>
        <w:t xml:space="preserve"> Luck B Mine, outside the disputed</w:t>
      </w:r>
      <w:r w:rsidR="00FF5D2E" w:rsidRPr="001F612D">
        <w:rPr>
          <w:szCs w:val="24"/>
        </w:rPr>
        <w:t xml:space="preserve"> </w:t>
      </w:r>
      <w:r w:rsidRPr="001F612D">
        <w:rPr>
          <w:szCs w:val="24"/>
        </w:rPr>
        <w:t>area.”</w:t>
      </w:r>
    </w:p>
    <w:p w:rsidR="00C83BE5" w:rsidRDefault="00C83BE5" w:rsidP="00FF1CBE">
      <w:pPr>
        <w:jc w:val="both"/>
        <w:rPr>
          <w:szCs w:val="24"/>
        </w:rPr>
      </w:pPr>
      <w:r w:rsidRPr="001F612D">
        <w:rPr>
          <w:szCs w:val="24"/>
        </w:rPr>
        <w:tab/>
        <w:t>Applicant seeks final relief in the following terms;</w:t>
      </w:r>
    </w:p>
    <w:p w:rsidR="00FF1CBE" w:rsidRPr="001F612D" w:rsidRDefault="00FF1CBE" w:rsidP="00FF1CBE">
      <w:pPr>
        <w:jc w:val="both"/>
        <w:rPr>
          <w:szCs w:val="24"/>
        </w:rPr>
      </w:pPr>
    </w:p>
    <w:p w:rsidR="00C83BE5" w:rsidRPr="006B4E27" w:rsidRDefault="00C83BE5" w:rsidP="00FF1CBE">
      <w:pPr>
        <w:pStyle w:val="NoSpacing"/>
        <w:jc w:val="both"/>
        <w:rPr>
          <w:b/>
          <w:szCs w:val="24"/>
          <w:u w:val="single"/>
        </w:rPr>
      </w:pPr>
      <w:r w:rsidRPr="001F612D">
        <w:rPr>
          <w:szCs w:val="24"/>
        </w:rPr>
        <w:lastRenderedPageBreak/>
        <w:tab/>
      </w:r>
      <w:r w:rsidRPr="006B4E27">
        <w:rPr>
          <w:b/>
          <w:szCs w:val="24"/>
          <w:u w:val="single"/>
        </w:rPr>
        <w:t>Final Relief Sought</w:t>
      </w:r>
    </w:p>
    <w:p w:rsidR="00C83BE5" w:rsidRPr="001F612D" w:rsidRDefault="00C83BE5" w:rsidP="00FF1CBE">
      <w:pPr>
        <w:pStyle w:val="NoSpacing"/>
        <w:jc w:val="both"/>
        <w:rPr>
          <w:szCs w:val="24"/>
        </w:rPr>
      </w:pPr>
    </w:p>
    <w:p w:rsidR="00C83BE5" w:rsidRPr="001F612D" w:rsidRDefault="00C83BE5" w:rsidP="00FF1CBE">
      <w:pPr>
        <w:pStyle w:val="NoSpacing"/>
        <w:ind w:left="1440" w:hanging="720"/>
        <w:jc w:val="both"/>
        <w:rPr>
          <w:szCs w:val="24"/>
        </w:rPr>
      </w:pPr>
      <w:r w:rsidRPr="001F612D">
        <w:rPr>
          <w:szCs w:val="24"/>
        </w:rPr>
        <w:t>“1.</w:t>
      </w:r>
      <w:r w:rsidRPr="001F612D">
        <w:rPr>
          <w:szCs w:val="24"/>
        </w:rPr>
        <w:tab/>
        <w:t>The respondents and their agents or assignees be and are hereby ordered to abide by the decision of the court in t</w:t>
      </w:r>
      <w:r w:rsidR="00FF5D2E" w:rsidRPr="001F612D">
        <w:rPr>
          <w:szCs w:val="24"/>
        </w:rPr>
        <w:t>h</w:t>
      </w:r>
      <w:r w:rsidRPr="001F612D">
        <w:rPr>
          <w:szCs w:val="24"/>
        </w:rPr>
        <w:t xml:space="preserve">e </w:t>
      </w:r>
      <w:r w:rsidR="00FF5D2E" w:rsidRPr="001F612D">
        <w:rPr>
          <w:szCs w:val="24"/>
        </w:rPr>
        <w:t>a</w:t>
      </w:r>
      <w:r w:rsidRPr="001F612D">
        <w:rPr>
          <w:szCs w:val="24"/>
        </w:rPr>
        <w:t>pplication for review filed by the applicant under case number HC 1038/19 wherein applicants seek review of 1</w:t>
      </w:r>
      <w:r w:rsidRPr="001F612D">
        <w:rPr>
          <w:szCs w:val="24"/>
          <w:vertAlign w:val="superscript"/>
        </w:rPr>
        <w:t>st</w:t>
      </w:r>
      <w:r w:rsidRPr="001F612D">
        <w:rPr>
          <w:szCs w:val="24"/>
        </w:rPr>
        <w:t xml:space="preserve"> respondent’s decision.</w:t>
      </w:r>
    </w:p>
    <w:p w:rsidR="00C83BE5" w:rsidRPr="001F612D" w:rsidRDefault="00C83BE5" w:rsidP="00FF1CBE">
      <w:pPr>
        <w:pStyle w:val="NoSpacing"/>
        <w:ind w:left="1440" w:hanging="720"/>
        <w:jc w:val="both"/>
        <w:rPr>
          <w:szCs w:val="24"/>
        </w:rPr>
      </w:pPr>
      <w:r w:rsidRPr="001F612D">
        <w:rPr>
          <w:szCs w:val="24"/>
        </w:rPr>
        <w:t>2.</w:t>
      </w:r>
      <w:r w:rsidRPr="001F612D">
        <w:rPr>
          <w:szCs w:val="24"/>
        </w:rPr>
        <w:tab/>
        <w:t>Respondents to bear costs of suit on an attorney-client scale.”</w:t>
      </w:r>
    </w:p>
    <w:p w:rsidR="00C83BE5" w:rsidRPr="001F612D" w:rsidRDefault="00C83BE5" w:rsidP="00FF1CBE">
      <w:pPr>
        <w:jc w:val="both"/>
        <w:rPr>
          <w:szCs w:val="24"/>
        </w:rPr>
      </w:pPr>
      <w:r w:rsidRPr="001F612D">
        <w:rPr>
          <w:szCs w:val="24"/>
        </w:rPr>
        <w:tab/>
        <w:t xml:space="preserve">The application is opposed by the respondents and various points </w:t>
      </w:r>
      <w:r w:rsidRPr="001F612D">
        <w:rPr>
          <w:i/>
          <w:szCs w:val="24"/>
        </w:rPr>
        <w:t>in limine</w:t>
      </w:r>
      <w:r w:rsidRPr="001F612D">
        <w:rPr>
          <w:szCs w:val="24"/>
        </w:rPr>
        <w:t xml:space="preserve"> were raised.  After </w:t>
      </w:r>
      <w:r w:rsidR="00FF5D2E" w:rsidRPr="001F612D">
        <w:rPr>
          <w:szCs w:val="24"/>
        </w:rPr>
        <w:t>h</w:t>
      </w:r>
      <w:r w:rsidRPr="001F612D">
        <w:rPr>
          <w:szCs w:val="24"/>
        </w:rPr>
        <w:t>earing argument on t</w:t>
      </w:r>
      <w:r w:rsidR="00FF5D2E" w:rsidRPr="001F612D">
        <w:rPr>
          <w:szCs w:val="24"/>
        </w:rPr>
        <w:t>h</w:t>
      </w:r>
      <w:r w:rsidRPr="001F612D">
        <w:rPr>
          <w:szCs w:val="24"/>
        </w:rPr>
        <w:t>e preliminary issues I reserved judgment.  It was my view</w:t>
      </w:r>
      <w:r w:rsidR="00771014">
        <w:rPr>
          <w:szCs w:val="24"/>
        </w:rPr>
        <w:t>,</w:t>
      </w:r>
      <w:r w:rsidRPr="001F612D">
        <w:rPr>
          <w:szCs w:val="24"/>
        </w:rPr>
        <w:t xml:space="preserve"> th</w:t>
      </w:r>
      <w:r w:rsidR="00FF5D2E" w:rsidRPr="001F612D">
        <w:rPr>
          <w:szCs w:val="24"/>
        </w:rPr>
        <w:t>a</w:t>
      </w:r>
      <w:r w:rsidRPr="001F612D">
        <w:rPr>
          <w:szCs w:val="24"/>
        </w:rPr>
        <w:t>t if t</w:t>
      </w:r>
      <w:r w:rsidR="00896E7B">
        <w:rPr>
          <w:szCs w:val="24"/>
        </w:rPr>
        <w:t>hese issues were resolved they w</w:t>
      </w:r>
      <w:r w:rsidRPr="001F612D">
        <w:rPr>
          <w:szCs w:val="24"/>
        </w:rPr>
        <w:t>ould be dis</w:t>
      </w:r>
      <w:r w:rsidR="00583E25" w:rsidRPr="001F612D">
        <w:rPr>
          <w:szCs w:val="24"/>
        </w:rPr>
        <w:t>positive of t</w:t>
      </w:r>
      <w:r w:rsidR="00FF5D2E" w:rsidRPr="001F612D">
        <w:rPr>
          <w:szCs w:val="24"/>
        </w:rPr>
        <w:t>h</w:t>
      </w:r>
      <w:r w:rsidR="00583E25" w:rsidRPr="001F612D">
        <w:rPr>
          <w:szCs w:val="24"/>
        </w:rPr>
        <w:t>e matter.</w:t>
      </w:r>
    </w:p>
    <w:p w:rsidR="00583E25" w:rsidRPr="001F612D" w:rsidRDefault="00583E25" w:rsidP="00FF1CBE">
      <w:pPr>
        <w:jc w:val="both"/>
        <w:rPr>
          <w:b/>
          <w:szCs w:val="24"/>
        </w:rPr>
      </w:pPr>
      <w:r w:rsidRPr="001F612D">
        <w:rPr>
          <w:b/>
          <w:szCs w:val="24"/>
        </w:rPr>
        <w:t>Urgency</w:t>
      </w:r>
    </w:p>
    <w:p w:rsidR="00583E25" w:rsidRPr="001F612D" w:rsidRDefault="00583E25" w:rsidP="00FF1CBE">
      <w:pPr>
        <w:jc w:val="both"/>
        <w:rPr>
          <w:szCs w:val="24"/>
        </w:rPr>
      </w:pPr>
      <w:r w:rsidRPr="001F612D">
        <w:rPr>
          <w:szCs w:val="24"/>
        </w:rPr>
        <w:tab/>
        <w:t>The respondents contend t</w:t>
      </w:r>
      <w:r w:rsidR="00FF5D2E" w:rsidRPr="001F612D">
        <w:rPr>
          <w:szCs w:val="24"/>
        </w:rPr>
        <w:t>h</w:t>
      </w:r>
      <w:r w:rsidRPr="001F612D">
        <w:rPr>
          <w:szCs w:val="24"/>
        </w:rPr>
        <w:t>at this matter is not urgent at all, by any stretch of imagination.  In judging whether an application is urgent one has to consider that which is claimed to be the c</w:t>
      </w:r>
      <w:r w:rsidR="00FF5D2E" w:rsidRPr="001F612D">
        <w:rPr>
          <w:szCs w:val="24"/>
        </w:rPr>
        <w:t>a</w:t>
      </w:r>
      <w:r w:rsidRPr="001F612D">
        <w:rPr>
          <w:szCs w:val="24"/>
        </w:rPr>
        <w:t>use for urgency.  The court must in t</w:t>
      </w:r>
      <w:r w:rsidR="00FF5D2E" w:rsidRPr="001F612D">
        <w:rPr>
          <w:szCs w:val="24"/>
        </w:rPr>
        <w:t>h</w:t>
      </w:r>
      <w:r w:rsidRPr="001F612D">
        <w:rPr>
          <w:szCs w:val="24"/>
        </w:rPr>
        <w:t>is regard examine t</w:t>
      </w:r>
      <w:r w:rsidR="00FF5D2E" w:rsidRPr="001F612D">
        <w:rPr>
          <w:szCs w:val="24"/>
        </w:rPr>
        <w:t>h</w:t>
      </w:r>
      <w:r w:rsidRPr="001F612D">
        <w:rPr>
          <w:szCs w:val="24"/>
        </w:rPr>
        <w:t>e cause of the urgency and the relief soug</w:t>
      </w:r>
      <w:r w:rsidR="00FF5D2E" w:rsidRPr="001F612D">
        <w:rPr>
          <w:szCs w:val="24"/>
        </w:rPr>
        <w:t>h</w:t>
      </w:r>
      <w:r w:rsidRPr="001F612D">
        <w:rPr>
          <w:szCs w:val="24"/>
        </w:rPr>
        <w:t>t.  This application was filed in court on the 8</w:t>
      </w:r>
      <w:r w:rsidRPr="001F612D">
        <w:rPr>
          <w:szCs w:val="24"/>
          <w:vertAlign w:val="superscript"/>
        </w:rPr>
        <w:t>th</w:t>
      </w:r>
      <w:r w:rsidRPr="001F612D">
        <w:rPr>
          <w:szCs w:val="24"/>
        </w:rPr>
        <w:t xml:space="preserve"> May 2019, but was served on the respondents on 15</w:t>
      </w:r>
      <w:r w:rsidRPr="001F612D">
        <w:rPr>
          <w:szCs w:val="24"/>
          <w:vertAlign w:val="superscript"/>
        </w:rPr>
        <w:t>th</w:t>
      </w:r>
      <w:r w:rsidRPr="001F612D">
        <w:rPr>
          <w:szCs w:val="24"/>
        </w:rPr>
        <w:t xml:space="preserve"> May 2019.  I observe that from t</w:t>
      </w:r>
      <w:r w:rsidR="00FF5D2E" w:rsidRPr="001F612D">
        <w:rPr>
          <w:szCs w:val="24"/>
        </w:rPr>
        <w:t>h</w:t>
      </w:r>
      <w:r w:rsidR="006331EE">
        <w:rPr>
          <w:szCs w:val="24"/>
        </w:rPr>
        <w:t xml:space="preserve">e record I gave </w:t>
      </w:r>
      <w:r w:rsidRPr="001F612D">
        <w:rPr>
          <w:szCs w:val="24"/>
        </w:rPr>
        <w:t>direction</w:t>
      </w:r>
      <w:r w:rsidR="006331EE">
        <w:rPr>
          <w:szCs w:val="24"/>
        </w:rPr>
        <w:t>s</w:t>
      </w:r>
      <w:r w:rsidRPr="001F612D">
        <w:rPr>
          <w:szCs w:val="24"/>
        </w:rPr>
        <w:t xml:space="preserve"> on the 9</w:t>
      </w:r>
      <w:r w:rsidRPr="001F612D">
        <w:rPr>
          <w:szCs w:val="24"/>
          <w:vertAlign w:val="superscript"/>
        </w:rPr>
        <w:t>th</w:t>
      </w:r>
      <w:r w:rsidRPr="001F612D">
        <w:rPr>
          <w:szCs w:val="24"/>
        </w:rPr>
        <w:t xml:space="preserve"> May 2019 for the matter to be set down for hearing.  I indicated that the respondents were to be served with a copy of</w:t>
      </w:r>
      <w:r w:rsidR="00FB65FD">
        <w:rPr>
          <w:szCs w:val="24"/>
        </w:rPr>
        <w:t xml:space="preserve"> the urgent chamber application.</w:t>
      </w:r>
      <w:r w:rsidR="00490EA2">
        <w:rPr>
          <w:szCs w:val="24"/>
        </w:rPr>
        <w:t xml:space="preserve"> The applicant does not explain why there was a delay in serving the process on the respondents.</w:t>
      </w:r>
    </w:p>
    <w:p w:rsidR="00583E25" w:rsidRPr="001F612D" w:rsidRDefault="00583E25" w:rsidP="00FF1CBE">
      <w:pPr>
        <w:jc w:val="both"/>
        <w:rPr>
          <w:szCs w:val="24"/>
        </w:rPr>
      </w:pPr>
      <w:r w:rsidRPr="001F612D">
        <w:rPr>
          <w:szCs w:val="24"/>
        </w:rPr>
        <w:tab/>
        <w:t>The applicant essentially seeks in its draft order th</w:t>
      </w:r>
      <w:r w:rsidR="00FF5D2E" w:rsidRPr="001F612D">
        <w:rPr>
          <w:szCs w:val="24"/>
        </w:rPr>
        <w:t>a</w:t>
      </w:r>
      <w:r w:rsidRPr="001F612D">
        <w:rPr>
          <w:szCs w:val="24"/>
        </w:rPr>
        <w:t xml:space="preserve">t mining operations be stopped pending the final determination of the application for review filed under case number HC 1038/19.  That application is not before me and therefore I shall </w:t>
      </w:r>
      <w:r w:rsidR="003E2047" w:rsidRPr="001F612D">
        <w:rPr>
          <w:szCs w:val="24"/>
        </w:rPr>
        <w:t>not delve into the</w:t>
      </w:r>
      <w:r w:rsidR="00B75541">
        <w:rPr>
          <w:szCs w:val="24"/>
        </w:rPr>
        <w:t xml:space="preserve"> merits or demerits of the</w:t>
      </w:r>
      <w:r w:rsidR="003E2047" w:rsidRPr="001F612D">
        <w:rPr>
          <w:szCs w:val="24"/>
        </w:rPr>
        <w:t xml:space="preserve"> review application, currently pending.</w:t>
      </w:r>
    </w:p>
    <w:p w:rsidR="003E2047" w:rsidRPr="001F612D" w:rsidRDefault="003E2047" w:rsidP="00FF1CBE">
      <w:pPr>
        <w:jc w:val="both"/>
        <w:rPr>
          <w:szCs w:val="24"/>
        </w:rPr>
      </w:pPr>
      <w:r w:rsidRPr="001F612D">
        <w:rPr>
          <w:szCs w:val="24"/>
        </w:rPr>
        <w:tab/>
        <w:t>It is tri</w:t>
      </w:r>
      <w:r w:rsidR="00FF5D2E" w:rsidRPr="001F612D">
        <w:rPr>
          <w:szCs w:val="24"/>
        </w:rPr>
        <w:t xml:space="preserve">te law that a matter is urgent </w:t>
      </w:r>
      <w:r w:rsidRPr="001F612D">
        <w:rPr>
          <w:szCs w:val="24"/>
        </w:rPr>
        <w:t>if at the time the need to act arises, the matter simply cannot wait.  The question to be asked in this matter is w</w:t>
      </w:r>
      <w:r w:rsidR="00FF5D2E" w:rsidRPr="001F612D">
        <w:rPr>
          <w:szCs w:val="24"/>
        </w:rPr>
        <w:t>h</w:t>
      </w:r>
      <w:r w:rsidRPr="001F612D">
        <w:rPr>
          <w:szCs w:val="24"/>
        </w:rPr>
        <w:t>en</w:t>
      </w:r>
      <w:r w:rsidR="00FF5D2E" w:rsidRPr="001F612D">
        <w:rPr>
          <w:szCs w:val="24"/>
        </w:rPr>
        <w:t xml:space="preserve"> </w:t>
      </w:r>
      <w:r w:rsidRPr="001F612D">
        <w:rPr>
          <w:szCs w:val="24"/>
        </w:rPr>
        <w:t>t</w:t>
      </w:r>
      <w:r w:rsidR="00FF5D2E" w:rsidRPr="001F612D">
        <w:rPr>
          <w:szCs w:val="24"/>
        </w:rPr>
        <w:t>h</w:t>
      </w:r>
      <w:r w:rsidRPr="001F612D">
        <w:rPr>
          <w:szCs w:val="24"/>
        </w:rPr>
        <w:t>e need to act arose.  On the facts as presented by t</w:t>
      </w:r>
      <w:r w:rsidR="00FF5D2E" w:rsidRPr="001F612D">
        <w:rPr>
          <w:szCs w:val="24"/>
        </w:rPr>
        <w:t>h</w:t>
      </w:r>
      <w:r w:rsidRPr="001F612D">
        <w:rPr>
          <w:szCs w:val="24"/>
        </w:rPr>
        <w:t>e applicant one has to ascertain wh</w:t>
      </w:r>
      <w:r w:rsidR="001F612D" w:rsidRPr="001F612D">
        <w:rPr>
          <w:szCs w:val="24"/>
        </w:rPr>
        <w:t>e</w:t>
      </w:r>
      <w:r w:rsidRPr="001F612D">
        <w:rPr>
          <w:szCs w:val="24"/>
        </w:rPr>
        <w:t>n applicant became aware or should have been aware that there w</w:t>
      </w:r>
      <w:r w:rsidR="001F612D" w:rsidRPr="001F612D">
        <w:rPr>
          <w:szCs w:val="24"/>
        </w:rPr>
        <w:t>h</w:t>
      </w:r>
      <w:r w:rsidRPr="001F612D">
        <w:rPr>
          <w:szCs w:val="24"/>
        </w:rPr>
        <w:t>ere mining operation</w:t>
      </w:r>
      <w:r w:rsidR="00C945EF">
        <w:rPr>
          <w:szCs w:val="24"/>
        </w:rPr>
        <w:t>s</w:t>
      </w:r>
      <w:r w:rsidRPr="001F612D">
        <w:rPr>
          <w:szCs w:val="24"/>
        </w:rPr>
        <w:t xml:space="preserve"> on a s</w:t>
      </w:r>
      <w:r w:rsidR="001F612D" w:rsidRPr="001F612D">
        <w:rPr>
          <w:szCs w:val="24"/>
        </w:rPr>
        <w:t>h</w:t>
      </w:r>
      <w:r w:rsidRPr="001F612D">
        <w:rPr>
          <w:szCs w:val="24"/>
        </w:rPr>
        <w:t>aft it claims to be within i</w:t>
      </w:r>
      <w:r w:rsidR="007465B2">
        <w:rPr>
          <w:szCs w:val="24"/>
        </w:rPr>
        <w:t>ts claims.  The respondents allege</w:t>
      </w:r>
      <w:r w:rsidRPr="001F612D">
        <w:rPr>
          <w:szCs w:val="24"/>
        </w:rPr>
        <w:t xml:space="preserve"> that t</w:t>
      </w:r>
      <w:r w:rsidR="001F612D" w:rsidRPr="001F612D">
        <w:rPr>
          <w:szCs w:val="24"/>
        </w:rPr>
        <w:t>h</w:t>
      </w:r>
      <w:r w:rsidRPr="001F612D">
        <w:rPr>
          <w:szCs w:val="24"/>
        </w:rPr>
        <w:t xml:space="preserve">ey have been mining in the disputed area since 2009, a period in excess </w:t>
      </w:r>
      <w:r w:rsidRPr="001F612D">
        <w:rPr>
          <w:szCs w:val="24"/>
        </w:rPr>
        <w:lastRenderedPageBreak/>
        <w:t xml:space="preserve">of 10 years. </w:t>
      </w:r>
      <w:r w:rsidR="00364A67">
        <w:rPr>
          <w:szCs w:val="24"/>
        </w:rPr>
        <w:t>This is disputed by the applicant.</w:t>
      </w:r>
      <w:r w:rsidRPr="001F612D">
        <w:rPr>
          <w:szCs w:val="24"/>
        </w:rPr>
        <w:t xml:space="preserve"> The applicant’s agent, Mr Muyambo is</w:t>
      </w:r>
      <w:r w:rsidR="00A9462F">
        <w:rPr>
          <w:szCs w:val="24"/>
        </w:rPr>
        <w:t xml:space="preserve"> further</w:t>
      </w:r>
      <w:r w:rsidRPr="001F612D">
        <w:rPr>
          <w:szCs w:val="24"/>
        </w:rPr>
        <w:t xml:space="preserve"> alleged to h</w:t>
      </w:r>
      <w:r w:rsidR="001F612D" w:rsidRPr="001F612D">
        <w:rPr>
          <w:szCs w:val="24"/>
        </w:rPr>
        <w:t>a</w:t>
      </w:r>
      <w:r w:rsidRPr="001F612D">
        <w:rPr>
          <w:szCs w:val="24"/>
        </w:rPr>
        <w:t xml:space="preserve">ve been mining in close proximity to the disputed shafts for a long time.  It </w:t>
      </w:r>
      <w:r w:rsidR="00ED42B5">
        <w:rPr>
          <w:szCs w:val="24"/>
        </w:rPr>
        <w:t>is contended by the respondents</w:t>
      </w:r>
      <w:r w:rsidRPr="001F612D">
        <w:rPr>
          <w:szCs w:val="24"/>
        </w:rPr>
        <w:t xml:space="preserve"> that the applicant’s agent has been conducting mining operations in the same area for the past 10 years.  A further argument raised by the respondents is that the applicant </w:t>
      </w:r>
      <w:r w:rsidR="001F612D" w:rsidRPr="001F612D">
        <w:rPr>
          <w:szCs w:val="24"/>
        </w:rPr>
        <w:t>h</w:t>
      </w:r>
      <w:r w:rsidRPr="001F612D">
        <w:rPr>
          <w:szCs w:val="24"/>
        </w:rPr>
        <w:t>as not been candid wit</w:t>
      </w:r>
      <w:r w:rsidR="001F612D" w:rsidRPr="001F612D">
        <w:rPr>
          <w:szCs w:val="24"/>
        </w:rPr>
        <w:t>h</w:t>
      </w:r>
      <w:r w:rsidRPr="001F612D">
        <w:rPr>
          <w:szCs w:val="24"/>
        </w:rPr>
        <w:t xml:space="preserve"> t</w:t>
      </w:r>
      <w:r w:rsidR="001F612D" w:rsidRPr="001F612D">
        <w:rPr>
          <w:szCs w:val="24"/>
        </w:rPr>
        <w:t>h</w:t>
      </w:r>
      <w:r w:rsidRPr="001F612D">
        <w:rPr>
          <w:szCs w:val="24"/>
        </w:rPr>
        <w:t>e court an</w:t>
      </w:r>
      <w:r w:rsidR="000F69DF">
        <w:rPr>
          <w:szCs w:val="24"/>
        </w:rPr>
        <w:t>d has not disclosed, as it ought</w:t>
      </w:r>
      <w:r w:rsidRPr="001F612D">
        <w:rPr>
          <w:szCs w:val="24"/>
        </w:rPr>
        <w:t xml:space="preserve"> to have done, that it did not protect its claims in the Hope Fountain area for over 10 years.  Applicant</w:t>
      </w:r>
      <w:r w:rsidR="00EC0644">
        <w:rPr>
          <w:szCs w:val="24"/>
        </w:rPr>
        <w:t xml:space="preserve"> only</w:t>
      </w:r>
      <w:r w:rsidRPr="001F612D">
        <w:rPr>
          <w:szCs w:val="24"/>
        </w:rPr>
        <w:t xml:space="preserve"> paid inspection fees for its claims in January 2019 after</w:t>
      </w:r>
      <w:r w:rsidR="00EC0644">
        <w:rPr>
          <w:szCs w:val="24"/>
        </w:rPr>
        <w:t xml:space="preserve"> several</w:t>
      </w:r>
      <w:r w:rsidRPr="001F612D">
        <w:rPr>
          <w:szCs w:val="24"/>
        </w:rPr>
        <w:t xml:space="preserve"> years of neglect.</w:t>
      </w:r>
    </w:p>
    <w:p w:rsidR="003E2047" w:rsidRPr="001F612D" w:rsidRDefault="003E2047" w:rsidP="00FF1CBE">
      <w:pPr>
        <w:jc w:val="both"/>
        <w:rPr>
          <w:szCs w:val="24"/>
        </w:rPr>
      </w:pPr>
      <w:r w:rsidRPr="001F612D">
        <w:rPr>
          <w:szCs w:val="24"/>
        </w:rPr>
        <w:tab/>
        <w:t>It is common cause t</w:t>
      </w:r>
      <w:r w:rsidR="001F612D" w:rsidRPr="001F612D">
        <w:rPr>
          <w:szCs w:val="24"/>
        </w:rPr>
        <w:t>h</w:t>
      </w:r>
      <w:r w:rsidRPr="001F612D">
        <w:rPr>
          <w:szCs w:val="24"/>
        </w:rPr>
        <w:t>at mining rights are derived in terms of</w:t>
      </w:r>
      <w:r w:rsidR="004E6B55" w:rsidRPr="001F612D">
        <w:rPr>
          <w:szCs w:val="24"/>
        </w:rPr>
        <w:t xml:space="preserve"> the Mines and Minerals Act (Chapter 21:05).  In terms of section 197 and 198 of the Act mining rights are preserved by t</w:t>
      </w:r>
      <w:r w:rsidR="001F612D" w:rsidRPr="001F612D">
        <w:rPr>
          <w:szCs w:val="24"/>
        </w:rPr>
        <w:t>h</w:t>
      </w:r>
      <w:r w:rsidR="004E6B55" w:rsidRPr="001F612D">
        <w:rPr>
          <w:szCs w:val="24"/>
        </w:rPr>
        <w:t>e payment of inspection fees.  Ins</w:t>
      </w:r>
      <w:r w:rsidR="001F612D" w:rsidRPr="001F612D">
        <w:rPr>
          <w:szCs w:val="24"/>
        </w:rPr>
        <w:t>pe</w:t>
      </w:r>
      <w:r w:rsidR="004E6B55" w:rsidRPr="001F612D">
        <w:rPr>
          <w:szCs w:val="24"/>
        </w:rPr>
        <w:t>ction certificates are issued every 12 months.  The office of the 1</w:t>
      </w:r>
      <w:r w:rsidR="004E6B55" w:rsidRPr="001F612D">
        <w:rPr>
          <w:szCs w:val="24"/>
          <w:vertAlign w:val="superscript"/>
        </w:rPr>
        <w:t>st</w:t>
      </w:r>
      <w:r w:rsidR="004E6B55" w:rsidRPr="001F612D">
        <w:rPr>
          <w:szCs w:val="24"/>
        </w:rPr>
        <w:t xml:space="preserve"> respondent is empowered to collect such inspection fees.</w:t>
      </w:r>
    </w:p>
    <w:p w:rsidR="004E6B55" w:rsidRPr="001F612D" w:rsidRDefault="004E6B55" w:rsidP="00FF1CBE">
      <w:pPr>
        <w:jc w:val="both"/>
        <w:rPr>
          <w:szCs w:val="24"/>
        </w:rPr>
      </w:pPr>
      <w:r w:rsidRPr="001F612D">
        <w:rPr>
          <w:szCs w:val="24"/>
        </w:rPr>
        <w:tab/>
        <w:t>For a period in excess of 10 years the applicant neither worked its claims no</w:t>
      </w:r>
      <w:r w:rsidR="001F612D" w:rsidRPr="001F612D">
        <w:rPr>
          <w:szCs w:val="24"/>
        </w:rPr>
        <w:t>r</w:t>
      </w:r>
      <w:r w:rsidRPr="001F612D">
        <w:rPr>
          <w:szCs w:val="24"/>
        </w:rPr>
        <w:t xml:space="preserve"> had inspection fees paid in respect of the disputed claims.  Urgency </w:t>
      </w:r>
      <w:r w:rsidR="001F612D" w:rsidRPr="001F612D">
        <w:rPr>
          <w:szCs w:val="24"/>
        </w:rPr>
        <w:t>w</w:t>
      </w:r>
      <w:r w:rsidRPr="001F612D">
        <w:rPr>
          <w:szCs w:val="24"/>
        </w:rPr>
        <w:t>hich arises from a deliberate or c</w:t>
      </w:r>
      <w:r w:rsidR="001F612D" w:rsidRPr="001F612D">
        <w:rPr>
          <w:szCs w:val="24"/>
        </w:rPr>
        <w:t>a</w:t>
      </w:r>
      <w:r w:rsidRPr="001F612D">
        <w:rPr>
          <w:szCs w:val="24"/>
        </w:rPr>
        <w:t>reless absentee</w:t>
      </w:r>
      <w:r w:rsidR="001F612D" w:rsidRPr="001F612D">
        <w:rPr>
          <w:szCs w:val="24"/>
        </w:rPr>
        <w:t>i</w:t>
      </w:r>
      <w:r w:rsidRPr="001F612D">
        <w:rPr>
          <w:szCs w:val="24"/>
        </w:rPr>
        <w:t>sm from action is not the urgency contemplated by t</w:t>
      </w:r>
      <w:r w:rsidR="001F612D" w:rsidRPr="001F612D">
        <w:rPr>
          <w:szCs w:val="24"/>
        </w:rPr>
        <w:t>h</w:t>
      </w:r>
      <w:r w:rsidRPr="001F612D">
        <w:rPr>
          <w:szCs w:val="24"/>
        </w:rPr>
        <w:t xml:space="preserve">e Rules of this </w:t>
      </w:r>
      <w:r w:rsidR="001F612D" w:rsidRPr="001F612D">
        <w:rPr>
          <w:szCs w:val="24"/>
        </w:rPr>
        <w:t>c</w:t>
      </w:r>
      <w:r w:rsidRPr="001F612D">
        <w:rPr>
          <w:szCs w:val="24"/>
        </w:rPr>
        <w:t>ourt.  It has been established in a number of cases of this court and the Supreme Court that the law is for the vigilant and not the sluggard.</w:t>
      </w:r>
    </w:p>
    <w:p w:rsidR="004E6B55" w:rsidRPr="001F612D" w:rsidRDefault="004E6B55" w:rsidP="00FF1CBE">
      <w:pPr>
        <w:jc w:val="both"/>
        <w:rPr>
          <w:szCs w:val="24"/>
        </w:rPr>
      </w:pPr>
      <w:r w:rsidRPr="001F612D">
        <w:rPr>
          <w:szCs w:val="24"/>
        </w:rPr>
        <w:tab/>
        <w:t>In this urgent application I note t</w:t>
      </w:r>
      <w:r w:rsidR="001F612D" w:rsidRPr="001F612D">
        <w:rPr>
          <w:szCs w:val="24"/>
        </w:rPr>
        <w:t>h</w:t>
      </w:r>
      <w:r w:rsidRPr="001F612D">
        <w:rPr>
          <w:szCs w:val="24"/>
        </w:rPr>
        <w:t>at t</w:t>
      </w:r>
      <w:r w:rsidR="001F612D" w:rsidRPr="001F612D">
        <w:rPr>
          <w:szCs w:val="24"/>
        </w:rPr>
        <w:t>h</w:t>
      </w:r>
      <w:r w:rsidRPr="001F612D">
        <w:rPr>
          <w:szCs w:val="24"/>
        </w:rPr>
        <w:t>e applicant seeks the remedy of an interdict even without laying the foundation for the grant of an interdict.  I shall, however not delve i</w:t>
      </w:r>
      <w:r w:rsidR="001F612D" w:rsidRPr="001F612D">
        <w:rPr>
          <w:szCs w:val="24"/>
        </w:rPr>
        <w:t>nto that aspect as I have to be</w:t>
      </w:r>
      <w:r w:rsidRPr="001F612D">
        <w:rPr>
          <w:szCs w:val="24"/>
        </w:rPr>
        <w:t xml:space="preserve"> convinced that the matter is indeed urgent.  In </w:t>
      </w:r>
      <w:r w:rsidRPr="001F612D">
        <w:rPr>
          <w:i/>
          <w:szCs w:val="24"/>
        </w:rPr>
        <w:t>Mu</w:t>
      </w:r>
      <w:r w:rsidR="0046671B">
        <w:rPr>
          <w:i/>
          <w:szCs w:val="24"/>
        </w:rPr>
        <w:t>sunga</w:t>
      </w:r>
      <w:r w:rsidRPr="001F612D">
        <w:rPr>
          <w:szCs w:val="24"/>
        </w:rPr>
        <w:t xml:space="preserve"> v </w:t>
      </w:r>
      <w:r w:rsidRPr="001F612D">
        <w:rPr>
          <w:i/>
          <w:szCs w:val="24"/>
        </w:rPr>
        <w:t>Utete &amp; Anor</w:t>
      </w:r>
      <w:r w:rsidR="001F612D" w:rsidRPr="001F612D">
        <w:rPr>
          <w:i/>
          <w:szCs w:val="24"/>
        </w:rPr>
        <w:t xml:space="preserve"> </w:t>
      </w:r>
      <w:r w:rsidR="001F612D" w:rsidRPr="001F612D">
        <w:rPr>
          <w:szCs w:val="24"/>
        </w:rPr>
        <w:t>HH</w:t>
      </w:r>
      <w:r w:rsidRPr="001F612D">
        <w:rPr>
          <w:szCs w:val="24"/>
        </w:rPr>
        <w:t xml:space="preserve"> -90-03 </w:t>
      </w:r>
      <w:r w:rsidR="000F13EB">
        <w:rPr>
          <w:szCs w:val="24"/>
        </w:rPr>
        <w:t xml:space="preserve">at page 2 of the cyclostyled judgment </w:t>
      </w:r>
      <w:r w:rsidRPr="001F612D">
        <w:rPr>
          <w:szCs w:val="24"/>
        </w:rPr>
        <w:t>M</w:t>
      </w:r>
      <w:r w:rsidRPr="00FF1CBE">
        <w:rPr>
          <w:sz w:val="20"/>
          <w:szCs w:val="20"/>
        </w:rPr>
        <w:t>AKARAU</w:t>
      </w:r>
      <w:r w:rsidRPr="001F612D">
        <w:rPr>
          <w:szCs w:val="24"/>
        </w:rPr>
        <w:t xml:space="preserve"> J (as she then was) had this to say on the question of urgency:</w:t>
      </w:r>
    </w:p>
    <w:p w:rsidR="004E6B55" w:rsidRPr="001F612D" w:rsidRDefault="004E6B55" w:rsidP="00FF1CBE">
      <w:pPr>
        <w:pStyle w:val="NoSpacing"/>
        <w:ind w:left="720"/>
        <w:jc w:val="both"/>
        <w:rPr>
          <w:szCs w:val="24"/>
        </w:rPr>
      </w:pPr>
      <w:r w:rsidRPr="00F01884">
        <w:rPr>
          <w:i/>
          <w:szCs w:val="24"/>
        </w:rPr>
        <w:t>“It is trite that no litigant is entitled as of right to have is/her matter heard urgently …</w:t>
      </w:r>
      <w:r w:rsidRPr="001F612D">
        <w:rPr>
          <w:szCs w:val="24"/>
        </w:rPr>
        <w:t xml:space="preserve">  </w:t>
      </w:r>
      <w:r w:rsidRPr="00F01884">
        <w:rPr>
          <w:i/>
          <w:szCs w:val="24"/>
        </w:rPr>
        <w:t>The test for urgency as provide</w:t>
      </w:r>
      <w:r w:rsidR="001F612D" w:rsidRPr="00F01884">
        <w:rPr>
          <w:i/>
          <w:szCs w:val="24"/>
        </w:rPr>
        <w:t>d</w:t>
      </w:r>
      <w:r w:rsidRPr="00F01884">
        <w:rPr>
          <w:i/>
          <w:szCs w:val="24"/>
        </w:rPr>
        <w:t xml:space="preserve"> under the rules is that the matter must be so urgent that the risk of irreparable harm …  So great that this matter must proceed within the normal</w:t>
      </w:r>
      <w:r w:rsidRPr="001F612D">
        <w:rPr>
          <w:szCs w:val="24"/>
        </w:rPr>
        <w:t xml:space="preserve"> </w:t>
      </w:r>
      <w:r w:rsidRPr="00F01884">
        <w:rPr>
          <w:i/>
          <w:szCs w:val="24"/>
        </w:rPr>
        <w:t>time frame provided for in the rules.  To assist the court in assessing the urgency of the</w:t>
      </w:r>
      <w:r w:rsidRPr="001F612D">
        <w:rPr>
          <w:szCs w:val="24"/>
        </w:rPr>
        <w:t xml:space="preserve"> </w:t>
      </w:r>
      <w:r w:rsidRPr="00F01884">
        <w:rPr>
          <w:i/>
          <w:szCs w:val="24"/>
        </w:rPr>
        <w:t>matter legal practitioners, as officers of the court, are required to give their</w:t>
      </w:r>
      <w:r w:rsidR="001E4F76" w:rsidRPr="00F01884">
        <w:rPr>
          <w:i/>
          <w:szCs w:val="24"/>
        </w:rPr>
        <w:t xml:space="preserve"> honest</w:t>
      </w:r>
      <w:r w:rsidR="001E4F76" w:rsidRPr="001F612D">
        <w:rPr>
          <w:szCs w:val="24"/>
        </w:rPr>
        <w:t xml:space="preserve"> </w:t>
      </w:r>
      <w:r w:rsidR="001E4F76" w:rsidRPr="00F01884">
        <w:rPr>
          <w:i/>
          <w:szCs w:val="24"/>
        </w:rPr>
        <w:t>opinion on why they consider the matter urgent. …”</w:t>
      </w:r>
    </w:p>
    <w:p w:rsidR="001E4F76" w:rsidRPr="001F612D" w:rsidRDefault="001E4F76" w:rsidP="00FF1CBE">
      <w:pPr>
        <w:jc w:val="both"/>
        <w:rPr>
          <w:szCs w:val="24"/>
        </w:rPr>
      </w:pPr>
      <w:r w:rsidRPr="001F612D">
        <w:rPr>
          <w:szCs w:val="24"/>
        </w:rPr>
        <w:lastRenderedPageBreak/>
        <w:tab/>
        <w:t xml:space="preserve">See also </w:t>
      </w:r>
      <w:r w:rsidRPr="001F612D">
        <w:rPr>
          <w:i/>
          <w:szCs w:val="24"/>
        </w:rPr>
        <w:t xml:space="preserve">Kuvarega </w:t>
      </w:r>
      <w:r w:rsidRPr="001F612D">
        <w:rPr>
          <w:szCs w:val="24"/>
        </w:rPr>
        <w:t xml:space="preserve">v </w:t>
      </w:r>
      <w:r w:rsidRPr="001F612D">
        <w:rPr>
          <w:i/>
          <w:szCs w:val="24"/>
        </w:rPr>
        <w:t>Registrar General &amp; Anor</w:t>
      </w:r>
      <w:r w:rsidRPr="001F612D">
        <w:rPr>
          <w:szCs w:val="24"/>
        </w:rPr>
        <w:t xml:space="preserve"> 1998 (1) ZLR 188 HC and </w:t>
      </w:r>
      <w:r w:rsidRPr="001F612D">
        <w:rPr>
          <w:i/>
          <w:szCs w:val="24"/>
        </w:rPr>
        <w:t>Granspeak</w:t>
      </w:r>
      <w:r w:rsidR="00FF1CBE">
        <w:rPr>
          <w:i/>
          <w:szCs w:val="24"/>
        </w:rPr>
        <w:t xml:space="preserve"> </w:t>
      </w:r>
      <w:r w:rsidRPr="001F612D">
        <w:rPr>
          <w:i/>
          <w:szCs w:val="24"/>
        </w:rPr>
        <w:t>Investments (Pvt) Ltd</w:t>
      </w:r>
      <w:r w:rsidRPr="001F612D">
        <w:rPr>
          <w:szCs w:val="24"/>
        </w:rPr>
        <w:t xml:space="preserve"> v </w:t>
      </w:r>
      <w:r w:rsidRPr="001F612D">
        <w:rPr>
          <w:i/>
          <w:szCs w:val="24"/>
        </w:rPr>
        <w:t>Delta Operation (Pvt) Ltd &amp; Anor</w:t>
      </w:r>
      <w:r w:rsidRPr="001F612D">
        <w:rPr>
          <w:szCs w:val="24"/>
        </w:rPr>
        <w:t xml:space="preserve"> 2011 (2) ZLR 551.</w:t>
      </w:r>
    </w:p>
    <w:p w:rsidR="001E4F76" w:rsidRPr="001F612D" w:rsidRDefault="001E4F76" w:rsidP="00FF1CBE">
      <w:pPr>
        <w:jc w:val="both"/>
        <w:rPr>
          <w:szCs w:val="24"/>
        </w:rPr>
      </w:pPr>
      <w:r w:rsidRPr="001F612D">
        <w:rPr>
          <w:szCs w:val="24"/>
        </w:rPr>
        <w:tab/>
        <w:t xml:space="preserve">In this matter the applicant </w:t>
      </w:r>
      <w:r w:rsidR="001F612D" w:rsidRPr="001F612D">
        <w:rPr>
          <w:szCs w:val="24"/>
        </w:rPr>
        <w:t>h</w:t>
      </w:r>
      <w:r w:rsidRPr="001F612D">
        <w:rPr>
          <w:szCs w:val="24"/>
        </w:rPr>
        <w:t xml:space="preserve">as not set out any basis for the matter to be treated on </w:t>
      </w:r>
      <w:r w:rsidR="001F612D" w:rsidRPr="001F612D">
        <w:rPr>
          <w:szCs w:val="24"/>
        </w:rPr>
        <w:t>an</w:t>
      </w:r>
      <w:r w:rsidRPr="001F612D">
        <w:rPr>
          <w:szCs w:val="24"/>
        </w:rPr>
        <w:t xml:space="preserve"> urgent.  The fact that an application for review has been filed does not itself create the sort of urgency contemplated in t</w:t>
      </w:r>
      <w:r w:rsidR="001F612D" w:rsidRPr="001F612D">
        <w:rPr>
          <w:szCs w:val="24"/>
        </w:rPr>
        <w:t>h</w:t>
      </w:r>
      <w:r w:rsidRPr="001F612D">
        <w:rPr>
          <w:szCs w:val="24"/>
        </w:rPr>
        <w:t>e rules of this court.</w:t>
      </w:r>
    </w:p>
    <w:p w:rsidR="001E4F76" w:rsidRPr="001F612D" w:rsidRDefault="001E4F76" w:rsidP="00FF1CBE">
      <w:pPr>
        <w:jc w:val="both"/>
        <w:rPr>
          <w:szCs w:val="24"/>
        </w:rPr>
      </w:pPr>
      <w:r w:rsidRPr="001F612D">
        <w:rPr>
          <w:szCs w:val="24"/>
        </w:rPr>
        <w:tab/>
        <w:t>I find it unnecessary to deal with t</w:t>
      </w:r>
      <w:r w:rsidR="001F612D" w:rsidRPr="001F612D">
        <w:rPr>
          <w:szCs w:val="24"/>
        </w:rPr>
        <w:t>h</w:t>
      </w:r>
      <w:r w:rsidRPr="001F612D">
        <w:rPr>
          <w:szCs w:val="24"/>
        </w:rPr>
        <w:t xml:space="preserve">e rest of the preliminary issues raised and find that </w:t>
      </w:r>
      <w:r w:rsidR="00FF1CBE">
        <w:rPr>
          <w:szCs w:val="24"/>
        </w:rPr>
        <w:t>t</w:t>
      </w:r>
      <w:r w:rsidRPr="001F612D">
        <w:rPr>
          <w:szCs w:val="24"/>
        </w:rPr>
        <w:t>he application is indeed not urgent.</w:t>
      </w:r>
    </w:p>
    <w:p w:rsidR="001E4F76" w:rsidRPr="001F612D" w:rsidRDefault="001E4F76" w:rsidP="00FF1CBE">
      <w:pPr>
        <w:jc w:val="both"/>
        <w:rPr>
          <w:szCs w:val="24"/>
        </w:rPr>
      </w:pPr>
      <w:r w:rsidRPr="001F612D">
        <w:rPr>
          <w:szCs w:val="24"/>
        </w:rPr>
        <w:tab/>
        <w:t>In the result, the following order is made:</w:t>
      </w:r>
    </w:p>
    <w:p w:rsidR="001E4F76" w:rsidRPr="001F612D" w:rsidRDefault="001E4F76" w:rsidP="00FF1CBE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1F612D">
        <w:rPr>
          <w:szCs w:val="24"/>
        </w:rPr>
        <w:t>The matter is not urgent.</w:t>
      </w:r>
    </w:p>
    <w:p w:rsidR="001E4F76" w:rsidRPr="001F612D" w:rsidRDefault="001E4F76" w:rsidP="00FF1CBE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1F612D">
        <w:rPr>
          <w:szCs w:val="24"/>
        </w:rPr>
        <w:t>The matter is removed from the roll of urgent matters.</w:t>
      </w:r>
    </w:p>
    <w:p w:rsidR="001E4F76" w:rsidRPr="001F612D" w:rsidRDefault="001E4F76" w:rsidP="00FF1CBE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1F612D">
        <w:rPr>
          <w:szCs w:val="24"/>
        </w:rPr>
        <w:t>The applicant shall bear t</w:t>
      </w:r>
      <w:r w:rsidR="00197408" w:rsidRPr="001F612D">
        <w:rPr>
          <w:szCs w:val="24"/>
        </w:rPr>
        <w:t>h</w:t>
      </w:r>
      <w:r w:rsidRPr="001F612D">
        <w:rPr>
          <w:szCs w:val="24"/>
        </w:rPr>
        <w:t>e costs of suit on the ordinary scale.</w:t>
      </w:r>
    </w:p>
    <w:p w:rsidR="001E4F76" w:rsidRPr="001F612D" w:rsidRDefault="001E4F76" w:rsidP="00FF1CBE">
      <w:pPr>
        <w:jc w:val="both"/>
        <w:rPr>
          <w:szCs w:val="24"/>
        </w:rPr>
      </w:pPr>
    </w:p>
    <w:p w:rsidR="001E4F76" w:rsidRPr="001F612D" w:rsidRDefault="001E4F76" w:rsidP="00FF1CBE">
      <w:pPr>
        <w:jc w:val="both"/>
        <w:rPr>
          <w:szCs w:val="24"/>
        </w:rPr>
      </w:pPr>
    </w:p>
    <w:p w:rsidR="001E4F76" w:rsidRPr="001F612D" w:rsidRDefault="001E4F76" w:rsidP="00FF1CBE">
      <w:pPr>
        <w:pStyle w:val="NoSpacing"/>
        <w:jc w:val="both"/>
        <w:rPr>
          <w:szCs w:val="24"/>
        </w:rPr>
      </w:pPr>
    </w:p>
    <w:p w:rsidR="001E4F76" w:rsidRPr="001F612D" w:rsidRDefault="001E4F76" w:rsidP="00FF1CBE">
      <w:pPr>
        <w:pStyle w:val="NoSpacing"/>
        <w:jc w:val="both"/>
        <w:rPr>
          <w:szCs w:val="24"/>
        </w:rPr>
      </w:pPr>
      <w:r w:rsidRPr="001F612D">
        <w:rPr>
          <w:i/>
          <w:szCs w:val="24"/>
        </w:rPr>
        <w:t>Messrs Mathonsi Ncube Law Chambers</w:t>
      </w:r>
      <w:r w:rsidR="001F612D" w:rsidRPr="001F612D">
        <w:rPr>
          <w:i/>
          <w:szCs w:val="24"/>
        </w:rPr>
        <w:t>,</w:t>
      </w:r>
      <w:r w:rsidRPr="001F612D">
        <w:rPr>
          <w:szCs w:val="24"/>
        </w:rPr>
        <w:t xml:space="preserve"> applicant’s legal practitioners</w:t>
      </w:r>
    </w:p>
    <w:p w:rsidR="001E4F76" w:rsidRPr="001F612D" w:rsidRDefault="001E4F76" w:rsidP="00FF1CBE">
      <w:pPr>
        <w:pStyle w:val="NoSpacing"/>
        <w:jc w:val="both"/>
        <w:rPr>
          <w:szCs w:val="24"/>
        </w:rPr>
      </w:pPr>
      <w:r w:rsidRPr="001F612D">
        <w:rPr>
          <w:i/>
          <w:szCs w:val="24"/>
        </w:rPr>
        <w:t>Civil Division of the Attorney-General’s Office</w:t>
      </w:r>
      <w:r w:rsidRPr="001F612D">
        <w:rPr>
          <w:szCs w:val="24"/>
        </w:rPr>
        <w:t>, 1</w:t>
      </w:r>
      <w:r w:rsidRPr="001F612D">
        <w:rPr>
          <w:szCs w:val="24"/>
          <w:vertAlign w:val="superscript"/>
        </w:rPr>
        <w:t>st</w:t>
      </w:r>
      <w:r w:rsidRPr="001F612D">
        <w:rPr>
          <w:szCs w:val="24"/>
        </w:rPr>
        <w:t xml:space="preserve"> respondent’s legal practitioners</w:t>
      </w:r>
    </w:p>
    <w:p w:rsidR="001E4F76" w:rsidRPr="001F612D" w:rsidRDefault="001E4F76" w:rsidP="00FF1CBE">
      <w:pPr>
        <w:pStyle w:val="NoSpacing"/>
        <w:jc w:val="both"/>
        <w:rPr>
          <w:szCs w:val="24"/>
        </w:rPr>
      </w:pPr>
      <w:r w:rsidRPr="001F612D">
        <w:rPr>
          <w:i/>
          <w:szCs w:val="24"/>
        </w:rPr>
        <w:t>Messrs Majoko &amp; Majoko</w:t>
      </w:r>
      <w:r w:rsidRPr="001F612D">
        <w:rPr>
          <w:szCs w:val="24"/>
        </w:rPr>
        <w:t>, 2</w:t>
      </w:r>
      <w:r w:rsidRPr="001F612D">
        <w:rPr>
          <w:szCs w:val="24"/>
          <w:vertAlign w:val="superscript"/>
        </w:rPr>
        <w:t>nd</w:t>
      </w:r>
      <w:r w:rsidRPr="001F612D">
        <w:rPr>
          <w:szCs w:val="24"/>
        </w:rPr>
        <w:t xml:space="preserve"> &amp; 3</w:t>
      </w:r>
      <w:r w:rsidRPr="001F612D">
        <w:rPr>
          <w:szCs w:val="24"/>
          <w:vertAlign w:val="superscript"/>
        </w:rPr>
        <w:t>rd</w:t>
      </w:r>
      <w:r w:rsidRPr="001F612D">
        <w:rPr>
          <w:szCs w:val="24"/>
        </w:rPr>
        <w:t xml:space="preserve"> respondents’ legal practitioners</w:t>
      </w:r>
    </w:p>
    <w:p w:rsidR="00DD4C41" w:rsidRPr="001F612D" w:rsidRDefault="00DD4C41" w:rsidP="00FF1CBE">
      <w:pPr>
        <w:pStyle w:val="NoSpacing"/>
        <w:jc w:val="both"/>
        <w:rPr>
          <w:b/>
          <w:szCs w:val="24"/>
        </w:rPr>
      </w:pPr>
    </w:p>
    <w:sectPr w:rsidR="00DD4C41" w:rsidRPr="001F612D" w:rsidSect="005431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CAC" w:rsidRDefault="00AD2CAC" w:rsidP="001F612D">
      <w:pPr>
        <w:spacing w:before="0" w:after="0" w:line="240" w:lineRule="auto"/>
      </w:pPr>
      <w:r>
        <w:separator/>
      </w:r>
    </w:p>
  </w:endnote>
  <w:endnote w:type="continuationSeparator" w:id="1">
    <w:p w:rsidR="00AD2CAC" w:rsidRDefault="00AD2CAC" w:rsidP="001F61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CAC" w:rsidRDefault="00AD2CAC" w:rsidP="001F612D">
      <w:pPr>
        <w:spacing w:before="0" w:after="0" w:line="240" w:lineRule="auto"/>
      </w:pPr>
      <w:r>
        <w:separator/>
      </w:r>
    </w:p>
  </w:footnote>
  <w:footnote w:type="continuationSeparator" w:id="1">
    <w:p w:rsidR="00AD2CAC" w:rsidRDefault="00AD2CAC" w:rsidP="001F61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4694"/>
      <w:docPartObj>
        <w:docPartGallery w:val="Page Numbers (Top of Page)"/>
        <w:docPartUnique/>
      </w:docPartObj>
    </w:sdtPr>
    <w:sdtContent>
      <w:p w:rsidR="001F612D" w:rsidRDefault="000622BF">
        <w:pPr>
          <w:pStyle w:val="Header"/>
          <w:jc w:val="right"/>
        </w:pPr>
        <w:fldSimple w:instr=" PAGE   \* MERGEFORMAT ">
          <w:r w:rsidR="000F13EB">
            <w:rPr>
              <w:noProof/>
            </w:rPr>
            <w:t>3</w:t>
          </w:r>
        </w:fldSimple>
      </w:p>
      <w:p w:rsidR="001F612D" w:rsidRDefault="00FF1CBE" w:rsidP="00FF1CBE">
        <w:pPr>
          <w:pStyle w:val="NoSpacing"/>
          <w:ind w:left="7200" w:firstLine="720"/>
        </w:pPr>
        <w:r>
          <w:t xml:space="preserve">        </w:t>
        </w:r>
        <w:r w:rsidR="001F612D">
          <w:t>HB 81/19</w:t>
        </w:r>
      </w:p>
      <w:p w:rsidR="00FF1CBE" w:rsidRDefault="00FF1CBE" w:rsidP="00FF1CBE">
        <w:pPr>
          <w:pStyle w:val="NoSpacing"/>
          <w:ind w:left="7200" w:firstLine="720"/>
        </w:pPr>
        <w:r>
          <w:t xml:space="preserve">     </w:t>
        </w:r>
        <w:r w:rsidR="001F612D">
          <w:t xml:space="preserve">HC </w:t>
        </w:r>
        <w:r>
          <w:t>894/19</w:t>
        </w:r>
      </w:p>
      <w:p w:rsidR="001F612D" w:rsidRDefault="00FF1CBE" w:rsidP="00FF1CBE">
        <w:pPr>
          <w:pStyle w:val="NoSpacing"/>
          <w:ind w:left="7200"/>
        </w:pPr>
        <w:r>
          <w:t xml:space="preserve">      X REF C 1038/19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2D22"/>
    <w:multiLevelType w:val="hybridMultilevel"/>
    <w:tmpl w:val="BD3AD966"/>
    <w:lvl w:ilvl="0" w:tplc="EF9CE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A146D0"/>
    <w:multiLevelType w:val="hybridMultilevel"/>
    <w:tmpl w:val="B388158E"/>
    <w:lvl w:ilvl="0" w:tplc="5F687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C41"/>
    <w:rsid w:val="00020A74"/>
    <w:rsid w:val="000622BF"/>
    <w:rsid w:val="000F13EB"/>
    <w:rsid w:val="000F69DF"/>
    <w:rsid w:val="00197408"/>
    <w:rsid w:val="001D126B"/>
    <w:rsid w:val="001E4F76"/>
    <w:rsid w:val="001F612D"/>
    <w:rsid w:val="002C7F8A"/>
    <w:rsid w:val="00364A67"/>
    <w:rsid w:val="003A3365"/>
    <w:rsid w:val="003E2047"/>
    <w:rsid w:val="003E5BAA"/>
    <w:rsid w:val="0046671B"/>
    <w:rsid w:val="00477B02"/>
    <w:rsid w:val="00490EA2"/>
    <w:rsid w:val="004E6B55"/>
    <w:rsid w:val="0054317D"/>
    <w:rsid w:val="00583E25"/>
    <w:rsid w:val="006331EE"/>
    <w:rsid w:val="0068662E"/>
    <w:rsid w:val="006A03C9"/>
    <w:rsid w:val="006B4E27"/>
    <w:rsid w:val="00701C30"/>
    <w:rsid w:val="007465B2"/>
    <w:rsid w:val="00771014"/>
    <w:rsid w:val="007B49A6"/>
    <w:rsid w:val="007D0B26"/>
    <w:rsid w:val="007D2790"/>
    <w:rsid w:val="00896E7B"/>
    <w:rsid w:val="008A7672"/>
    <w:rsid w:val="008C3209"/>
    <w:rsid w:val="00912D20"/>
    <w:rsid w:val="009E5C1A"/>
    <w:rsid w:val="00A50BC8"/>
    <w:rsid w:val="00A9462F"/>
    <w:rsid w:val="00AD2CAC"/>
    <w:rsid w:val="00B342C4"/>
    <w:rsid w:val="00B465E8"/>
    <w:rsid w:val="00B66051"/>
    <w:rsid w:val="00B75541"/>
    <w:rsid w:val="00C34382"/>
    <w:rsid w:val="00C61900"/>
    <w:rsid w:val="00C83BE5"/>
    <w:rsid w:val="00C945EF"/>
    <w:rsid w:val="00D20B4C"/>
    <w:rsid w:val="00DD4C41"/>
    <w:rsid w:val="00DF1780"/>
    <w:rsid w:val="00E10C27"/>
    <w:rsid w:val="00EC0644"/>
    <w:rsid w:val="00ED42B5"/>
    <w:rsid w:val="00F01884"/>
    <w:rsid w:val="00FB65FD"/>
    <w:rsid w:val="00FF1CBE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4C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900"/>
    <w:pPr>
      <w:keepLines/>
      <w:contextualSpacing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1E4F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1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12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F61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12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sabawu</dc:creator>
  <cp:lastModifiedBy>sabawu</cp:lastModifiedBy>
  <cp:revision>26</cp:revision>
  <cp:lastPrinted>2019-05-30T12:46:00Z</cp:lastPrinted>
  <dcterms:created xsi:type="dcterms:W3CDTF">2019-05-28T09:23:00Z</dcterms:created>
  <dcterms:modified xsi:type="dcterms:W3CDTF">2019-05-30T12:48:00Z</dcterms:modified>
</cp:coreProperties>
</file>