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D96" w:rsidRDefault="00521D96" w:rsidP="00521D9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PIONEER COACHES</w:t>
      </w:r>
    </w:p>
    <w:p w:rsidR="00521D96" w:rsidRDefault="00521D96"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21D96" w:rsidRDefault="00521D96"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MATHEW MUCHAZVIONA GWAKU</w:t>
      </w:r>
    </w:p>
    <w:p w:rsidR="00521D96" w:rsidRDefault="00521D96" w:rsidP="00521D96">
      <w:pPr>
        <w:tabs>
          <w:tab w:val="left" w:pos="176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21D96" w:rsidRDefault="00521D96" w:rsidP="00521D96">
      <w:pPr>
        <w:spacing w:after="0" w:line="240" w:lineRule="auto"/>
        <w:jc w:val="both"/>
        <w:rPr>
          <w:rFonts w:ascii="Times New Roman" w:hAnsi="Times New Roman" w:cs="Times New Roman"/>
          <w:sz w:val="24"/>
          <w:szCs w:val="24"/>
        </w:rPr>
      </w:pPr>
    </w:p>
    <w:p w:rsidR="00521D96" w:rsidRDefault="00521D96"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521D96" w:rsidRDefault="00521D96"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&amp; MUZENDA JJ</w:t>
      </w:r>
    </w:p>
    <w:p w:rsidR="00521D96" w:rsidRDefault="00521D96" w:rsidP="00521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22 July 2020 and </w:t>
      </w:r>
      <w:r w:rsidR="0011147F">
        <w:rPr>
          <w:rFonts w:ascii="Times New Roman" w:hAnsi="Times New Roman" w:cs="Times New Roman"/>
          <w:sz w:val="24"/>
          <w:szCs w:val="24"/>
        </w:rPr>
        <w:t>30</w:t>
      </w:r>
      <w:r>
        <w:rPr>
          <w:rFonts w:ascii="Times New Roman" w:hAnsi="Times New Roman" w:cs="Times New Roman"/>
          <w:sz w:val="24"/>
          <w:szCs w:val="24"/>
        </w:rPr>
        <w:t xml:space="preserve"> July 2020</w:t>
      </w:r>
    </w:p>
    <w:p w:rsidR="00521D96" w:rsidRDefault="00521D96" w:rsidP="00521D96">
      <w:pPr>
        <w:spacing w:after="0" w:line="240" w:lineRule="auto"/>
        <w:jc w:val="both"/>
        <w:rPr>
          <w:rFonts w:ascii="Times New Roman" w:hAnsi="Times New Roman" w:cs="Times New Roman"/>
          <w:sz w:val="24"/>
          <w:szCs w:val="24"/>
        </w:rPr>
      </w:pPr>
    </w:p>
    <w:p w:rsidR="00521D96" w:rsidRDefault="00521D96" w:rsidP="00521D96">
      <w:pPr>
        <w:spacing w:after="0" w:line="240" w:lineRule="auto"/>
        <w:jc w:val="both"/>
        <w:rPr>
          <w:rFonts w:ascii="Times New Roman" w:hAnsi="Times New Roman" w:cs="Times New Roman"/>
          <w:sz w:val="24"/>
          <w:szCs w:val="24"/>
        </w:rPr>
      </w:pPr>
    </w:p>
    <w:p w:rsidR="00521D96" w:rsidRDefault="00521D96" w:rsidP="00521D9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Civil Appeal </w:t>
      </w:r>
    </w:p>
    <w:p w:rsidR="00521D96" w:rsidRDefault="00521D96" w:rsidP="00521D96">
      <w:pPr>
        <w:spacing w:after="0" w:line="240" w:lineRule="auto"/>
        <w:rPr>
          <w:rFonts w:ascii="Times New Roman" w:hAnsi="Times New Roman" w:cs="Times New Roman"/>
          <w:b/>
          <w:sz w:val="24"/>
          <w:szCs w:val="24"/>
        </w:rPr>
      </w:pPr>
    </w:p>
    <w:p w:rsidR="00521D96" w:rsidRDefault="00521D96" w:rsidP="00521D96">
      <w:pPr>
        <w:spacing w:after="0" w:line="240" w:lineRule="auto"/>
        <w:rPr>
          <w:rFonts w:ascii="Times New Roman" w:hAnsi="Times New Roman" w:cs="Times New Roman"/>
          <w:b/>
          <w:sz w:val="24"/>
          <w:szCs w:val="24"/>
        </w:rPr>
      </w:pPr>
    </w:p>
    <w:p w:rsidR="00521D96" w:rsidRDefault="00521D96" w:rsidP="00521D96">
      <w:pPr>
        <w:spacing w:after="0" w:line="240" w:lineRule="auto"/>
        <w:rPr>
          <w:rFonts w:ascii="Times New Roman" w:hAnsi="Times New Roman" w:cs="Times New Roman"/>
          <w:sz w:val="24"/>
          <w:szCs w:val="24"/>
        </w:rPr>
      </w:pPr>
      <w:r>
        <w:rPr>
          <w:rFonts w:ascii="Times New Roman" w:hAnsi="Times New Roman" w:cs="Times New Roman"/>
          <w:i/>
          <w:sz w:val="24"/>
          <w:szCs w:val="24"/>
        </w:rPr>
        <w:t>Ms Y Chapata</w:t>
      </w:r>
      <w:r>
        <w:rPr>
          <w:rFonts w:ascii="Times New Roman" w:hAnsi="Times New Roman" w:cs="Times New Roman"/>
          <w:sz w:val="24"/>
          <w:szCs w:val="24"/>
        </w:rPr>
        <w:t xml:space="preserve">, for the appellant   </w:t>
      </w:r>
    </w:p>
    <w:p w:rsidR="00521D96" w:rsidRDefault="00521D96" w:rsidP="00521D96">
      <w:pPr>
        <w:spacing w:after="0" w:line="240" w:lineRule="auto"/>
        <w:rPr>
          <w:rFonts w:ascii="Times New Roman" w:hAnsi="Times New Roman" w:cs="Times New Roman"/>
          <w:sz w:val="24"/>
          <w:szCs w:val="24"/>
        </w:rPr>
      </w:pPr>
      <w:r>
        <w:rPr>
          <w:rFonts w:ascii="Times New Roman" w:hAnsi="Times New Roman" w:cs="Times New Roman"/>
          <w:i/>
          <w:sz w:val="24"/>
          <w:szCs w:val="24"/>
        </w:rPr>
        <w:t>Ms F Maroko</w:t>
      </w:r>
      <w:r>
        <w:rPr>
          <w:rFonts w:ascii="Times New Roman" w:hAnsi="Times New Roman" w:cs="Times New Roman"/>
          <w:sz w:val="24"/>
          <w:szCs w:val="24"/>
        </w:rPr>
        <w:t>, for the respondent</w:t>
      </w:r>
    </w:p>
    <w:p w:rsidR="00521D96" w:rsidRDefault="00521D96" w:rsidP="00521D96">
      <w:pPr>
        <w:spacing w:after="0" w:line="240" w:lineRule="auto"/>
        <w:jc w:val="both"/>
        <w:rPr>
          <w:rFonts w:ascii="Times New Roman" w:hAnsi="Times New Roman" w:cs="Times New Roman"/>
          <w:sz w:val="24"/>
          <w:szCs w:val="24"/>
        </w:rPr>
      </w:pPr>
    </w:p>
    <w:p w:rsidR="00521D96" w:rsidRDefault="00521D96" w:rsidP="00521D96">
      <w:pPr>
        <w:spacing w:after="0" w:line="240" w:lineRule="auto"/>
        <w:jc w:val="both"/>
        <w:rPr>
          <w:rFonts w:ascii="Times New Roman" w:hAnsi="Times New Roman" w:cs="Times New Roman"/>
          <w:sz w:val="24"/>
          <w:szCs w:val="24"/>
        </w:rPr>
      </w:pPr>
    </w:p>
    <w:p w:rsidR="00521D96" w:rsidRPr="00465643" w:rsidRDefault="00521D96" w:rsidP="00005C4D">
      <w:pPr>
        <w:tabs>
          <w:tab w:val="left" w:pos="709"/>
        </w:tabs>
        <w:spacing w:after="0" w:line="360" w:lineRule="auto"/>
        <w:ind w:firstLine="720"/>
        <w:jc w:val="both"/>
        <w:rPr>
          <w:rFonts w:ascii="Times New Roman" w:hAnsi="Times New Roman" w:cs="Times New Roman"/>
          <w:sz w:val="24"/>
          <w:szCs w:val="24"/>
        </w:rPr>
      </w:pPr>
      <w:r w:rsidRPr="00465643">
        <w:rPr>
          <w:rFonts w:ascii="Times New Roman" w:hAnsi="Times New Roman" w:cs="Times New Roman"/>
          <w:sz w:val="24"/>
          <w:szCs w:val="24"/>
        </w:rPr>
        <w:t xml:space="preserve">MUZENDA J: </w:t>
      </w:r>
      <w:r>
        <w:rPr>
          <w:rFonts w:ascii="Times New Roman" w:hAnsi="Times New Roman" w:cs="Times New Roman"/>
          <w:sz w:val="24"/>
          <w:szCs w:val="24"/>
        </w:rPr>
        <w:t>This is an appeal against the whole of a judgement of the Provincial Magistrate sitting at Mutare on 21 October 2019 in which the appellant outlined its grounds of appeal as follows:</w:t>
      </w:r>
    </w:p>
    <w:p w:rsidR="00521D96" w:rsidRPr="00465643" w:rsidRDefault="00521D96" w:rsidP="00521D96">
      <w:pPr>
        <w:spacing w:after="0" w:line="360" w:lineRule="auto"/>
        <w:jc w:val="both"/>
        <w:rPr>
          <w:rFonts w:ascii="Times New Roman" w:hAnsi="Times New Roman" w:cs="Times New Roman"/>
          <w:sz w:val="24"/>
          <w:szCs w:val="24"/>
        </w:rPr>
      </w:pPr>
    </w:p>
    <w:p w:rsidR="00521D96" w:rsidRPr="00465643" w:rsidRDefault="00521D96" w:rsidP="00521D96">
      <w:pPr>
        <w:spacing w:after="0" w:line="360" w:lineRule="auto"/>
        <w:jc w:val="both"/>
        <w:rPr>
          <w:rFonts w:ascii="Times New Roman" w:hAnsi="Times New Roman" w:cs="Times New Roman"/>
          <w:sz w:val="24"/>
          <w:szCs w:val="24"/>
          <w:u w:val="single"/>
        </w:rPr>
      </w:pPr>
      <w:r w:rsidRPr="00465643">
        <w:rPr>
          <w:rFonts w:ascii="Times New Roman" w:hAnsi="Times New Roman" w:cs="Times New Roman"/>
          <w:sz w:val="24"/>
          <w:szCs w:val="24"/>
          <w:u w:val="single"/>
        </w:rPr>
        <w:t>GROUNDS OF APPEAL</w:t>
      </w:r>
    </w:p>
    <w:p w:rsidR="00521D96" w:rsidRDefault="00521D96" w:rsidP="00037F27">
      <w:pPr>
        <w:pStyle w:val="ListParagraph"/>
        <w:numPr>
          <w:ilvl w:val="0"/>
          <w:numId w:val="2"/>
        </w:num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521D96">
        <w:rPr>
          <w:rFonts w:ascii="Times New Roman" w:hAnsi="Times New Roman" w:cs="Times New Roman"/>
          <w:i/>
          <w:sz w:val="24"/>
          <w:szCs w:val="24"/>
        </w:rPr>
        <w:t>a quo</w:t>
      </w:r>
      <w:r>
        <w:rPr>
          <w:rFonts w:ascii="Times New Roman" w:hAnsi="Times New Roman" w:cs="Times New Roman"/>
          <w:sz w:val="24"/>
          <w:szCs w:val="24"/>
        </w:rPr>
        <w:t xml:space="preserve"> misdirected itself on the law, in granting substantive relief on the merits without conducting a trial as the court ought to have done, and </w:t>
      </w:r>
    </w:p>
    <w:p w:rsidR="00521D96" w:rsidRDefault="00521D96" w:rsidP="00521D9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521D96">
        <w:rPr>
          <w:rFonts w:ascii="Times New Roman" w:hAnsi="Times New Roman" w:cs="Times New Roman"/>
          <w:i/>
          <w:sz w:val="24"/>
          <w:szCs w:val="24"/>
        </w:rPr>
        <w:t>a quo</w:t>
      </w:r>
      <w:r>
        <w:rPr>
          <w:rFonts w:ascii="Times New Roman" w:hAnsi="Times New Roman" w:cs="Times New Roman"/>
          <w:sz w:val="24"/>
          <w:szCs w:val="24"/>
        </w:rPr>
        <w:t xml:space="preserve"> misdirected itself by granting an order for the ejectment of the defendant (Appellant) when such relief had not been claimed in the summons;</w:t>
      </w:r>
    </w:p>
    <w:p w:rsidR="00521D96" w:rsidRDefault="00521D96" w:rsidP="00521D9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a quo grossly misdirected itsel</w:t>
      </w:r>
      <w:r w:rsidR="00155C44">
        <w:rPr>
          <w:rFonts w:ascii="Times New Roman" w:hAnsi="Times New Roman" w:cs="Times New Roman"/>
          <w:sz w:val="24"/>
          <w:szCs w:val="24"/>
        </w:rPr>
        <w:t>f on the facts which misdirection</w:t>
      </w:r>
      <w:r>
        <w:rPr>
          <w:rFonts w:ascii="Times New Roman" w:hAnsi="Times New Roman" w:cs="Times New Roman"/>
          <w:sz w:val="24"/>
          <w:szCs w:val="24"/>
        </w:rPr>
        <w:t xml:space="preserve"> amounts to </w:t>
      </w:r>
      <w:r w:rsidR="00FD19B7">
        <w:rPr>
          <w:rFonts w:ascii="Times New Roman" w:hAnsi="Times New Roman" w:cs="Times New Roman"/>
          <w:sz w:val="24"/>
          <w:szCs w:val="24"/>
        </w:rPr>
        <w:t>a misdirection on the law, in fi</w:t>
      </w:r>
      <w:r>
        <w:rPr>
          <w:rFonts w:ascii="Times New Roman" w:hAnsi="Times New Roman" w:cs="Times New Roman"/>
          <w:sz w:val="24"/>
          <w:szCs w:val="24"/>
        </w:rPr>
        <w:t xml:space="preserve">nding that the defendant had sought numerous postponements as a delaying tactic when the defendant had neither sought </w:t>
      </w:r>
      <w:r w:rsidR="002B32D9">
        <w:rPr>
          <w:rFonts w:ascii="Times New Roman" w:hAnsi="Times New Roman" w:cs="Times New Roman"/>
          <w:sz w:val="24"/>
          <w:szCs w:val="24"/>
        </w:rPr>
        <w:t xml:space="preserve">such </w:t>
      </w:r>
      <w:r w:rsidR="002B32D9" w:rsidRPr="00037F27">
        <w:rPr>
          <w:rFonts w:ascii="Times New Roman" w:hAnsi="Times New Roman" w:cs="Times New Roman"/>
          <w:sz w:val="24"/>
          <w:szCs w:val="24"/>
        </w:rPr>
        <w:t>postponement</w:t>
      </w:r>
      <w:r>
        <w:rPr>
          <w:rFonts w:ascii="Times New Roman" w:hAnsi="Times New Roman" w:cs="Times New Roman"/>
          <w:sz w:val="24"/>
          <w:szCs w:val="24"/>
        </w:rPr>
        <w:t xml:space="preserve"> nor resorted to any delay tactics.</w:t>
      </w:r>
    </w:p>
    <w:p w:rsidR="00521D96" w:rsidRPr="00037F27" w:rsidRDefault="009D728F" w:rsidP="00037F27">
      <w:pPr>
        <w:tabs>
          <w:tab w:val="left" w:pos="426"/>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37F27" w:rsidRPr="00037F27">
        <w:rPr>
          <w:rFonts w:ascii="Times New Roman" w:hAnsi="Times New Roman" w:cs="Times New Roman"/>
          <w:sz w:val="24"/>
          <w:szCs w:val="24"/>
        </w:rPr>
        <w:t>Appellant</w:t>
      </w:r>
      <w:r w:rsidR="00521D96" w:rsidRPr="00037F27">
        <w:rPr>
          <w:rFonts w:ascii="Times New Roman" w:hAnsi="Times New Roman" w:cs="Times New Roman"/>
          <w:sz w:val="24"/>
          <w:szCs w:val="24"/>
        </w:rPr>
        <w:t xml:space="preserve"> prayed that the order of ejectment granted by the court </w:t>
      </w:r>
      <w:r w:rsidR="00521D96" w:rsidRPr="00037F27">
        <w:rPr>
          <w:rFonts w:ascii="Times New Roman" w:hAnsi="Times New Roman" w:cs="Times New Roman"/>
          <w:i/>
          <w:sz w:val="24"/>
          <w:szCs w:val="24"/>
        </w:rPr>
        <w:t>a quo</w:t>
      </w:r>
      <w:r w:rsidR="00521D96" w:rsidRPr="00037F27">
        <w:rPr>
          <w:rFonts w:ascii="Times New Roman" w:hAnsi="Times New Roman" w:cs="Times New Roman"/>
          <w:sz w:val="24"/>
          <w:szCs w:val="24"/>
        </w:rPr>
        <w:t xml:space="preserve"> </w:t>
      </w:r>
      <w:r w:rsidR="00B06898" w:rsidRPr="00037F27">
        <w:rPr>
          <w:rFonts w:ascii="Times New Roman" w:hAnsi="Times New Roman" w:cs="Times New Roman"/>
          <w:sz w:val="24"/>
          <w:szCs w:val="24"/>
        </w:rPr>
        <w:t xml:space="preserve">be set aside and substituted by one remitting the matter to the court a quo for a trial </w:t>
      </w:r>
      <w:r w:rsidR="00B06898" w:rsidRPr="00037F27">
        <w:rPr>
          <w:rFonts w:ascii="Times New Roman" w:hAnsi="Times New Roman" w:cs="Times New Roman"/>
          <w:i/>
          <w:sz w:val="24"/>
          <w:szCs w:val="24"/>
        </w:rPr>
        <w:t>de novo</w:t>
      </w:r>
      <w:r w:rsidR="00B06898" w:rsidRPr="00037F27">
        <w:rPr>
          <w:rFonts w:ascii="Times New Roman" w:hAnsi="Times New Roman" w:cs="Times New Roman"/>
          <w:sz w:val="24"/>
          <w:szCs w:val="24"/>
        </w:rPr>
        <w:t xml:space="preserve"> before a different magistrate.</w:t>
      </w:r>
    </w:p>
    <w:p w:rsidR="00B06898" w:rsidRDefault="00B06898" w:rsidP="00B0689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is opposed by the respondent.</w:t>
      </w:r>
    </w:p>
    <w:p w:rsidR="00F80CA4" w:rsidRDefault="00521D96" w:rsidP="00F80CA4">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80CA4" w:rsidRDefault="00F80CA4" w:rsidP="00F80CA4">
      <w:pPr>
        <w:spacing w:after="0" w:line="360" w:lineRule="auto"/>
        <w:jc w:val="both"/>
        <w:rPr>
          <w:rFonts w:ascii="Times New Roman" w:hAnsi="Times New Roman" w:cs="Times New Roman"/>
          <w:sz w:val="24"/>
          <w:szCs w:val="24"/>
        </w:rPr>
      </w:pPr>
    </w:p>
    <w:p w:rsidR="00F80CA4" w:rsidRDefault="00F80CA4" w:rsidP="00F80CA4">
      <w:pPr>
        <w:spacing w:after="0" w:line="360" w:lineRule="auto"/>
        <w:jc w:val="both"/>
        <w:rPr>
          <w:rFonts w:ascii="Times New Roman" w:hAnsi="Times New Roman" w:cs="Times New Roman"/>
          <w:sz w:val="24"/>
          <w:szCs w:val="24"/>
        </w:rPr>
      </w:pPr>
    </w:p>
    <w:p w:rsidR="00F80CA4" w:rsidRDefault="00F80CA4" w:rsidP="00F80CA4">
      <w:pPr>
        <w:spacing w:after="0" w:line="360" w:lineRule="auto"/>
        <w:jc w:val="both"/>
        <w:rPr>
          <w:rFonts w:ascii="Times New Roman" w:hAnsi="Times New Roman" w:cs="Times New Roman"/>
          <w:sz w:val="24"/>
          <w:szCs w:val="24"/>
        </w:rPr>
      </w:pPr>
    </w:p>
    <w:p w:rsidR="00521D96" w:rsidRPr="00F80CA4" w:rsidRDefault="00B06898" w:rsidP="00F80CA4">
      <w:pPr>
        <w:spacing w:after="0" w:line="360" w:lineRule="auto"/>
        <w:jc w:val="both"/>
        <w:rPr>
          <w:rFonts w:ascii="Times New Roman" w:hAnsi="Times New Roman" w:cs="Times New Roman"/>
          <w:sz w:val="24"/>
          <w:szCs w:val="24"/>
        </w:rPr>
      </w:pPr>
      <w:r w:rsidRPr="00F80CA4">
        <w:rPr>
          <w:rFonts w:ascii="Times New Roman" w:hAnsi="Times New Roman" w:cs="Times New Roman"/>
          <w:sz w:val="24"/>
          <w:szCs w:val="24"/>
        </w:rPr>
        <w:lastRenderedPageBreak/>
        <w:t>BACKGROUND</w:t>
      </w:r>
    </w:p>
    <w:p w:rsidR="00037F27" w:rsidRDefault="00037F27" w:rsidP="00003113">
      <w:pPr>
        <w:tabs>
          <w:tab w:val="center" w:pos="709"/>
        </w:tabs>
        <w:spacing w:after="0" w:line="360" w:lineRule="auto"/>
        <w:jc w:val="both"/>
        <w:rPr>
          <w:rFonts w:ascii="Times New Roman" w:hAnsi="Times New Roman" w:cs="Times New Roman"/>
          <w:szCs w:val="24"/>
          <w:u w:val="single"/>
        </w:rPr>
      </w:pPr>
    </w:p>
    <w:p w:rsidR="00452668" w:rsidRPr="00E862CD" w:rsidRDefault="00005C4D" w:rsidP="00005C4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B06898" w:rsidRPr="00E862CD">
        <w:rPr>
          <w:rFonts w:ascii="Times New Roman" w:hAnsi="Times New Roman" w:cs="Times New Roman"/>
          <w:sz w:val="24"/>
          <w:szCs w:val="24"/>
        </w:rPr>
        <w:t xml:space="preserve">The respondent, Mathew Muchazviona Gwaku, then a self-actor issued summons in </w:t>
      </w:r>
      <w:r w:rsidR="00003113" w:rsidRPr="00E862CD">
        <w:rPr>
          <w:rFonts w:ascii="Times New Roman" w:hAnsi="Times New Roman" w:cs="Times New Roman"/>
          <w:sz w:val="24"/>
          <w:szCs w:val="24"/>
        </w:rPr>
        <w:t xml:space="preserve">the </w:t>
      </w:r>
      <w:r w:rsidR="00465B3D">
        <w:rPr>
          <w:rFonts w:ascii="Times New Roman" w:hAnsi="Times New Roman" w:cs="Times New Roman"/>
          <w:sz w:val="24"/>
          <w:szCs w:val="24"/>
        </w:rPr>
        <w:t>Magistrates</w:t>
      </w:r>
      <w:r w:rsidR="00B06898" w:rsidRPr="00E862CD">
        <w:rPr>
          <w:rFonts w:ascii="Times New Roman" w:hAnsi="Times New Roman" w:cs="Times New Roman"/>
          <w:sz w:val="24"/>
          <w:szCs w:val="24"/>
        </w:rPr>
        <w:t xml:space="preserve"> Court in 2018 seeking the removal of appellant’s property from his Clock Room at Mudzviti Bus Terminus in Mutare on the grounds that the appellant had failed to pay rentals in the sum of $400-00 and advertising fee totalling $800-00. He indicated that he </w:t>
      </w:r>
      <w:r w:rsidR="00003113" w:rsidRPr="00E862CD">
        <w:rPr>
          <w:rFonts w:ascii="Times New Roman" w:hAnsi="Times New Roman" w:cs="Times New Roman"/>
          <w:sz w:val="24"/>
          <w:szCs w:val="24"/>
        </w:rPr>
        <w:t>had given appellant a notice to vacate by writing a letter of demand which letter was ignored by the appellant. On 15 August 2018 the appellant filed its appearance to defend the action. On 27 August 2018 respondent filed a notice to plead. In reply appellant filed a request for further particulars. Respondent responded on 3 September 2018. On 12 September 2018 another request for further and better particulars was filed by the appellant, respondent supplied the requested further particulars on 14 September 2018 where he indicated that there was an outstanding fee of $800-00 since November 2017 and the appellant had not paid the required Council Trading fee for year 2017-2018 and that appellant had taken the draft lease agreement</w:t>
      </w:r>
      <w:r w:rsidR="009D52F1" w:rsidRPr="00E862CD">
        <w:rPr>
          <w:rFonts w:ascii="Times New Roman" w:hAnsi="Times New Roman" w:cs="Times New Roman"/>
          <w:sz w:val="24"/>
          <w:szCs w:val="24"/>
        </w:rPr>
        <w:t xml:space="preserve"> and had not signed it. On 7 August 2019 the matter was set down for hearing. Ms </w:t>
      </w:r>
      <w:r w:rsidR="009D52F1" w:rsidRPr="00E862CD">
        <w:rPr>
          <w:rFonts w:ascii="Times New Roman" w:hAnsi="Times New Roman" w:cs="Times New Roman"/>
          <w:i/>
          <w:sz w:val="24"/>
          <w:szCs w:val="24"/>
        </w:rPr>
        <w:t>Maganga</w:t>
      </w:r>
      <w:r w:rsidR="009D52F1" w:rsidRPr="00E862CD">
        <w:rPr>
          <w:rFonts w:ascii="Times New Roman" w:hAnsi="Times New Roman" w:cs="Times New Roman"/>
          <w:sz w:val="24"/>
          <w:szCs w:val="24"/>
        </w:rPr>
        <w:t xml:space="preserve"> for the appellant submitted to the trial magistrate that the matter was meant for trial, the parties were still engaged with a view of sett</w:t>
      </w:r>
      <w:r w:rsidR="00465B3D">
        <w:rPr>
          <w:rFonts w:ascii="Times New Roman" w:hAnsi="Times New Roman" w:cs="Times New Roman"/>
          <w:sz w:val="24"/>
          <w:szCs w:val="24"/>
        </w:rPr>
        <w:t>l</w:t>
      </w:r>
      <w:r w:rsidR="009D52F1" w:rsidRPr="00E862CD">
        <w:rPr>
          <w:rFonts w:ascii="Times New Roman" w:hAnsi="Times New Roman" w:cs="Times New Roman"/>
          <w:sz w:val="24"/>
          <w:szCs w:val="24"/>
        </w:rPr>
        <w:t>ing the matter. The matter was postponed to 16 August 2019 by consent. It is not clear from the record of proceedings as to what happened on 16 August 2019 but the next date of hea</w:t>
      </w:r>
      <w:r w:rsidR="00150A66">
        <w:rPr>
          <w:rFonts w:ascii="Times New Roman" w:hAnsi="Times New Roman" w:cs="Times New Roman"/>
          <w:sz w:val="24"/>
          <w:szCs w:val="24"/>
        </w:rPr>
        <w:t>ring was 28 August 2019 where Ms</w:t>
      </w:r>
      <w:r w:rsidR="009D52F1" w:rsidRPr="00E862CD">
        <w:rPr>
          <w:rFonts w:ascii="Times New Roman" w:hAnsi="Times New Roman" w:cs="Times New Roman"/>
          <w:sz w:val="24"/>
          <w:szCs w:val="24"/>
        </w:rPr>
        <w:t xml:space="preserve"> </w:t>
      </w:r>
      <w:r w:rsidR="009D52F1" w:rsidRPr="00E862CD">
        <w:rPr>
          <w:rFonts w:ascii="Times New Roman" w:hAnsi="Times New Roman" w:cs="Times New Roman"/>
          <w:i/>
          <w:sz w:val="24"/>
          <w:szCs w:val="24"/>
        </w:rPr>
        <w:t>Maroko</w:t>
      </w:r>
      <w:r w:rsidR="009D52F1" w:rsidRPr="00E862CD">
        <w:rPr>
          <w:rFonts w:ascii="Times New Roman" w:hAnsi="Times New Roman" w:cs="Times New Roman"/>
          <w:sz w:val="24"/>
          <w:szCs w:val="24"/>
        </w:rPr>
        <w:t xml:space="preserve"> representing the respondent indicated to court that the parties were still negotiating and then by consent the matter was deferred to 10 September 2019. On 10 September 2019, the parties attended court and Ms </w:t>
      </w:r>
      <w:r w:rsidR="009D52F1" w:rsidRPr="00E862CD">
        <w:rPr>
          <w:rFonts w:ascii="Times New Roman" w:hAnsi="Times New Roman" w:cs="Times New Roman"/>
          <w:i/>
          <w:sz w:val="24"/>
          <w:szCs w:val="24"/>
        </w:rPr>
        <w:t>Maganga</w:t>
      </w:r>
      <w:r w:rsidR="009D52F1" w:rsidRPr="00E862CD">
        <w:rPr>
          <w:rFonts w:ascii="Times New Roman" w:hAnsi="Times New Roman" w:cs="Times New Roman"/>
          <w:sz w:val="24"/>
          <w:szCs w:val="24"/>
        </w:rPr>
        <w:t xml:space="preserve"> made an application for a postponement, the parties were still trying to negotiate. The matter was postponed to 18 September 2019 by consent.</w:t>
      </w:r>
      <w:r w:rsidR="00AD0A77" w:rsidRPr="00E862CD">
        <w:rPr>
          <w:rFonts w:ascii="Times New Roman" w:hAnsi="Times New Roman" w:cs="Times New Roman"/>
          <w:sz w:val="24"/>
          <w:szCs w:val="24"/>
        </w:rPr>
        <w:t xml:space="preserve"> On 18 September 2019 Ms </w:t>
      </w:r>
      <w:r w:rsidR="00AD0A77" w:rsidRPr="00E862CD">
        <w:rPr>
          <w:rFonts w:ascii="Times New Roman" w:hAnsi="Times New Roman" w:cs="Times New Roman"/>
          <w:i/>
          <w:sz w:val="24"/>
          <w:szCs w:val="24"/>
        </w:rPr>
        <w:t>Maroko</w:t>
      </w:r>
      <w:r w:rsidR="00AD0A77" w:rsidRPr="00E862CD">
        <w:rPr>
          <w:rFonts w:ascii="Times New Roman" w:hAnsi="Times New Roman" w:cs="Times New Roman"/>
          <w:sz w:val="24"/>
          <w:szCs w:val="24"/>
        </w:rPr>
        <w:t xml:space="preserve"> for the respondent submitted that the matter was meant for trial but however the appellant was not prepared for trial. She added that she would only concede to the last postponement because the appellant was deliberately trying to prolong the proceedings. She also indicated that there was no further application for postponement and </w:t>
      </w:r>
      <w:r w:rsidR="0091677D">
        <w:rPr>
          <w:rFonts w:ascii="Times New Roman" w:hAnsi="Times New Roman" w:cs="Times New Roman"/>
          <w:sz w:val="24"/>
          <w:szCs w:val="24"/>
        </w:rPr>
        <w:t xml:space="preserve">if </w:t>
      </w:r>
      <w:r w:rsidR="00AD0A77" w:rsidRPr="0091677D">
        <w:rPr>
          <w:rFonts w:ascii="Times New Roman" w:hAnsi="Times New Roman" w:cs="Times New Roman"/>
          <w:sz w:val="24"/>
          <w:szCs w:val="24"/>
        </w:rPr>
        <w:t>ever</w:t>
      </w:r>
      <w:r w:rsidR="00AD0A77" w:rsidRPr="00E862CD">
        <w:rPr>
          <w:rFonts w:ascii="Times New Roman" w:hAnsi="Times New Roman" w:cs="Times New Roman"/>
          <w:sz w:val="24"/>
          <w:szCs w:val="24"/>
        </w:rPr>
        <w:t xml:space="preserve"> there was the court should refuse any further postponement. To the respondent’s legal practitioner appellant was playing games with the plaintiff, respondent agreed to the last postponement and appellant was ordered to pay respond</w:t>
      </w:r>
      <w:r w:rsidR="000B15EC">
        <w:rPr>
          <w:rFonts w:ascii="Times New Roman" w:hAnsi="Times New Roman" w:cs="Times New Roman"/>
          <w:sz w:val="24"/>
          <w:szCs w:val="24"/>
        </w:rPr>
        <w:t>ent’s wasted legal costs and tho</w:t>
      </w:r>
      <w:r w:rsidR="00AD0A77" w:rsidRPr="00E862CD">
        <w:rPr>
          <w:rFonts w:ascii="Times New Roman" w:hAnsi="Times New Roman" w:cs="Times New Roman"/>
          <w:sz w:val="24"/>
          <w:szCs w:val="24"/>
        </w:rPr>
        <w:t xml:space="preserve">se costs were going to be paid before the next date of trial which was agreed as 21 October 2019. The appellant did not pay respondent’s wasted costs as agreed and on 21 October 2019 the respondent’s legal practitioner moved the trial court </w:t>
      </w:r>
      <w:r w:rsidR="00452668" w:rsidRPr="00E862CD">
        <w:rPr>
          <w:rFonts w:ascii="Times New Roman" w:hAnsi="Times New Roman" w:cs="Times New Roman"/>
          <w:sz w:val="24"/>
          <w:szCs w:val="24"/>
        </w:rPr>
        <w:t xml:space="preserve">not to hear the appellant because it had not paid the wasted costs. </w:t>
      </w:r>
      <w:r w:rsidR="00452668" w:rsidRPr="00E862CD">
        <w:rPr>
          <w:rFonts w:ascii="Times New Roman" w:hAnsi="Times New Roman" w:cs="Times New Roman"/>
          <w:sz w:val="24"/>
          <w:szCs w:val="24"/>
        </w:rPr>
        <w:lastRenderedPageBreak/>
        <w:t xml:space="preserve">Respondent also prayed for an order for eviction against the defendant/appellant from respondent’s premises and that appellant pay costs of suit. Coincidentally Ms </w:t>
      </w:r>
      <w:r w:rsidR="00452668" w:rsidRPr="00E862CD">
        <w:rPr>
          <w:rFonts w:ascii="Times New Roman" w:hAnsi="Times New Roman" w:cs="Times New Roman"/>
          <w:i/>
          <w:sz w:val="24"/>
          <w:szCs w:val="24"/>
        </w:rPr>
        <w:t>Maganga</w:t>
      </w:r>
      <w:r w:rsidR="00452668" w:rsidRPr="00E862CD">
        <w:rPr>
          <w:rFonts w:ascii="Times New Roman" w:hAnsi="Times New Roman" w:cs="Times New Roman"/>
          <w:sz w:val="24"/>
          <w:szCs w:val="24"/>
        </w:rPr>
        <w:t xml:space="preserve"> representing the appellant had no response nor submissions to respondent’s request. On 30 October 2019 judgment was entered for the respondent in terms of the Summons and an order of costs on attorney – client scale was ordered against the appellant. Appellant was evicted forthwith. This is the order that prompted the appellant to note an appeal outlining the grounds of appeal specified above herein. </w:t>
      </w:r>
    </w:p>
    <w:p w:rsidR="00452668" w:rsidRPr="00E862CD" w:rsidRDefault="00452668" w:rsidP="00003113">
      <w:pPr>
        <w:tabs>
          <w:tab w:val="center" w:pos="709"/>
        </w:tabs>
        <w:spacing w:after="0" w:line="360" w:lineRule="auto"/>
        <w:jc w:val="both"/>
        <w:rPr>
          <w:rFonts w:ascii="Times New Roman" w:hAnsi="Times New Roman" w:cs="Times New Roman"/>
          <w:sz w:val="24"/>
          <w:szCs w:val="24"/>
        </w:rPr>
      </w:pPr>
      <w:r w:rsidRPr="00E862CD">
        <w:rPr>
          <w:rFonts w:ascii="Times New Roman" w:hAnsi="Times New Roman" w:cs="Times New Roman"/>
          <w:sz w:val="24"/>
          <w:szCs w:val="24"/>
        </w:rPr>
        <w:tab/>
      </w:r>
      <w:r w:rsidRPr="00E862CD">
        <w:rPr>
          <w:rFonts w:ascii="Times New Roman" w:hAnsi="Times New Roman" w:cs="Times New Roman"/>
          <w:sz w:val="24"/>
          <w:szCs w:val="24"/>
        </w:rPr>
        <w:tab/>
        <w:t xml:space="preserve">On the date of hearing the appeal Ms </w:t>
      </w:r>
      <w:r w:rsidRPr="00E862CD">
        <w:rPr>
          <w:rFonts w:ascii="Times New Roman" w:hAnsi="Times New Roman" w:cs="Times New Roman"/>
          <w:i/>
          <w:sz w:val="24"/>
          <w:szCs w:val="24"/>
        </w:rPr>
        <w:t>Y Chapata</w:t>
      </w:r>
      <w:r w:rsidRPr="00E862CD">
        <w:rPr>
          <w:rFonts w:ascii="Times New Roman" w:hAnsi="Times New Roman" w:cs="Times New Roman"/>
          <w:sz w:val="24"/>
          <w:szCs w:val="24"/>
        </w:rPr>
        <w:t xml:space="preserve"> appeared for the appellant at the </w:t>
      </w:r>
      <w:r w:rsidR="002E081F" w:rsidRPr="00E862CD">
        <w:rPr>
          <w:rFonts w:ascii="Times New Roman" w:hAnsi="Times New Roman" w:cs="Times New Roman"/>
          <w:sz w:val="24"/>
          <w:szCs w:val="24"/>
        </w:rPr>
        <w:t xml:space="preserve">instruction of </w:t>
      </w:r>
      <w:r w:rsidR="002F4BB0">
        <w:rPr>
          <w:rFonts w:ascii="Times New Roman" w:hAnsi="Times New Roman" w:cs="Times New Roman"/>
          <w:sz w:val="24"/>
          <w:szCs w:val="24"/>
        </w:rPr>
        <w:t xml:space="preserve">Messrs Matizanadzo and Warhurst </w:t>
      </w:r>
      <w:r w:rsidR="002F4BB0" w:rsidRPr="00E862CD">
        <w:rPr>
          <w:rFonts w:ascii="Times New Roman" w:hAnsi="Times New Roman" w:cs="Times New Roman"/>
          <w:sz w:val="24"/>
          <w:szCs w:val="24"/>
        </w:rPr>
        <w:t>legal</w:t>
      </w:r>
      <w:r w:rsidR="002E081F" w:rsidRPr="00E862CD">
        <w:rPr>
          <w:rFonts w:ascii="Times New Roman" w:hAnsi="Times New Roman" w:cs="Times New Roman"/>
          <w:sz w:val="24"/>
          <w:szCs w:val="24"/>
        </w:rPr>
        <w:t xml:space="preserve"> practitioners for the appellant. The court took counsel for the appellant to task on the quality and substance of the heads of argument more particularly with reference to the record of proceedings, she could not explain the heads and sought to blame the instructing attorneys. She was asked whether she would want to postpone the hearing to allow the instructing attorneys to attend to the hearing and she indicated that she was in</w:t>
      </w:r>
      <w:r w:rsidR="00E862CD" w:rsidRPr="00E862CD">
        <w:rPr>
          <w:rFonts w:ascii="Times New Roman" w:hAnsi="Times New Roman" w:cs="Times New Roman"/>
          <w:sz w:val="24"/>
          <w:szCs w:val="24"/>
        </w:rPr>
        <w:t xml:space="preserve"> a position to argue the appeal.</w:t>
      </w:r>
    </w:p>
    <w:p w:rsidR="00F80CA4" w:rsidRDefault="0085059E" w:rsidP="00E862CD">
      <w:pPr>
        <w:tabs>
          <w:tab w:val="center"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05C4D" w:rsidRPr="004E150A" w:rsidRDefault="00E862CD" w:rsidP="00E862CD">
      <w:pPr>
        <w:tabs>
          <w:tab w:val="center" w:pos="709"/>
        </w:tabs>
        <w:spacing w:after="0" w:line="360" w:lineRule="auto"/>
        <w:jc w:val="both"/>
        <w:rPr>
          <w:rFonts w:ascii="Times New Roman" w:hAnsi="Times New Roman" w:cs="Times New Roman"/>
          <w:sz w:val="24"/>
          <w:szCs w:val="24"/>
        </w:rPr>
      </w:pPr>
      <w:r w:rsidRPr="004E150A">
        <w:rPr>
          <w:rFonts w:ascii="Times New Roman" w:hAnsi="Times New Roman" w:cs="Times New Roman"/>
          <w:b/>
          <w:sz w:val="24"/>
          <w:szCs w:val="24"/>
        </w:rPr>
        <w:t xml:space="preserve">WHETHER THE COURT </w:t>
      </w:r>
      <w:r w:rsidRPr="004E150A">
        <w:rPr>
          <w:rFonts w:ascii="Times New Roman" w:hAnsi="Times New Roman" w:cs="Times New Roman"/>
          <w:b/>
          <w:i/>
          <w:sz w:val="24"/>
          <w:szCs w:val="24"/>
        </w:rPr>
        <w:t>A QUO</w:t>
      </w:r>
      <w:r w:rsidRPr="004E150A">
        <w:rPr>
          <w:rFonts w:ascii="Times New Roman" w:hAnsi="Times New Roman" w:cs="Times New Roman"/>
          <w:b/>
          <w:sz w:val="24"/>
          <w:szCs w:val="24"/>
        </w:rPr>
        <w:t xml:space="preserve"> ERRED IN GRANTING SUBSTANTIVE RELIEF ON THE MERITS WITHOUT CONDUCTING A TRIAL</w:t>
      </w:r>
      <w:r w:rsidR="004E150A">
        <w:rPr>
          <w:rFonts w:ascii="Times New Roman" w:hAnsi="Times New Roman" w:cs="Times New Roman"/>
          <w:sz w:val="24"/>
          <w:szCs w:val="24"/>
        </w:rPr>
        <w:t>?</w:t>
      </w:r>
      <w:r w:rsidRPr="004E150A">
        <w:rPr>
          <w:rFonts w:ascii="Times New Roman" w:hAnsi="Times New Roman" w:cs="Times New Roman"/>
          <w:sz w:val="24"/>
          <w:szCs w:val="24"/>
        </w:rPr>
        <w:t xml:space="preserve"> </w:t>
      </w:r>
    </w:p>
    <w:p w:rsidR="00E862CD" w:rsidRDefault="00005C4D" w:rsidP="00215084">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862CD" w:rsidRPr="00E862CD">
        <w:rPr>
          <w:rFonts w:ascii="Times New Roman" w:hAnsi="Times New Roman" w:cs="Times New Roman"/>
          <w:sz w:val="24"/>
          <w:szCs w:val="24"/>
        </w:rPr>
        <w:t xml:space="preserve">Ms </w:t>
      </w:r>
      <w:r w:rsidR="00E862CD" w:rsidRPr="00E862CD">
        <w:rPr>
          <w:rFonts w:ascii="Times New Roman" w:hAnsi="Times New Roman" w:cs="Times New Roman"/>
          <w:i/>
          <w:sz w:val="24"/>
          <w:szCs w:val="24"/>
        </w:rPr>
        <w:t>Chapata</w:t>
      </w:r>
      <w:r w:rsidR="00E862CD" w:rsidRPr="00E862CD">
        <w:rPr>
          <w:rFonts w:ascii="Times New Roman" w:hAnsi="Times New Roman" w:cs="Times New Roman"/>
          <w:sz w:val="24"/>
          <w:szCs w:val="24"/>
        </w:rPr>
        <w:t xml:space="preserve"> submitted that the appellant </w:t>
      </w:r>
      <w:r w:rsidR="001E717E">
        <w:rPr>
          <w:rFonts w:ascii="Times New Roman" w:hAnsi="Times New Roman" w:cs="Times New Roman"/>
          <w:sz w:val="24"/>
          <w:szCs w:val="24"/>
        </w:rPr>
        <w:t>had an immu</w:t>
      </w:r>
      <w:r w:rsidR="00E862CD">
        <w:rPr>
          <w:rFonts w:ascii="Times New Roman" w:hAnsi="Times New Roman" w:cs="Times New Roman"/>
          <w:sz w:val="24"/>
          <w:szCs w:val="24"/>
        </w:rPr>
        <w:t xml:space="preserve">table right to be heard or to make representations to the court before any decision is made </w:t>
      </w:r>
      <w:r w:rsidR="00E33C47">
        <w:rPr>
          <w:rFonts w:ascii="Times New Roman" w:hAnsi="Times New Roman" w:cs="Times New Roman"/>
          <w:sz w:val="24"/>
          <w:szCs w:val="24"/>
        </w:rPr>
        <w:t>that may impinge upon its right or</w:t>
      </w:r>
      <w:r w:rsidR="00E862CD">
        <w:rPr>
          <w:rFonts w:ascii="Times New Roman" w:hAnsi="Times New Roman" w:cs="Times New Roman"/>
          <w:sz w:val="24"/>
          <w:szCs w:val="24"/>
        </w:rPr>
        <w:t xml:space="preserve"> interes</w:t>
      </w:r>
      <w:r w:rsidR="00BB4EC4">
        <w:rPr>
          <w:rFonts w:ascii="Times New Roman" w:hAnsi="Times New Roman" w:cs="Times New Roman"/>
          <w:sz w:val="24"/>
          <w:szCs w:val="24"/>
        </w:rPr>
        <w:t>t as encapsulated in the maxim</w:t>
      </w:r>
      <w:r w:rsidR="00E862CD">
        <w:rPr>
          <w:rFonts w:ascii="Times New Roman" w:hAnsi="Times New Roman" w:cs="Times New Roman"/>
          <w:sz w:val="24"/>
          <w:szCs w:val="24"/>
        </w:rPr>
        <w:t xml:space="preserve"> </w:t>
      </w:r>
      <w:r w:rsidR="000D64BF" w:rsidRPr="000D64BF">
        <w:rPr>
          <w:rFonts w:ascii="Times New Roman" w:hAnsi="Times New Roman" w:cs="Times New Roman"/>
          <w:i/>
          <w:sz w:val="24"/>
          <w:szCs w:val="24"/>
        </w:rPr>
        <w:t>audi</w:t>
      </w:r>
      <w:r w:rsidR="000D64BF">
        <w:rPr>
          <w:rFonts w:ascii="Times New Roman" w:hAnsi="Times New Roman" w:cs="Times New Roman"/>
          <w:sz w:val="24"/>
          <w:szCs w:val="24"/>
        </w:rPr>
        <w:t xml:space="preserve"> </w:t>
      </w:r>
      <w:r w:rsidR="000D64BF" w:rsidRPr="000D64BF">
        <w:rPr>
          <w:rFonts w:ascii="Times New Roman" w:hAnsi="Times New Roman" w:cs="Times New Roman"/>
          <w:i/>
          <w:sz w:val="24"/>
          <w:szCs w:val="24"/>
        </w:rPr>
        <w:t>alteram partem</w:t>
      </w:r>
      <w:r w:rsidR="000D64BF">
        <w:rPr>
          <w:rFonts w:ascii="Times New Roman" w:hAnsi="Times New Roman" w:cs="Times New Roman"/>
          <w:sz w:val="24"/>
          <w:szCs w:val="24"/>
        </w:rPr>
        <w:t xml:space="preserve">. She cited the matter of </w:t>
      </w:r>
      <w:r w:rsidR="00BB4EC4" w:rsidRPr="00BB4EC4">
        <w:rPr>
          <w:rFonts w:ascii="Times New Roman" w:hAnsi="Times New Roman" w:cs="Times New Roman"/>
          <w:i/>
          <w:sz w:val="24"/>
          <w:szCs w:val="24"/>
        </w:rPr>
        <w:t>AG</w:t>
      </w:r>
      <w:r w:rsidR="00BB4EC4">
        <w:rPr>
          <w:rFonts w:ascii="Times New Roman" w:hAnsi="Times New Roman" w:cs="Times New Roman"/>
          <w:sz w:val="24"/>
          <w:szCs w:val="24"/>
        </w:rPr>
        <w:t xml:space="preserve"> v</w:t>
      </w:r>
      <w:r w:rsidR="000D64BF" w:rsidRPr="000D64BF">
        <w:rPr>
          <w:rFonts w:ascii="Times New Roman" w:hAnsi="Times New Roman" w:cs="Times New Roman"/>
          <w:i/>
          <w:sz w:val="24"/>
          <w:szCs w:val="24"/>
        </w:rPr>
        <w:t xml:space="preserve"> Mudisi</w:t>
      </w:r>
      <w:r w:rsidR="000D64BF">
        <w:rPr>
          <w:rFonts w:ascii="Times New Roman" w:hAnsi="Times New Roman" w:cs="Times New Roman"/>
          <w:sz w:val="24"/>
          <w:szCs w:val="24"/>
        </w:rPr>
        <w:t xml:space="preserve"> </w:t>
      </w:r>
      <w:r w:rsidR="000D64BF" w:rsidRPr="00BB4EC4">
        <w:rPr>
          <w:rFonts w:ascii="Times New Roman" w:hAnsi="Times New Roman" w:cs="Times New Roman"/>
          <w:i/>
          <w:sz w:val="24"/>
          <w:szCs w:val="24"/>
        </w:rPr>
        <w:t>and others</w:t>
      </w:r>
      <w:r w:rsidR="000D64BF">
        <w:rPr>
          <w:rFonts w:ascii="Times New Roman" w:hAnsi="Times New Roman" w:cs="Times New Roman"/>
          <w:sz w:val="24"/>
          <w:szCs w:val="24"/>
        </w:rPr>
        <w:t>.</w:t>
      </w:r>
      <w:r w:rsidR="000D64BF">
        <w:rPr>
          <w:rStyle w:val="FootnoteReference"/>
          <w:rFonts w:ascii="Times New Roman" w:hAnsi="Times New Roman" w:cs="Times New Roman"/>
          <w:sz w:val="24"/>
          <w:szCs w:val="24"/>
        </w:rPr>
        <w:footnoteReference w:id="1"/>
      </w:r>
      <w:r w:rsidR="000D64BF">
        <w:rPr>
          <w:rFonts w:ascii="Times New Roman" w:hAnsi="Times New Roman" w:cs="Times New Roman"/>
          <w:sz w:val="24"/>
          <w:szCs w:val="24"/>
        </w:rPr>
        <w:t xml:space="preserve"> By handing down judgment without conducting a trial the court </w:t>
      </w:r>
      <w:r w:rsidR="000D64BF" w:rsidRPr="000D64BF">
        <w:rPr>
          <w:rFonts w:ascii="Times New Roman" w:hAnsi="Times New Roman" w:cs="Times New Roman"/>
          <w:i/>
          <w:sz w:val="24"/>
          <w:szCs w:val="24"/>
        </w:rPr>
        <w:t>a quo</w:t>
      </w:r>
      <w:r w:rsidR="000D64BF">
        <w:rPr>
          <w:rFonts w:ascii="Times New Roman" w:hAnsi="Times New Roman" w:cs="Times New Roman"/>
          <w:sz w:val="24"/>
          <w:szCs w:val="24"/>
        </w:rPr>
        <w:t xml:space="preserve"> fell into grave error, it was strongly submitted.</w:t>
      </w:r>
      <w:r w:rsidR="000D64BF">
        <w:rPr>
          <w:rStyle w:val="FootnoteReference"/>
          <w:rFonts w:ascii="Times New Roman" w:hAnsi="Times New Roman" w:cs="Times New Roman"/>
          <w:sz w:val="24"/>
          <w:szCs w:val="24"/>
        </w:rPr>
        <w:footnoteReference w:id="2"/>
      </w:r>
      <w:r w:rsidR="000D64BF">
        <w:rPr>
          <w:rFonts w:ascii="Times New Roman" w:hAnsi="Times New Roman" w:cs="Times New Roman"/>
          <w:sz w:val="24"/>
          <w:szCs w:val="24"/>
        </w:rPr>
        <w:t xml:space="preserve"> It was further submitted that even in the limited proceedings where judgment is granted without giving audience to the other party, the courts have repeatedly held that such procedures are drastic and ought to be granted as a last resort and any remedy which takes away </w:t>
      </w:r>
      <w:r w:rsidR="00E62143">
        <w:rPr>
          <w:rFonts w:ascii="Times New Roman" w:hAnsi="Times New Roman" w:cs="Times New Roman"/>
          <w:sz w:val="24"/>
          <w:szCs w:val="24"/>
        </w:rPr>
        <w:t>audience to any litigant who has demonstrated an intention to defend a claim should be given sparingly.</w:t>
      </w:r>
      <w:r w:rsidR="00E62143">
        <w:rPr>
          <w:rStyle w:val="FootnoteReference"/>
          <w:rFonts w:ascii="Times New Roman" w:hAnsi="Times New Roman" w:cs="Times New Roman"/>
          <w:sz w:val="24"/>
          <w:szCs w:val="24"/>
        </w:rPr>
        <w:footnoteReference w:id="3"/>
      </w:r>
      <w:r w:rsidR="00E62143">
        <w:rPr>
          <w:rFonts w:ascii="Times New Roman" w:hAnsi="Times New Roman" w:cs="Times New Roman"/>
          <w:sz w:val="24"/>
          <w:szCs w:val="24"/>
        </w:rPr>
        <w:t xml:space="preserve"> The appellant admitted that a litigant can be denied the court’s audience if it is guilty of failing to comply with the court’s rules or with any of its orders albeit having put the litigant at notice and extend a reasonable </w:t>
      </w:r>
      <w:r w:rsidR="0029202F">
        <w:rPr>
          <w:rFonts w:ascii="Times New Roman" w:hAnsi="Times New Roman" w:cs="Times New Roman"/>
          <w:sz w:val="24"/>
          <w:szCs w:val="24"/>
        </w:rPr>
        <w:t>time for the litigant to purge its non-compliance.</w:t>
      </w:r>
      <w:r w:rsidR="0029202F">
        <w:rPr>
          <w:rStyle w:val="FootnoteReference"/>
          <w:rFonts w:ascii="Times New Roman" w:hAnsi="Times New Roman" w:cs="Times New Roman"/>
          <w:sz w:val="24"/>
          <w:szCs w:val="24"/>
        </w:rPr>
        <w:footnoteReference w:id="4"/>
      </w:r>
      <w:r w:rsidR="0029202F">
        <w:rPr>
          <w:rFonts w:ascii="Times New Roman" w:hAnsi="Times New Roman" w:cs="Times New Roman"/>
          <w:sz w:val="24"/>
          <w:szCs w:val="24"/>
        </w:rPr>
        <w:t xml:space="preserve"> As a result the court </w:t>
      </w:r>
      <w:r w:rsidR="0029202F" w:rsidRPr="0029202F">
        <w:rPr>
          <w:rFonts w:ascii="Times New Roman" w:hAnsi="Times New Roman" w:cs="Times New Roman"/>
          <w:i/>
          <w:sz w:val="24"/>
          <w:szCs w:val="24"/>
        </w:rPr>
        <w:t>a quo</w:t>
      </w:r>
      <w:r w:rsidR="0029202F">
        <w:rPr>
          <w:rFonts w:ascii="Times New Roman" w:hAnsi="Times New Roman" w:cs="Times New Roman"/>
          <w:sz w:val="24"/>
          <w:szCs w:val="24"/>
        </w:rPr>
        <w:t xml:space="preserve"> was required to give the appellant an </w:t>
      </w:r>
      <w:r w:rsidR="0029202F">
        <w:rPr>
          <w:rFonts w:ascii="Times New Roman" w:hAnsi="Times New Roman" w:cs="Times New Roman"/>
          <w:sz w:val="24"/>
          <w:szCs w:val="24"/>
        </w:rPr>
        <w:lastRenderedPageBreak/>
        <w:t xml:space="preserve">opportunity to pay the wasted </w:t>
      </w:r>
      <w:r w:rsidR="00E165CE">
        <w:rPr>
          <w:rFonts w:ascii="Times New Roman" w:hAnsi="Times New Roman" w:cs="Times New Roman"/>
          <w:sz w:val="24"/>
          <w:szCs w:val="24"/>
        </w:rPr>
        <w:t>costs as opposed to summarily d</w:t>
      </w:r>
      <w:r w:rsidR="0029202F">
        <w:rPr>
          <w:rFonts w:ascii="Times New Roman" w:hAnsi="Times New Roman" w:cs="Times New Roman"/>
          <w:sz w:val="24"/>
          <w:szCs w:val="24"/>
        </w:rPr>
        <w:t xml:space="preserve">iving into the merits of the case without trying the matter, it was submitted on behalf of the appellant. </w:t>
      </w:r>
    </w:p>
    <w:p w:rsidR="008318E8" w:rsidRDefault="00005C4D" w:rsidP="00005C4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202F">
        <w:rPr>
          <w:rFonts w:ascii="Times New Roman" w:hAnsi="Times New Roman" w:cs="Times New Roman"/>
          <w:sz w:val="24"/>
          <w:szCs w:val="24"/>
        </w:rPr>
        <w:t xml:space="preserve">The respondent’s counsel, Ms </w:t>
      </w:r>
      <w:r w:rsidR="0029202F">
        <w:rPr>
          <w:rFonts w:ascii="Times New Roman" w:hAnsi="Times New Roman" w:cs="Times New Roman"/>
          <w:i/>
          <w:sz w:val="24"/>
          <w:szCs w:val="24"/>
        </w:rPr>
        <w:t>M</w:t>
      </w:r>
      <w:r w:rsidR="0029202F" w:rsidRPr="0029202F">
        <w:rPr>
          <w:rFonts w:ascii="Times New Roman" w:hAnsi="Times New Roman" w:cs="Times New Roman"/>
          <w:i/>
          <w:sz w:val="24"/>
          <w:szCs w:val="24"/>
        </w:rPr>
        <w:t>aroko</w:t>
      </w:r>
      <w:r w:rsidR="0029202F">
        <w:rPr>
          <w:rFonts w:ascii="Times New Roman" w:hAnsi="Times New Roman" w:cs="Times New Roman"/>
          <w:sz w:val="24"/>
          <w:szCs w:val="24"/>
        </w:rPr>
        <w:t xml:space="preserve"> submitted that the court </w:t>
      </w:r>
      <w:r w:rsidR="0029202F" w:rsidRPr="0029202F">
        <w:rPr>
          <w:rFonts w:ascii="Times New Roman" w:hAnsi="Times New Roman" w:cs="Times New Roman"/>
          <w:i/>
          <w:sz w:val="24"/>
          <w:szCs w:val="24"/>
        </w:rPr>
        <w:t>a quo</w:t>
      </w:r>
      <w:r w:rsidR="0029202F">
        <w:rPr>
          <w:rFonts w:ascii="Times New Roman" w:hAnsi="Times New Roman" w:cs="Times New Roman"/>
          <w:sz w:val="24"/>
          <w:szCs w:val="24"/>
        </w:rPr>
        <w:t xml:space="preserve"> did not err when it granted substantive relief on the merits without conducting a trial. Appellant was approaching the court with dirty hands having not paid the wasted costs which was a court order. (She cited the matter of </w:t>
      </w:r>
      <w:r w:rsidR="0029202F" w:rsidRPr="009E51F7">
        <w:rPr>
          <w:rFonts w:ascii="Times New Roman" w:hAnsi="Times New Roman" w:cs="Times New Roman"/>
          <w:i/>
          <w:sz w:val="24"/>
          <w:szCs w:val="24"/>
        </w:rPr>
        <w:t>ANZ (Pvt) Ltd</w:t>
      </w:r>
      <w:r w:rsidR="0029202F">
        <w:rPr>
          <w:rFonts w:ascii="Times New Roman" w:hAnsi="Times New Roman" w:cs="Times New Roman"/>
          <w:sz w:val="24"/>
          <w:szCs w:val="24"/>
        </w:rPr>
        <w:t xml:space="preserve"> v </w:t>
      </w:r>
      <w:r w:rsidR="0029202F" w:rsidRPr="009E51F7">
        <w:rPr>
          <w:rFonts w:ascii="Times New Roman" w:hAnsi="Times New Roman" w:cs="Times New Roman"/>
          <w:i/>
          <w:sz w:val="24"/>
          <w:szCs w:val="24"/>
        </w:rPr>
        <w:t xml:space="preserve">Minister of Information </w:t>
      </w:r>
      <w:r w:rsidR="009E51F7" w:rsidRPr="009E51F7">
        <w:rPr>
          <w:rFonts w:ascii="Times New Roman" w:hAnsi="Times New Roman" w:cs="Times New Roman"/>
          <w:i/>
          <w:sz w:val="24"/>
          <w:szCs w:val="24"/>
        </w:rPr>
        <w:t>and Publicity</w:t>
      </w:r>
      <w:r w:rsidR="009E51F7">
        <w:rPr>
          <w:rFonts w:ascii="Times New Roman" w:hAnsi="Times New Roman" w:cs="Times New Roman"/>
          <w:sz w:val="24"/>
          <w:szCs w:val="24"/>
        </w:rPr>
        <w:t xml:space="preserve">, </w:t>
      </w:r>
      <w:r w:rsidR="009E51F7">
        <w:rPr>
          <w:rStyle w:val="FootnoteReference"/>
          <w:rFonts w:ascii="Times New Roman" w:hAnsi="Times New Roman" w:cs="Times New Roman"/>
          <w:sz w:val="24"/>
          <w:szCs w:val="24"/>
        </w:rPr>
        <w:footnoteReference w:id="5"/>
      </w:r>
      <w:r w:rsidR="009E51F7">
        <w:rPr>
          <w:rFonts w:ascii="Times New Roman" w:hAnsi="Times New Roman" w:cs="Times New Roman"/>
          <w:sz w:val="24"/>
          <w:szCs w:val="24"/>
        </w:rPr>
        <w:t xml:space="preserve"> </w:t>
      </w:r>
      <w:r w:rsidR="009E51F7" w:rsidRPr="009E51F7">
        <w:rPr>
          <w:rFonts w:ascii="Times New Roman" w:hAnsi="Times New Roman" w:cs="Times New Roman"/>
          <w:i/>
          <w:sz w:val="24"/>
          <w:szCs w:val="24"/>
        </w:rPr>
        <w:t>S</w:t>
      </w:r>
      <w:r w:rsidR="009E51F7">
        <w:rPr>
          <w:rFonts w:ascii="Times New Roman" w:hAnsi="Times New Roman" w:cs="Times New Roman"/>
          <w:sz w:val="24"/>
          <w:szCs w:val="24"/>
        </w:rPr>
        <w:t xml:space="preserve"> v </w:t>
      </w:r>
      <w:r w:rsidR="009E51F7" w:rsidRPr="009E51F7">
        <w:rPr>
          <w:rFonts w:ascii="Times New Roman" w:hAnsi="Times New Roman" w:cs="Times New Roman"/>
          <w:i/>
          <w:sz w:val="24"/>
          <w:szCs w:val="24"/>
        </w:rPr>
        <w:t>Nail</w:t>
      </w:r>
      <w:r w:rsidR="009E51F7">
        <w:rPr>
          <w:rStyle w:val="FootnoteReference"/>
          <w:rFonts w:ascii="Times New Roman" w:hAnsi="Times New Roman" w:cs="Times New Roman"/>
          <w:sz w:val="24"/>
          <w:szCs w:val="24"/>
        </w:rPr>
        <w:footnoteReference w:id="6"/>
      </w:r>
      <w:r w:rsidR="009E51F7">
        <w:rPr>
          <w:rFonts w:ascii="Times New Roman" w:hAnsi="Times New Roman" w:cs="Times New Roman"/>
          <w:sz w:val="24"/>
          <w:szCs w:val="24"/>
        </w:rPr>
        <w:t xml:space="preserve">, </w:t>
      </w:r>
      <w:r w:rsidR="009E51F7" w:rsidRPr="009E51F7">
        <w:rPr>
          <w:rFonts w:ascii="Times New Roman" w:hAnsi="Times New Roman" w:cs="Times New Roman"/>
          <w:i/>
          <w:sz w:val="24"/>
          <w:szCs w:val="24"/>
        </w:rPr>
        <w:t>Milligan</w:t>
      </w:r>
      <w:r w:rsidR="009E51F7">
        <w:rPr>
          <w:rFonts w:ascii="Times New Roman" w:hAnsi="Times New Roman" w:cs="Times New Roman"/>
          <w:sz w:val="24"/>
          <w:szCs w:val="24"/>
        </w:rPr>
        <w:t xml:space="preserve"> v </w:t>
      </w:r>
      <w:r w:rsidR="009E51F7" w:rsidRPr="009E51F7">
        <w:rPr>
          <w:rFonts w:ascii="Times New Roman" w:hAnsi="Times New Roman" w:cs="Times New Roman"/>
          <w:i/>
          <w:sz w:val="24"/>
          <w:szCs w:val="24"/>
        </w:rPr>
        <w:t>Milligan</w:t>
      </w:r>
      <w:r w:rsidR="009E51F7">
        <w:rPr>
          <w:rStyle w:val="FootnoteReference"/>
          <w:rFonts w:ascii="Times New Roman" w:hAnsi="Times New Roman" w:cs="Times New Roman"/>
          <w:sz w:val="24"/>
          <w:szCs w:val="24"/>
        </w:rPr>
        <w:footnoteReference w:id="7"/>
      </w:r>
      <w:r w:rsidR="009E51F7">
        <w:rPr>
          <w:rFonts w:ascii="Times New Roman" w:hAnsi="Times New Roman" w:cs="Times New Roman"/>
          <w:sz w:val="24"/>
          <w:szCs w:val="24"/>
        </w:rPr>
        <w:t xml:space="preserve"> and </w:t>
      </w:r>
      <w:r w:rsidR="009E51F7" w:rsidRPr="009E51F7">
        <w:rPr>
          <w:rFonts w:ascii="Times New Roman" w:hAnsi="Times New Roman" w:cs="Times New Roman"/>
          <w:i/>
          <w:sz w:val="24"/>
          <w:szCs w:val="24"/>
        </w:rPr>
        <w:t>Fraird</w:t>
      </w:r>
      <w:r w:rsidR="009E51F7">
        <w:rPr>
          <w:rFonts w:ascii="Times New Roman" w:hAnsi="Times New Roman" w:cs="Times New Roman"/>
          <w:sz w:val="24"/>
          <w:szCs w:val="24"/>
        </w:rPr>
        <w:t xml:space="preserve"> v </w:t>
      </w:r>
      <w:r w:rsidR="009E51F7" w:rsidRPr="009E51F7">
        <w:rPr>
          <w:rFonts w:ascii="Times New Roman" w:hAnsi="Times New Roman" w:cs="Times New Roman"/>
          <w:i/>
          <w:sz w:val="24"/>
          <w:szCs w:val="24"/>
        </w:rPr>
        <w:t>Nothman</w:t>
      </w:r>
      <w:r w:rsidR="009E51F7">
        <w:rPr>
          <w:rStyle w:val="FootnoteReference"/>
          <w:rFonts w:ascii="Times New Roman" w:hAnsi="Times New Roman" w:cs="Times New Roman"/>
          <w:sz w:val="24"/>
          <w:szCs w:val="24"/>
        </w:rPr>
        <w:footnoteReference w:id="8"/>
      </w:r>
      <w:r w:rsidR="009E51F7">
        <w:rPr>
          <w:rFonts w:ascii="Times New Roman" w:hAnsi="Times New Roman" w:cs="Times New Roman"/>
          <w:sz w:val="24"/>
          <w:szCs w:val="24"/>
        </w:rPr>
        <w:t xml:space="preserve">)  </w:t>
      </w:r>
    </w:p>
    <w:p w:rsidR="0029202F" w:rsidRDefault="008318E8" w:rsidP="00005C4D">
      <w:pPr>
        <w:tabs>
          <w:tab w:val="left" w:pos="426"/>
          <w:tab w:val="center"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5C4D">
        <w:rPr>
          <w:rFonts w:ascii="Times New Roman" w:hAnsi="Times New Roman" w:cs="Times New Roman"/>
          <w:sz w:val="24"/>
          <w:szCs w:val="24"/>
        </w:rPr>
        <w:tab/>
      </w:r>
      <w:r w:rsidR="00005C4D">
        <w:rPr>
          <w:rFonts w:ascii="Times New Roman" w:hAnsi="Times New Roman" w:cs="Times New Roman"/>
          <w:sz w:val="24"/>
          <w:szCs w:val="24"/>
        </w:rPr>
        <w:tab/>
      </w:r>
      <w:r>
        <w:rPr>
          <w:rFonts w:ascii="Times New Roman" w:hAnsi="Times New Roman" w:cs="Times New Roman"/>
          <w:sz w:val="24"/>
          <w:szCs w:val="24"/>
        </w:rPr>
        <w:t xml:space="preserve">In any case respondent submitted, appellant was given an opportunity to explain the position on the date of hearing but declined hence it waived its rights to be heard. </w:t>
      </w:r>
      <w:r w:rsidR="009E51F7">
        <w:rPr>
          <w:rFonts w:ascii="Times New Roman" w:hAnsi="Times New Roman" w:cs="Times New Roman"/>
          <w:sz w:val="24"/>
          <w:szCs w:val="24"/>
        </w:rPr>
        <w:t xml:space="preserve">It was further submitted that the right to be heard is not an absolute immutable </w:t>
      </w:r>
      <w:r w:rsidR="00B641BE">
        <w:rPr>
          <w:rFonts w:ascii="Times New Roman" w:hAnsi="Times New Roman" w:cs="Times New Roman"/>
          <w:sz w:val="24"/>
          <w:szCs w:val="24"/>
        </w:rPr>
        <w:t>rule of law</w:t>
      </w:r>
      <w:r w:rsidR="009E51F7">
        <w:rPr>
          <w:rFonts w:ascii="Times New Roman" w:hAnsi="Times New Roman" w:cs="Times New Roman"/>
          <w:sz w:val="24"/>
          <w:szCs w:val="24"/>
        </w:rPr>
        <w:t>, it can be waived or forfeited where the beneficiary is at fault.</w:t>
      </w:r>
      <w:r w:rsidR="009E51F7">
        <w:rPr>
          <w:rStyle w:val="FootnoteReference"/>
          <w:rFonts w:ascii="Times New Roman" w:hAnsi="Times New Roman" w:cs="Times New Roman"/>
          <w:sz w:val="24"/>
          <w:szCs w:val="24"/>
        </w:rPr>
        <w:footnoteReference w:id="9"/>
      </w:r>
      <w:r w:rsidR="00B641BE">
        <w:rPr>
          <w:rFonts w:ascii="Times New Roman" w:hAnsi="Times New Roman" w:cs="Times New Roman"/>
          <w:sz w:val="24"/>
          <w:szCs w:val="24"/>
        </w:rPr>
        <w:t xml:space="preserve"> Appellant, it was submitted by the respondent, was legally represented and deemed to be aware of his rights which were waived. Appellant failed to challenge respondent’s submissions which led the court </w:t>
      </w:r>
      <w:r w:rsidR="00B641BE" w:rsidRPr="00B641BE">
        <w:rPr>
          <w:rFonts w:ascii="Times New Roman" w:hAnsi="Times New Roman" w:cs="Times New Roman"/>
          <w:i/>
          <w:sz w:val="24"/>
          <w:szCs w:val="24"/>
        </w:rPr>
        <w:t>a quo</w:t>
      </w:r>
      <w:r w:rsidR="00B641BE">
        <w:rPr>
          <w:rFonts w:ascii="Times New Roman" w:hAnsi="Times New Roman" w:cs="Times New Roman"/>
          <w:sz w:val="24"/>
          <w:szCs w:val="24"/>
        </w:rPr>
        <w:t xml:space="preserve"> to grant the judgment and order, it was contended. The appellant should at least have applied for some relief than to have absolutely no response to the respondent’s submission.</w:t>
      </w:r>
    </w:p>
    <w:p w:rsidR="008318E8" w:rsidRDefault="00B641BE" w:rsidP="00005C4D">
      <w:pPr>
        <w:tabs>
          <w:tab w:val="left" w:pos="426"/>
          <w:tab w:val="center"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5C4D">
        <w:rPr>
          <w:rFonts w:ascii="Times New Roman" w:hAnsi="Times New Roman" w:cs="Times New Roman"/>
          <w:sz w:val="24"/>
          <w:szCs w:val="24"/>
        </w:rPr>
        <w:tab/>
      </w:r>
      <w:r w:rsidR="008318E8">
        <w:rPr>
          <w:rFonts w:ascii="Times New Roman" w:hAnsi="Times New Roman" w:cs="Times New Roman"/>
          <w:sz w:val="24"/>
          <w:szCs w:val="24"/>
        </w:rPr>
        <w:tab/>
      </w:r>
      <w:r>
        <w:rPr>
          <w:rFonts w:ascii="Times New Roman" w:hAnsi="Times New Roman" w:cs="Times New Roman"/>
          <w:sz w:val="24"/>
          <w:szCs w:val="24"/>
        </w:rPr>
        <w:t xml:space="preserve">The synopsis of the chronology of the events leading to the order given by the court contained in the background of facts above exhibits an attitude on the part of the appellant which is deliberately meant to delay the proceedings brought against him by the respondent. Appellant’s legal practitioners on the other hand also acted in a do not care attitude towards the handling of the matter which further appears </w:t>
      </w:r>
      <w:r w:rsidR="00B77F9A">
        <w:rPr>
          <w:rFonts w:ascii="Times New Roman" w:hAnsi="Times New Roman" w:cs="Times New Roman"/>
          <w:sz w:val="24"/>
          <w:szCs w:val="24"/>
        </w:rPr>
        <w:t xml:space="preserve">on the colour and substance of the heads of arguments. </w:t>
      </w:r>
    </w:p>
    <w:p w:rsidR="00B641BE" w:rsidRDefault="008318E8" w:rsidP="00005C4D">
      <w:pPr>
        <w:tabs>
          <w:tab w:val="left" w:pos="567"/>
          <w:tab w:val="center"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5C4D">
        <w:rPr>
          <w:rFonts w:ascii="Times New Roman" w:hAnsi="Times New Roman" w:cs="Times New Roman"/>
          <w:sz w:val="24"/>
          <w:szCs w:val="24"/>
        </w:rPr>
        <w:tab/>
      </w:r>
      <w:r w:rsidR="00005C4D">
        <w:rPr>
          <w:rFonts w:ascii="Times New Roman" w:hAnsi="Times New Roman" w:cs="Times New Roman"/>
          <w:sz w:val="24"/>
          <w:szCs w:val="24"/>
        </w:rPr>
        <w:tab/>
      </w:r>
      <w:r w:rsidR="00E560F1">
        <w:rPr>
          <w:rFonts w:ascii="Times New Roman" w:hAnsi="Times New Roman" w:cs="Times New Roman"/>
          <w:sz w:val="24"/>
          <w:szCs w:val="24"/>
        </w:rPr>
        <w:t>It is indeed an accepted mundane</w:t>
      </w:r>
      <w:r w:rsidR="00B77F9A">
        <w:rPr>
          <w:rFonts w:ascii="Times New Roman" w:hAnsi="Times New Roman" w:cs="Times New Roman"/>
          <w:sz w:val="24"/>
          <w:szCs w:val="24"/>
        </w:rPr>
        <w:t xml:space="preserve"> principle accepted by our courts that before a determination is made against a party, the court must afford that party an opportunity to be heard, however the law guards and protects diligent litigant. In this matter the appellant openly admits that an order of costs was awarded against it by the court </w:t>
      </w:r>
      <w:r w:rsidR="00B77F9A" w:rsidRPr="00B77F9A">
        <w:rPr>
          <w:rFonts w:ascii="Times New Roman" w:hAnsi="Times New Roman" w:cs="Times New Roman"/>
          <w:i/>
          <w:sz w:val="24"/>
          <w:szCs w:val="24"/>
        </w:rPr>
        <w:t>a quo</w:t>
      </w:r>
      <w:r w:rsidR="00B77F9A">
        <w:rPr>
          <w:rFonts w:ascii="Times New Roman" w:hAnsi="Times New Roman" w:cs="Times New Roman"/>
          <w:sz w:val="24"/>
          <w:szCs w:val="24"/>
        </w:rPr>
        <w:t xml:space="preserve"> when the matter was postponed for the last time and it was made clear by the court that those wasted costs were to be paid before the next date of set down. Appellant did not obey the court order. On the date of hearing an application was made by the respondent to the court </w:t>
      </w:r>
      <w:r w:rsidR="00B77F9A" w:rsidRPr="00B77F9A">
        <w:rPr>
          <w:rFonts w:ascii="Times New Roman" w:hAnsi="Times New Roman" w:cs="Times New Roman"/>
          <w:i/>
          <w:sz w:val="24"/>
          <w:szCs w:val="24"/>
        </w:rPr>
        <w:t>a quo</w:t>
      </w:r>
      <w:r w:rsidR="00B77F9A">
        <w:rPr>
          <w:rFonts w:ascii="Times New Roman" w:hAnsi="Times New Roman" w:cs="Times New Roman"/>
          <w:sz w:val="24"/>
          <w:szCs w:val="24"/>
        </w:rPr>
        <w:t xml:space="preserve"> to declare the appellant </w:t>
      </w:r>
      <w:r w:rsidR="00B77F9A">
        <w:rPr>
          <w:rFonts w:ascii="Times New Roman" w:hAnsi="Times New Roman" w:cs="Times New Roman"/>
          <w:sz w:val="24"/>
          <w:szCs w:val="24"/>
        </w:rPr>
        <w:lastRenderedPageBreak/>
        <w:t xml:space="preserve">to be in contempt of court for failure to pay the costs as per the court </w:t>
      </w:r>
      <w:r w:rsidR="00B77F9A" w:rsidRPr="00B77F9A">
        <w:rPr>
          <w:rFonts w:ascii="Times New Roman" w:hAnsi="Times New Roman" w:cs="Times New Roman"/>
          <w:i/>
          <w:sz w:val="24"/>
          <w:szCs w:val="24"/>
        </w:rPr>
        <w:t>a quo</w:t>
      </w:r>
      <w:r w:rsidR="00B77F9A">
        <w:rPr>
          <w:rFonts w:ascii="Times New Roman" w:hAnsi="Times New Roman" w:cs="Times New Roman"/>
          <w:sz w:val="24"/>
          <w:szCs w:val="24"/>
        </w:rPr>
        <w:t xml:space="preserve">’s directive and also to deny the appellant an opportunity to be heard. The appellant’s legal practitioner did not oppose the application </w:t>
      </w:r>
      <w:r w:rsidR="00460708">
        <w:rPr>
          <w:rFonts w:ascii="Times New Roman" w:hAnsi="Times New Roman" w:cs="Times New Roman"/>
          <w:sz w:val="24"/>
          <w:szCs w:val="24"/>
        </w:rPr>
        <w:t xml:space="preserve">nor make any contrary submission. Appellant did not seek the indulgence of the court </w:t>
      </w:r>
      <w:r w:rsidR="00460708" w:rsidRPr="00460708">
        <w:rPr>
          <w:rFonts w:ascii="Times New Roman" w:hAnsi="Times New Roman" w:cs="Times New Roman"/>
          <w:i/>
          <w:sz w:val="24"/>
          <w:szCs w:val="24"/>
        </w:rPr>
        <w:t>a quo</w:t>
      </w:r>
      <w:r w:rsidR="00460708">
        <w:rPr>
          <w:rFonts w:ascii="Times New Roman" w:hAnsi="Times New Roman" w:cs="Times New Roman"/>
          <w:sz w:val="24"/>
          <w:szCs w:val="24"/>
        </w:rPr>
        <w:t xml:space="preserve"> to further postpone the trial or use its discretion to afford appellant an opportunity to purge its contempt by being given time to pay the wasted costs. The appellant waived its own right to be heard. The appellant admitted in its own heads of argument (</w:t>
      </w:r>
      <w:r w:rsidR="00460708" w:rsidRPr="00EC3080">
        <w:rPr>
          <w:rFonts w:ascii="Times New Roman" w:hAnsi="Times New Roman" w:cs="Times New Roman"/>
          <w:i/>
          <w:sz w:val="24"/>
          <w:szCs w:val="24"/>
        </w:rPr>
        <w:t>paragraph 7</w:t>
      </w:r>
      <w:r w:rsidR="00460708">
        <w:rPr>
          <w:rFonts w:ascii="Times New Roman" w:hAnsi="Times New Roman" w:cs="Times New Roman"/>
          <w:sz w:val="24"/>
          <w:szCs w:val="24"/>
        </w:rPr>
        <w:t>) that a</w:t>
      </w:r>
      <w:r w:rsidR="00E13C3B">
        <w:rPr>
          <w:rFonts w:ascii="Times New Roman" w:hAnsi="Times New Roman" w:cs="Times New Roman"/>
          <w:sz w:val="24"/>
          <w:szCs w:val="24"/>
        </w:rPr>
        <w:t xml:space="preserve"> litigant can properly be denied</w:t>
      </w:r>
      <w:r w:rsidR="00460708">
        <w:rPr>
          <w:rFonts w:ascii="Times New Roman" w:hAnsi="Times New Roman" w:cs="Times New Roman"/>
          <w:sz w:val="24"/>
          <w:szCs w:val="24"/>
        </w:rPr>
        <w:t xml:space="preserve"> the court’s audience if it is guilty of failing to comply with the court’s orders. This is squarely what the appellant did in this case. I agree with the respondent’s submission that the right to be heard is not an absolute immutable rule of law, it can be waived or forfeited when the beneficiary is at fault. As clearly summarised by Professor G Feltoe.</w:t>
      </w:r>
      <w:r w:rsidR="00460708">
        <w:rPr>
          <w:rStyle w:val="FootnoteReference"/>
          <w:rFonts w:ascii="Times New Roman" w:hAnsi="Times New Roman" w:cs="Times New Roman"/>
          <w:sz w:val="24"/>
          <w:szCs w:val="24"/>
        </w:rPr>
        <w:footnoteReference w:id="10"/>
      </w:r>
    </w:p>
    <w:p w:rsidR="00460708" w:rsidRPr="007F5B5C" w:rsidRDefault="00460708" w:rsidP="007F5B5C">
      <w:pPr>
        <w:tabs>
          <w:tab w:val="center" w:pos="709"/>
        </w:tabs>
        <w:spacing w:after="0" w:line="240" w:lineRule="auto"/>
        <w:ind w:left="709"/>
        <w:jc w:val="both"/>
        <w:rPr>
          <w:rFonts w:ascii="Times New Roman" w:hAnsi="Times New Roman" w:cs="Times New Roman"/>
        </w:rPr>
      </w:pPr>
      <w:r w:rsidRPr="007F5B5C">
        <w:rPr>
          <w:rFonts w:ascii="Times New Roman" w:hAnsi="Times New Roman" w:cs="Times New Roman"/>
        </w:rPr>
        <w:tab/>
        <w:t>“</w:t>
      </w:r>
      <w:r w:rsidR="007F5B5C" w:rsidRPr="007F5B5C">
        <w:rPr>
          <w:rFonts w:ascii="Times New Roman" w:hAnsi="Times New Roman" w:cs="Times New Roman"/>
        </w:rPr>
        <w:t>Clearly when a person is offered the chance to exercise one of the rights recognised as being part of the principles of natural justice and he declines to avail himself of this right, then he has waived his right.”</w:t>
      </w:r>
    </w:p>
    <w:p w:rsidR="007C0C17" w:rsidRDefault="007F5B5C" w:rsidP="00EA42F4">
      <w:pPr>
        <w:tabs>
          <w:tab w:val="center"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F5B5C" w:rsidRDefault="007C0C17" w:rsidP="00EA42F4">
      <w:pPr>
        <w:tabs>
          <w:tab w:val="center"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F5B5C">
        <w:rPr>
          <w:rFonts w:ascii="Times New Roman" w:hAnsi="Times New Roman" w:cs="Times New Roman"/>
          <w:sz w:val="24"/>
          <w:szCs w:val="24"/>
        </w:rPr>
        <w:tab/>
        <w:t xml:space="preserve">The appellant was legally represented and invariably aware of its rights but surprisingly those rights were not asserted appropriately and chose to raise them belatedly on appeal. I see no fault nor misdirection on the part of the trial court in these circumstances. The appellant was alerted by both the court and the respondent. The court </w:t>
      </w:r>
      <w:r w:rsidR="007F5B5C" w:rsidRPr="007F5B5C">
        <w:rPr>
          <w:rFonts w:ascii="Times New Roman" w:hAnsi="Times New Roman" w:cs="Times New Roman"/>
          <w:i/>
          <w:sz w:val="24"/>
          <w:szCs w:val="24"/>
        </w:rPr>
        <w:t>a quo</w:t>
      </w:r>
      <w:r w:rsidR="007F5B5C">
        <w:rPr>
          <w:rFonts w:ascii="Times New Roman" w:hAnsi="Times New Roman" w:cs="Times New Roman"/>
          <w:sz w:val="24"/>
          <w:szCs w:val="24"/>
        </w:rPr>
        <w:t xml:space="preserve"> properly in any view exercised its discretion pertaining to postponements as well as on the issue of doctrine or concept of a party approaching a court with dirty hands. I discern no misdirection and the first ground of appeal is dismissed. </w:t>
      </w:r>
    </w:p>
    <w:p w:rsidR="00E50E12" w:rsidRDefault="00E50E12" w:rsidP="00E862CD">
      <w:pPr>
        <w:tabs>
          <w:tab w:val="center" w:pos="709"/>
        </w:tabs>
        <w:spacing w:after="0" w:line="360" w:lineRule="auto"/>
        <w:jc w:val="both"/>
        <w:rPr>
          <w:rFonts w:ascii="Times New Roman" w:hAnsi="Times New Roman" w:cs="Times New Roman"/>
          <w:sz w:val="24"/>
          <w:szCs w:val="24"/>
        </w:rPr>
      </w:pPr>
    </w:p>
    <w:p w:rsidR="007F5B5C" w:rsidRPr="00EC3080" w:rsidRDefault="007F5B5C" w:rsidP="00E862CD">
      <w:pPr>
        <w:tabs>
          <w:tab w:val="center" w:pos="709"/>
        </w:tabs>
        <w:spacing w:after="0" w:line="360" w:lineRule="auto"/>
        <w:jc w:val="both"/>
        <w:rPr>
          <w:rFonts w:ascii="Times New Roman" w:hAnsi="Times New Roman" w:cs="Times New Roman"/>
          <w:b/>
          <w:sz w:val="24"/>
          <w:szCs w:val="24"/>
        </w:rPr>
      </w:pPr>
      <w:r w:rsidRPr="00EC3080">
        <w:rPr>
          <w:rFonts w:ascii="Times New Roman" w:hAnsi="Times New Roman" w:cs="Times New Roman"/>
          <w:b/>
          <w:sz w:val="24"/>
          <w:szCs w:val="24"/>
        </w:rPr>
        <w:t xml:space="preserve">WHETHER THE COURT A QUO MISDIRECTED </w:t>
      </w:r>
      <w:r w:rsidR="00804E7C" w:rsidRPr="00EC3080">
        <w:rPr>
          <w:rFonts w:ascii="Times New Roman" w:hAnsi="Times New Roman" w:cs="Times New Roman"/>
          <w:b/>
          <w:sz w:val="24"/>
          <w:szCs w:val="24"/>
        </w:rPr>
        <w:t xml:space="preserve">ITSELF BY GRANTING AN ORDER FOR THE EJECTMENT OF THE APPELLANT WHEN SUCH RELIEF HAD </w:t>
      </w:r>
      <w:r w:rsidR="00EC3080" w:rsidRPr="00EC3080">
        <w:rPr>
          <w:rFonts w:ascii="Times New Roman" w:hAnsi="Times New Roman" w:cs="Times New Roman"/>
          <w:b/>
          <w:sz w:val="24"/>
          <w:szCs w:val="24"/>
        </w:rPr>
        <w:t>NOT BEEN CLAIMED IN THE SUMMONS?</w:t>
      </w:r>
    </w:p>
    <w:p w:rsidR="0041426D" w:rsidRDefault="00804E7C" w:rsidP="002E5E82">
      <w:pPr>
        <w:tabs>
          <w:tab w:val="left" w:pos="567"/>
          <w:tab w:val="center"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18E8">
        <w:rPr>
          <w:rFonts w:ascii="Times New Roman" w:hAnsi="Times New Roman" w:cs="Times New Roman"/>
          <w:sz w:val="24"/>
          <w:szCs w:val="24"/>
        </w:rPr>
        <w:tab/>
      </w:r>
      <w:r>
        <w:rPr>
          <w:rFonts w:ascii="Times New Roman" w:hAnsi="Times New Roman" w:cs="Times New Roman"/>
          <w:sz w:val="24"/>
          <w:szCs w:val="24"/>
        </w:rPr>
        <w:t xml:space="preserve">The appellant’s legal practitioner submitted that the relief sought </w:t>
      </w:r>
      <w:r w:rsidRPr="00804E7C">
        <w:rPr>
          <w:rFonts w:ascii="Times New Roman" w:hAnsi="Times New Roman" w:cs="Times New Roman"/>
          <w:i/>
          <w:sz w:val="24"/>
          <w:szCs w:val="24"/>
        </w:rPr>
        <w:t>ex facie</w:t>
      </w:r>
      <w:r>
        <w:rPr>
          <w:rFonts w:ascii="Times New Roman" w:hAnsi="Times New Roman" w:cs="Times New Roman"/>
          <w:sz w:val="24"/>
          <w:szCs w:val="24"/>
        </w:rPr>
        <w:t xml:space="preserve"> the summons </w:t>
      </w:r>
      <w:r w:rsidRPr="00804E7C">
        <w:rPr>
          <w:rFonts w:ascii="Times New Roman" w:hAnsi="Times New Roman" w:cs="Times New Roman"/>
          <w:i/>
          <w:sz w:val="24"/>
          <w:szCs w:val="24"/>
        </w:rPr>
        <w:t>a</w:t>
      </w:r>
      <w:r>
        <w:rPr>
          <w:rFonts w:ascii="Times New Roman" w:hAnsi="Times New Roman" w:cs="Times New Roman"/>
          <w:sz w:val="24"/>
          <w:szCs w:val="24"/>
        </w:rPr>
        <w:t xml:space="preserve"> </w:t>
      </w:r>
      <w:r w:rsidRPr="00804E7C">
        <w:rPr>
          <w:rFonts w:ascii="Times New Roman" w:hAnsi="Times New Roman" w:cs="Times New Roman"/>
          <w:i/>
          <w:sz w:val="24"/>
          <w:szCs w:val="24"/>
        </w:rPr>
        <w:t>quo</w:t>
      </w:r>
      <w:r>
        <w:rPr>
          <w:rFonts w:ascii="Times New Roman" w:hAnsi="Times New Roman" w:cs="Times New Roman"/>
          <w:sz w:val="24"/>
          <w:szCs w:val="24"/>
        </w:rPr>
        <w:t xml:space="preserve"> is that the respondent sought the removal of the appellant’s property from the leased premises. Eviction was not therefore prayed for and yet the court </w:t>
      </w:r>
      <w:r w:rsidRPr="00804E7C">
        <w:rPr>
          <w:rFonts w:ascii="Times New Roman" w:hAnsi="Times New Roman" w:cs="Times New Roman"/>
          <w:i/>
          <w:sz w:val="24"/>
          <w:szCs w:val="24"/>
        </w:rPr>
        <w:t>a quo</w:t>
      </w:r>
      <w:r>
        <w:rPr>
          <w:rFonts w:ascii="Times New Roman" w:hAnsi="Times New Roman" w:cs="Times New Roman"/>
          <w:sz w:val="24"/>
          <w:szCs w:val="24"/>
        </w:rPr>
        <w:t xml:space="preserve"> proceeded to order eviction forthwith, by so doing, it was contended by the appellant that the court </w:t>
      </w:r>
      <w:r w:rsidRPr="00832C72">
        <w:rPr>
          <w:rFonts w:ascii="Times New Roman" w:hAnsi="Times New Roman" w:cs="Times New Roman"/>
          <w:i/>
          <w:sz w:val="24"/>
          <w:szCs w:val="24"/>
        </w:rPr>
        <w:t>a quo</w:t>
      </w:r>
      <w:r>
        <w:rPr>
          <w:rFonts w:ascii="Times New Roman" w:hAnsi="Times New Roman" w:cs="Times New Roman"/>
          <w:sz w:val="24"/>
          <w:szCs w:val="24"/>
        </w:rPr>
        <w:t xml:space="preserve"> raised an issue </w:t>
      </w:r>
      <w:r w:rsidR="00BF1E1B" w:rsidRPr="00BF1E1B">
        <w:rPr>
          <w:rFonts w:ascii="Times New Roman" w:hAnsi="Times New Roman" w:cs="Times New Roman"/>
          <w:i/>
          <w:sz w:val="24"/>
          <w:szCs w:val="24"/>
        </w:rPr>
        <w:t>mero motu</w:t>
      </w:r>
      <w:r w:rsidR="00BF1E1B">
        <w:rPr>
          <w:rFonts w:ascii="Times New Roman" w:hAnsi="Times New Roman" w:cs="Times New Roman"/>
          <w:sz w:val="24"/>
          <w:szCs w:val="24"/>
        </w:rPr>
        <w:t xml:space="preserve"> and made a finding on it without hearing counsel on that issue. The appellant impugned the court </w:t>
      </w:r>
      <w:r w:rsidR="00BF1E1B" w:rsidRPr="00D24CDD">
        <w:rPr>
          <w:rFonts w:ascii="Times New Roman" w:hAnsi="Times New Roman" w:cs="Times New Roman"/>
          <w:i/>
          <w:sz w:val="24"/>
          <w:szCs w:val="24"/>
        </w:rPr>
        <w:t>a quo</w:t>
      </w:r>
      <w:r w:rsidR="00BF1E1B">
        <w:rPr>
          <w:rFonts w:ascii="Times New Roman" w:hAnsi="Times New Roman" w:cs="Times New Roman"/>
          <w:sz w:val="24"/>
          <w:szCs w:val="24"/>
        </w:rPr>
        <w:t xml:space="preserve">’s conduct and equalled that conduct as being tantamount to a court descending into the arena and arguing a case on behalf of one of the parties. Counsel for the appellant </w:t>
      </w:r>
      <w:r w:rsidR="004D556D">
        <w:rPr>
          <w:rFonts w:ascii="Times New Roman" w:hAnsi="Times New Roman" w:cs="Times New Roman"/>
          <w:sz w:val="24"/>
          <w:szCs w:val="24"/>
        </w:rPr>
        <w:t xml:space="preserve">cited the matter of </w:t>
      </w:r>
      <w:r w:rsidR="004D556D" w:rsidRPr="004D556D">
        <w:rPr>
          <w:rFonts w:ascii="Times New Roman" w:hAnsi="Times New Roman" w:cs="Times New Roman"/>
          <w:i/>
          <w:sz w:val="24"/>
          <w:szCs w:val="24"/>
        </w:rPr>
        <w:t>Muzuva</w:t>
      </w:r>
      <w:r w:rsidR="004D556D">
        <w:rPr>
          <w:rFonts w:ascii="Times New Roman" w:hAnsi="Times New Roman" w:cs="Times New Roman"/>
          <w:sz w:val="24"/>
          <w:szCs w:val="24"/>
        </w:rPr>
        <w:t xml:space="preserve"> v </w:t>
      </w:r>
      <w:r w:rsidR="004D556D" w:rsidRPr="004D556D">
        <w:rPr>
          <w:rFonts w:ascii="Times New Roman" w:hAnsi="Times New Roman" w:cs="Times New Roman"/>
          <w:i/>
          <w:sz w:val="24"/>
          <w:szCs w:val="24"/>
        </w:rPr>
        <w:t>United Bottlers (Pvt) Ltd</w:t>
      </w:r>
      <w:r w:rsidR="004D556D">
        <w:rPr>
          <w:rStyle w:val="FootnoteReference"/>
          <w:rFonts w:ascii="Times New Roman" w:hAnsi="Times New Roman" w:cs="Times New Roman"/>
          <w:sz w:val="24"/>
          <w:szCs w:val="24"/>
        </w:rPr>
        <w:footnoteReference w:id="11"/>
      </w:r>
      <w:r w:rsidR="004D556D">
        <w:rPr>
          <w:rFonts w:ascii="Times New Roman" w:hAnsi="Times New Roman" w:cs="Times New Roman"/>
          <w:sz w:val="24"/>
          <w:szCs w:val="24"/>
        </w:rPr>
        <w:t xml:space="preserve">, </w:t>
      </w:r>
      <w:r w:rsidR="004D556D" w:rsidRPr="004D556D">
        <w:rPr>
          <w:rFonts w:ascii="Times New Roman" w:hAnsi="Times New Roman" w:cs="Times New Roman"/>
          <w:i/>
          <w:sz w:val="24"/>
          <w:szCs w:val="24"/>
        </w:rPr>
        <w:t>National Foods Ltd</w:t>
      </w:r>
      <w:r w:rsidR="004D556D">
        <w:rPr>
          <w:rFonts w:ascii="Times New Roman" w:hAnsi="Times New Roman" w:cs="Times New Roman"/>
          <w:sz w:val="24"/>
          <w:szCs w:val="24"/>
        </w:rPr>
        <w:t xml:space="preserve"> </w:t>
      </w:r>
      <w:r w:rsidR="004D556D">
        <w:rPr>
          <w:rFonts w:ascii="Times New Roman" w:hAnsi="Times New Roman" w:cs="Times New Roman"/>
          <w:sz w:val="24"/>
          <w:szCs w:val="24"/>
        </w:rPr>
        <w:lastRenderedPageBreak/>
        <w:t xml:space="preserve">v </w:t>
      </w:r>
      <w:r w:rsidR="004D556D" w:rsidRPr="00832C72">
        <w:rPr>
          <w:rFonts w:ascii="Times New Roman" w:hAnsi="Times New Roman" w:cs="Times New Roman"/>
          <w:i/>
          <w:sz w:val="24"/>
          <w:szCs w:val="24"/>
        </w:rPr>
        <w:t>Mugadza</w:t>
      </w:r>
      <w:r w:rsidR="004D556D">
        <w:rPr>
          <w:rStyle w:val="FootnoteReference"/>
          <w:rFonts w:ascii="Times New Roman" w:hAnsi="Times New Roman" w:cs="Times New Roman"/>
          <w:sz w:val="24"/>
          <w:szCs w:val="24"/>
        </w:rPr>
        <w:footnoteReference w:id="12"/>
      </w:r>
      <w:r w:rsidR="00D24CDD">
        <w:rPr>
          <w:rFonts w:ascii="Times New Roman" w:hAnsi="Times New Roman" w:cs="Times New Roman"/>
          <w:sz w:val="24"/>
          <w:szCs w:val="24"/>
        </w:rPr>
        <w:t xml:space="preserve"> </w:t>
      </w:r>
      <w:r w:rsidR="00D24CDD" w:rsidRPr="00832C72">
        <w:rPr>
          <w:rFonts w:ascii="Times New Roman" w:hAnsi="Times New Roman" w:cs="Times New Roman"/>
          <w:i/>
          <w:sz w:val="24"/>
          <w:szCs w:val="24"/>
        </w:rPr>
        <w:t>Mpu</w:t>
      </w:r>
      <w:r w:rsidR="004D556D" w:rsidRPr="00832C72">
        <w:rPr>
          <w:rFonts w:ascii="Times New Roman" w:hAnsi="Times New Roman" w:cs="Times New Roman"/>
          <w:i/>
          <w:sz w:val="24"/>
          <w:szCs w:val="24"/>
        </w:rPr>
        <w:t>mel</w:t>
      </w:r>
      <w:r w:rsidR="004D556D">
        <w:rPr>
          <w:rFonts w:ascii="Times New Roman" w:hAnsi="Times New Roman" w:cs="Times New Roman"/>
          <w:sz w:val="24"/>
          <w:szCs w:val="24"/>
        </w:rPr>
        <w:t xml:space="preserve">a v </w:t>
      </w:r>
      <w:r w:rsidR="004D556D" w:rsidRPr="00832C72">
        <w:rPr>
          <w:rFonts w:ascii="Times New Roman" w:hAnsi="Times New Roman" w:cs="Times New Roman"/>
          <w:i/>
          <w:sz w:val="24"/>
          <w:szCs w:val="24"/>
        </w:rPr>
        <w:t xml:space="preserve">Berger Paints (Pvt) </w:t>
      </w:r>
      <w:r w:rsidR="00D24CDD" w:rsidRPr="00832C72">
        <w:rPr>
          <w:rFonts w:ascii="Times New Roman" w:hAnsi="Times New Roman" w:cs="Times New Roman"/>
          <w:i/>
          <w:sz w:val="24"/>
          <w:szCs w:val="24"/>
        </w:rPr>
        <w:t>Ltd</w:t>
      </w:r>
      <w:r w:rsidR="004D556D">
        <w:rPr>
          <w:rStyle w:val="FootnoteReference"/>
          <w:rFonts w:ascii="Times New Roman" w:hAnsi="Times New Roman" w:cs="Times New Roman"/>
          <w:sz w:val="24"/>
          <w:szCs w:val="24"/>
        </w:rPr>
        <w:footnoteReference w:id="13"/>
      </w:r>
      <w:r w:rsidR="004D556D">
        <w:rPr>
          <w:rFonts w:ascii="Times New Roman" w:hAnsi="Times New Roman" w:cs="Times New Roman"/>
          <w:sz w:val="24"/>
          <w:szCs w:val="24"/>
        </w:rPr>
        <w:t xml:space="preserve">. </w:t>
      </w:r>
      <w:r w:rsidR="00991993">
        <w:rPr>
          <w:rFonts w:ascii="Times New Roman" w:hAnsi="Times New Roman" w:cs="Times New Roman"/>
          <w:sz w:val="24"/>
          <w:szCs w:val="24"/>
        </w:rPr>
        <w:t xml:space="preserve">As such, appellant added in its submission, the court may not grant a </w:t>
      </w:r>
      <w:r w:rsidR="00D24CDD" w:rsidRPr="00D24CDD">
        <w:rPr>
          <w:rFonts w:ascii="Times New Roman" w:hAnsi="Times New Roman" w:cs="Times New Roman"/>
          <w:sz w:val="24"/>
          <w:szCs w:val="24"/>
        </w:rPr>
        <w:t>relief</w:t>
      </w:r>
      <w:r w:rsidR="00991993">
        <w:rPr>
          <w:rFonts w:ascii="Times New Roman" w:hAnsi="Times New Roman" w:cs="Times New Roman"/>
          <w:sz w:val="24"/>
          <w:szCs w:val="24"/>
        </w:rPr>
        <w:t xml:space="preserve"> </w:t>
      </w:r>
      <w:r w:rsidR="00991993" w:rsidRPr="00991993">
        <w:rPr>
          <w:rFonts w:ascii="Times New Roman" w:hAnsi="Times New Roman" w:cs="Times New Roman"/>
          <w:i/>
          <w:sz w:val="24"/>
          <w:szCs w:val="24"/>
        </w:rPr>
        <w:t>mero motu</w:t>
      </w:r>
      <w:r w:rsidR="00991993">
        <w:rPr>
          <w:rFonts w:ascii="Times New Roman" w:hAnsi="Times New Roman" w:cs="Times New Roman"/>
          <w:sz w:val="24"/>
          <w:szCs w:val="24"/>
        </w:rPr>
        <w:t xml:space="preserve"> even if it appears equitable under the circumstances. The </w:t>
      </w:r>
      <w:r w:rsidR="00FC074C">
        <w:rPr>
          <w:rFonts w:ascii="Times New Roman" w:hAnsi="Times New Roman" w:cs="Times New Roman"/>
          <w:sz w:val="24"/>
          <w:szCs w:val="24"/>
        </w:rPr>
        <w:t>court is</w:t>
      </w:r>
      <w:r w:rsidR="00991993">
        <w:rPr>
          <w:rFonts w:ascii="Times New Roman" w:hAnsi="Times New Roman" w:cs="Times New Roman"/>
          <w:sz w:val="24"/>
          <w:szCs w:val="24"/>
        </w:rPr>
        <w:t xml:space="preserve"> required to bring up the </w:t>
      </w:r>
      <w:r w:rsidR="00991993" w:rsidRPr="00D24CDD">
        <w:rPr>
          <w:rFonts w:ascii="Times New Roman" w:hAnsi="Times New Roman" w:cs="Times New Roman"/>
          <w:sz w:val="24"/>
          <w:szCs w:val="24"/>
        </w:rPr>
        <w:t>relief</w:t>
      </w:r>
      <w:r w:rsidR="00991993">
        <w:rPr>
          <w:rFonts w:ascii="Times New Roman" w:hAnsi="Times New Roman" w:cs="Times New Roman"/>
          <w:sz w:val="24"/>
          <w:szCs w:val="24"/>
        </w:rPr>
        <w:t xml:space="preserve"> and give the parties an opportunity to ventilate on the issue</w:t>
      </w:r>
      <w:r w:rsidR="00991993">
        <w:rPr>
          <w:rStyle w:val="FootnoteReference"/>
          <w:rFonts w:ascii="Times New Roman" w:hAnsi="Times New Roman" w:cs="Times New Roman"/>
          <w:sz w:val="24"/>
          <w:szCs w:val="24"/>
        </w:rPr>
        <w:footnoteReference w:id="14"/>
      </w:r>
      <w:r w:rsidR="00FC074C">
        <w:rPr>
          <w:rFonts w:ascii="Times New Roman" w:hAnsi="Times New Roman" w:cs="Times New Roman"/>
          <w:sz w:val="24"/>
          <w:szCs w:val="24"/>
        </w:rPr>
        <w:t>. Appellant submitted that the court erred in determining a matter not placed before it and went contrary to the appellant’s right to be heard.</w:t>
      </w:r>
    </w:p>
    <w:p w:rsidR="00CD3DAF" w:rsidRDefault="0041426D" w:rsidP="00D24CD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C074C">
        <w:rPr>
          <w:rFonts w:ascii="Times New Roman" w:hAnsi="Times New Roman" w:cs="Times New Roman"/>
          <w:sz w:val="24"/>
          <w:szCs w:val="24"/>
        </w:rPr>
        <w:t>The respondent concedes that the court must determine the dispute placed before it by the parties through their pleadings evidence and submissions.</w:t>
      </w:r>
      <w:r w:rsidR="004450C3">
        <w:rPr>
          <w:rStyle w:val="FootnoteReference"/>
          <w:rFonts w:ascii="Times New Roman" w:hAnsi="Times New Roman" w:cs="Times New Roman"/>
          <w:sz w:val="24"/>
          <w:szCs w:val="24"/>
        </w:rPr>
        <w:footnoteReference w:id="15"/>
      </w:r>
      <w:r w:rsidR="00FC074C">
        <w:rPr>
          <w:rFonts w:ascii="Times New Roman" w:hAnsi="Times New Roman" w:cs="Times New Roman"/>
          <w:sz w:val="24"/>
          <w:szCs w:val="24"/>
        </w:rPr>
        <w:t xml:space="preserve"> However the summons prepared </w:t>
      </w:r>
      <w:r>
        <w:rPr>
          <w:rFonts w:ascii="Times New Roman" w:hAnsi="Times New Roman" w:cs="Times New Roman"/>
          <w:sz w:val="24"/>
          <w:szCs w:val="24"/>
        </w:rPr>
        <w:t xml:space="preserve">by the respondent spoke of removal of property from respondent’s premises. The further particulars which form part of the respondent’s pleadings, the pre-trial conference </w:t>
      </w:r>
      <w:r w:rsidR="008324CC" w:rsidRPr="008324CC">
        <w:rPr>
          <w:rFonts w:ascii="Times New Roman" w:hAnsi="Times New Roman" w:cs="Times New Roman"/>
          <w:sz w:val="24"/>
          <w:szCs w:val="24"/>
        </w:rPr>
        <w:t>minute</w:t>
      </w:r>
      <w:r w:rsidR="008324CC">
        <w:rPr>
          <w:rFonts w:ascii="Times New Roman" w:hAnsi="Times New Roman" w:cs="Times New Roman"/>
          <w:sz w:val="24"/>
          <w:szCs w:val="24"/>
        </w:rPr>
        <w:t>,</w:t>
      </w:r>
      <w:r>
        <w:rPr>
          <w:rFonts w:ascii="Times New Roman" w:hAnsi="Times New Roman" w:cs="Times New Roman"/>
          <w:sz w:val="24"/>
          <w:szCs w:val="24"/>
        </w:rPr>
        <w:t xml:space="preserve"> are all explicit that the issue of ejectment was at the core of the summons commencing action, it was submitted on behalf of the respondent. In any case the respondent submits this ground of appeal when compared with appellant’s plea, the conclusion is completely opposite where the plea reads </w:t>
      </w:r>
    </w:p>
    <w:p w:rsidR="00FC074C" w:rsidRDefault="00CD3DAF" w:rsidP="00CD3DAF">
      <w:pPr>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t>“</w:t>
      </w:r>
      <w:r w:rsidRPr="00CD3DAF">
        <w:rPr>
          <w:rFonts w:ascii="Times New Roman" w:hAnsi="Times New Roman" w:cs="Times New Roman"/>
        </w:rPr>
        <w:t>The</w:t>
      </w:r>
      <w:r w:rsidR="00A30AC2">
        <w:rPr>
          <w:rFonts w:ascii="Times New Roman" w:hAnsi="Times New Roman" w:cs="Times New Roman"/>
        </w:rPr>
        <w:t xml:space="preserve"> plaintiff has no legal or j</w:t>
      </w:r>
      <w:r w:rsidR="0041426D" w:rsidRPr="00CD3DAF">
        <w:rPr>
          <w:rFonts w:ascii="Times New Roman" w:hAnsi="Times New Roman" w:cs="Times New Roman"/>
        </w:rPr>
        <w:t xml:space="preserve">ust cause to evict and remove the defendant from the premises” The respondent on page 28 of the record of </w:t>
      </w:r>
      <w:r w:rsidRPr="00CD3DAF">
        <w:rPr>
          <w:rFonts w:ascii="Times New Roman" w:hAnsi="Times New Roman" w:cs="Times New Roman"/>
        </w:rPr>
        <w:t>proceedings</w:t>
      </w:r>
      <w:r w:rsidR="0041426D" w:rsidRPr="00CD3DAF">
        <w:rPr>
          <w:rFonts w:ascii="Times New Roman" w:hAnsi="Times New Roman" w:cs="Times New Roman"/>
        </w:rPr>
        <w:t xml:space="preserve"> prayed </w:t>
      </w:r>
      <w:r w:rsidRPr="00CD3DAF">
        <w:rPr>
          <w:rFonts w:ascii="Times New Roman" w:hAnsi="Times New Roman" w:cs="Times New Roman"/>
        </w:rPr>
        <w:t>for</w:t>
      </w:r>
      <w:r w:rsidR="0041426D" w:rsidRPr="00CD3DAF">
        <w:rPr>
          <w:rFonts w:ascii="Times New Roman" w:hAnsi="Times New Roman" w:cs="Times New Roman"/>
        </w:rPr>
        <w:t xml:space="preserve"> an order to evict the appellant from Mudzviti Bus Terminus</w:t>
      </w:r>
      <w:r w:rsidR="0041426D">
        <w:rPr>
          <w:rFonts w:ascii="Times New Roman" w:hAnsi="Times New Roman" w:cs="Times New Roman"/>
          <w:sz w:val="24"/>
          <w:szCs w:val="24"/>
        </w:rPr>
        <w:t>”</w:t>
      </w:r>
    </w:p>
    <w:p w:rsidR="00CD3DAF" w:rsidRDefault="0041426D" w:rsidP="008318E8">
      <w:pPr>
        <w:tabs>
          <w:tab w:val="left" w:pos="426"/>
          <w:tab w:val="center"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1426D" w:rsidRDefault="0041426D" w:rsidP="008318E8">
      <w:pPr>
        <w:tabs>
          <w:tab w:val="left" w:pos="426"/>
          <w:tab w:val="center"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503D">
        <w:rPr>
          <w:rFonts w:ascii="Times New Roman" w:hAnsi="Times New Roman" w:cs="Times New Roman"/>
          <w:sz w:val="24"/>
          <w:szCs w:val="24"/>
        </w:rPr>
        <w:tab/>
      </w:r>
      <w:r w:rsidR="003F503D">
        <w:rPr>
          <w:rFonts w:ascii="Times New Roman" w:hAnsi="Times New Roman" w:cs="Times New Roman"/>
          <w:sz w:val="24"/>
          <w:szCs w:val="24"/>
        </w:rPr>
        <w:tab/>
      </w:r>
      <w:r>
        <w:rPr>
          <w:rFonts w:ascii="Times New Roman" w:hAnsi="Times New Roman" w:cs="Times New Roman"/>
          <w:sz w:val="24"/>
          <w:szCs w:val="24"/>
        </w:rPr>
        <w:t xml:space="preserve">Looking at the submissions of the parties </w:t>
      </w:r>
      <w:r w:rsidR="002E7B5E">
        <w:rPr>
          <w:rFonts w:ascii="Times New Roman" w:hAnsi="Times New Roman" w:cs="Times New Roman"/>
          <w:sz w:val="24"/>
          <w:szCs w:val="24"/>
        </w:rPr>
        <w:t>it is apparent that if the appellant had any problems with respondent’s summons commencing action, it should have excepted to the summons. It did not. It went on further to prepare a plea which is in principle not one but a bare deni</w:t>
      </w:r>
      <w:r w:rsidR="003554F6">
        <w:rPr>
          <w:rFonts w:ascii="Times New Roman" w:hAnsi="Times New Roman" w:cs="Times New Roman"/>
          <w:sz w:val="24"/>
          <w:szCs w:val="24"/>
        </w:rPr>
        <w:t>al. The appellant’s own plea</w:t>
      </w:r>
      <w:r w:rsidR="002E7B5E">
        <w:rPr>
          <w:rFonts w:ascii="Times New Roman" w:hAnsi="Times New Roman" w:cs="Times New Roman"/>
          <w:sz w:val="24"/>
          <w:szCs w:val="24"/>
        </w:rPr>
        <w:t xml:space="preserve"> prays that plaintiff/respondent’s claim for eviction be dismissed where had the appellant discerned this ejectment if it had not derived</w:t>
      </w:r>
      <w:r w:rsidR="00CC6303">
        <w:rPr>
          <w:rFonts w:ascii="Times New Roman" w:hAnsi="Times New Roman" w:cs="Times New Roman"/>
          <w:sz w:val="24"/>
          <w:szCs w:val="24"/>
        </w:rPr>
        <w:t xml:space="preserve"> it from respondent’s pleadings?</w:t>
      </w:r>
      <w:r w:rsidR="002E7B5E">
        <w:rPr>
          <w:rFonts w:ascii="Times New Roman" w:hAnsi="Times New Roman" w:cs="Times New Roman"/>
          <w:sz w:val="24"/>
          <w:szCs w:val="24"/>
        </w:rPr>
        <w:t xml:space="preserve"> The alleged misdirection on the part of the trial court is unfounded in my view. I am fortified by the fact that on the date of hearing respondent applied for an order of ejectment of appellant from the premises and appellant ought to have leapt up in court and advise the trial court that the relief being sought by the respondent was off the record. Appellant’s legal practitioners sat on the laurels comfortably and chose not to say anything in response. I am satisfied that the court </w:t>
      </w:r>
      <w:r w:rsidR="002E7B5E" w:rsidRPr="002E7B5E">
        <w:rPr>
          <w:rFonts w:ascii="Times New Roman" w:hAnsi="Times New Roman" w:cs="Times New Roman"/>
          <w:i/>
          <w:sz w:val="24"/>
          <w:szCs w:val="24"/>
        </w:rPr>
        <w:t>a quo</w:t>
      </w:r>
      <w:r w:rsidR="002E7B5E">
        <w:rPr>
          <w:rFonts w:ascii="Times New Roman" w:hAnsi="Times New Roman" w:cs="Times New Roman"/>
          <w:sz w:val="24"/>
          <w:szCs w:val="24"/>
        </w:rPr>
        <w:t xml:space="preserve"> granted an order stipulated in the proceedings and </w:t>
      </w:r>
      <w:r w:rsidR="00223346">
        <w:rPr>
          <w:rFonts w:ascii="Times New Roman" w:hAnsi="Times New Roman" w:cs="Times New Roman"/>
          <w:sz w:val="24"/>
          <w:szCs w:val="24"/>
        </w:rPr>
        <w:t>applied for by the respondent in his submission on the date of hearing which submis</w:t>
      </w:r>
      <w:r w:rsidR="006E011D">
        <w:rPr>
          <w:rFonts w:ascii="Times New Roman" w:hAnsi="Times New Roman" w:cs="Times New Roman"/>
          <w:sz w:val="24"/>
          <w:szCs w:val="24"/>
        </w:rPr>
        <w:t>sions went unchallenged. The seco</w:t>
      </w:r>
      <w:r w:rsidR="00223346">
        <w:rPr>
          <w:rFonts w:ascii="Times New Roman" w:hAnsi="Times New Roman" w:cs="Times New Roman"/>
          <w:sz w:val="24"/>
          <w:szCs w:val="24"/>
        </w:rPr>
        <w:t xml:space="preserve">nd ground of appeal is dismissed for having no merit. </w:t>
      </w:r>
    </w:p>
    <w:p w:rsidR="00F80CA4" w:rsidRDefault="00F80CA4" w:rsidP="00E862CD">
      <w:pPr>
        <w:tabs>
          <w:tab w:val="center" w:pos="709"/>
        </w:tabs>
        <w:spacing w:after="0" w:line="360" w:lineRule="auto"/>
        <w:jc w:val="both"/>
        <w:rPr>
          <w:rFonts w:ascii="Times New Roman" w:hAnsi="Times New Roman" w:cs="Times New Roman"/>
          <w:sz w:val="24"/>
          <w:szCs w:val="24"/>
        </w:rPr>
      </w:pPr>
    </w:p>
    <w:p w:rsidR="00223346" w:rsidRPr="00DD37C3" w:rsidRDefault="00223346" w:rsidP="00E862CD">
      <w:pPr>
        <w:tabs>
          <w:tab w:val="center" w:pos="709"/>
        </w:tabs>
        <w:spacing w:after="0" w:line="360" w:lineRule="auto"/>
        <w:jc w:val="both"/>
        <w:rPr>
          <w:rFonts w:ascii="Times New Roman" w:hAnsi="Times New Roman" w:cs="Times New Roman"/>
          <w:b/>
          <w:sz w:val="24"/>
          <w:szCs w:val="24"/>
        </w:rPr>
      </w:pPr>
      <w:r w:rsidRPr="00DD37C3">
        <w:rPr>
          <w:rFonts w:ascii="Times New Roman" w:hAnsi="Times New Roman" w:cs="Times New Roman"/>
          <w:b/>
          <w:sz w:val="24"/>
          <w:szCs w:val="24"/>
        </w:rPr>
        <w:t xml:space="preserve">WHETHER THE COURT </w:t>
      </w:r>
      <w:r w:rsidRPr="00DD37C3">
        <w:rPr>
          <w:rFonts w:ascii="Times New Roman" w:hAnsi="Times New Roman" w:cs="Times New Roman"/>
          <w:b/>
          <w:i/>
          <w:sz w:val="24"/>
          <w:szCs w:val="24"/>
        </w:rPr>
        <w:t>A QUO</w:t>
      </w:r>
      <w:r w:rsidRPr="00DD37C3">
        <w:rPr>
          <w:rFonts w:ascii="Times New Roman" w:hAnsi="Times New Roman" w:cs="Times New Roman"/>
          <w:b/>
          <w:sz w:val="24"/>
          <w:szCs w:val="24"/>
        </w:rPr>
        <w:t xml:space="preserve"> MISDIRECTED ITSELF ON THE FACTS, WHICH MISDIRECTION AMOUNTS TO A MISDIRECTION ON THE LAW, IN FINDING THAT THE DEFENDANT HAD SOUGHT NUMEROUS POSTPONEMENT AS A DELAYING TACTIC WHEN THE DEFENDANT HAD NEITHER SOUGHT SUCH POSTPONEMENT NOR RESORTED TO ANY DELAYING TACTICS</w:t>
      </w:r>
      <w:r w:rsidR="00DD37C3">
        <w:rPr>
          <w:rFonts w:ascii="Times New Roman" w:hAnsi="Times New Roman" w:cs="Times New Roman"/>
          <w:b/>
          <w:sz w:val="24"/>
          <w:szCs w:val="24"/>
        </w:rPr>
        <w:t>?</w:t>
      </w:r>
    </w:p>
    <w:p w:rsidR="00223346" w:rsidRDefault="00223346" w:rsidP="003F503D">
      <w:pPr>
        <w:tabs>
          <w:tab w:val="left" w:pos="426"/>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503D">
        <w:rPr>
          <w:rFonts w:ascii="Times New Roman" w:hAnsi="Times New Roman" w:cs="Times New Roman"/>
          <w:sz w:val="24"/>
          <w:szCs w:val="24"/>
        </w:rPr>
        <w:tab/>
      </w:r>
      <w:r w:rsidR="008318E8">
        <w:rPr>
          <w:rFonts w:ascii="Times New Roman" w:hAnsi="Times New Roman" w:cs="Times New Roman"/>
          <w:sz w:val="24"/>
          <w:szCs w:val="24"/>
        </w:rPr>
        <w:tab/>
      </w:r>
      <w:r>
        <w:rPr>
          <w:rFonts w:ascii="Times New Roman" w:hAnsi="Times New Roman" w:cs="Times New Roman"/>
          <w:sz w:val="24"/>
          <w:szCs w:val="24"/>
        </w:rPr>
        <w:t xml:space="preserve">It was submitted on behalf of the appellant that the Learned Magistrate found that the appellant had sought numerous postponements purely as a delaying tactic which prompted the trial court to summarily hand down a ruling on the matter dispensing the need for hearing oral evidence. According to the appellant all the postponements that were granted were by consent except one. Appellant found it difficult therefore why it could have been adjudged to employ dilatory tactics. To the appellant </w:t>
      </w:r>
      <w:r w:rsidR="008207CC">
        <w:rPr>
          <w:rFonts w:ascii="Times New Roman" w:hAnsi="Times New Roman" w:cs="Times New Roman"/>
          <w:sz w:val="24"/>
          <w:szCs w:val="24"/>
        </w:rPr>
        <w:t xml:space="preserve">generally postponements are </w:t>
      </w:r>
      <w:r w:rsidR="00AD71A7">
        <w:rPr>
          <w:rFonts w:ascii="Times New Roman" w:hAnsi="Times New Roman" w:cs="Times New Roman"/>
          <w:sz w:val="24"/>
          <w:szCs w:val="24"/>
        </w:rPr>
        <w:t>not given</w:t>
      </w:r>
      <w:r w:rsidR="008207CC">
        <w:rPr>
          <w:rFonts w:ascii="Times New Roman" w:hAnsi="Times New Roman" w:cs="Times New Roman"/>
          <w:sz w:val="24"/>
          <w:szCs w:val="24"/>
        </w:rPr>
        <w:t xml:space="preserve"> upon mere asking, the court is requested for a postponement and using its discretion it is required to deliberate into the preferred</w:t>
      </w:r>
      <w:r w:rsidR="00AD71A7">
        <w:rPr>
          <w:rFonts w:ascii="Times New Roman" w:hAnsi="Times New Roman" w:cs="Times New Roman"/>
          <w:sz w:val="24"/>
          <w:szCs w:val="24"/>
        </w:rPr>
        <w:t xml:space="preserve"> reasons for such a deferment and in addition analyse the aspect of prejudice that the other party is likely to suffer if a postponement is granted. Appellant referred the court to a number of cases for such a submission</w:t>
      </w:r>
      <w:r w:rsidR="00AD71A7">
        <w:rPr>
          <w:rStyle w:val="FootnoteReference"/>
          <w:rFonts w:ascii="Times New Roman" w:hAnsi="Times New Roman" w:cs="Times New Roman"/>
          <w:sz w:val="24"/>
          <w:szCs w:val="24"/>
        </w:rPr>
        <w:footnoteReference w:id="16"/>
      </w:r>
      <w:r w:rsidR="006A6086">
        <w:rPr>
          <w:rFonts w:ascii="Times New Roman" w:hAnsi="Times New Roman" w:cs="Times New Roman"/>
          <w:sz w:val="24"/>
          <w:szCs w:val="24"/>
        </w:rPr>
        <w:t>. As such i</w:t>
      </w:r>
      <w:r w:rsidR="005C29D8">
        <w:rPr>
          <w:rFonts w:ascii="Times New Roman" w:hAnsi="Times New Roman" w:cs="Times New Roman"/>
          <w:sz w:val="24"/>
          <w:szCs w:val="24"/>
        </w:rPr>
        <w:t>f a court subsequently make a fi</w:t>
      </w:r>
      <w:r w:rsidR="006A6086">
        <w:rPr>
          <w:rFonts w:ascii="Times New Roman" w:hAnsi="Times New Roman" w:cs="Times New Roman"/>
          <w:sz w:val="24"/>
          <w:szCs w:val="24"/>
        </w:rPr>
        <w:t>nding that that the postponement was a dilatory tactic it would be contra</w:t>
      </w:r>
      <w:r w:rsidR="003201B1">
        <w:rPr>
          <w:rFonts w:ascii="Times New Roman" w:hAnsi="Times New Roman" w:cs="Times New Roman"/>
          <w:sz w:val="24"/>
          <w:szCs w:val="24"/>
        </w:rPr>
        <w:t>di</w:t>
      </w:r>
      <w:r w:rsidR="006A6086">
        <w:rPr>
          <w:rFonts w:ascii="Times New Roman" w:hAnsi="Times New Roman" w:cs="Times New Roman"/>
          <w:sz w:val="24"/>
          <w:szCs w:val="24"/>
        </w:rPr>
        <w:t>cting itself, it was argued.</w:t>
      </w:r>
    </w:p>
    <w:p w:rsidR="00897FE8" w:rsidRDefault="006A6086" w:rsidP="003F503D">
      <w:pPr>
        <w:tabs>
          <w:tab w:val="left" w:pos="426"/>
          <w:tab w:val="center"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F503D">
        <w:rPr>
          <w:rFonts w:ascii="Times New Roman" w:hAnsi="Times New Roman" w:cs="Times New Roman"/>
          <w:sz w:val="24"/>
          <w:szCs w:val="24"/>
        </w:rPr>
        <w:tab/>
      </w:r>
      <w:r>
        <w:rPr>
          <w:rFonts w:ascii="Times New Roman" w:hAnsi="Times New Roman" w:cs="Times New Roman"/>
          <w:sz w:val="24"/>
          <w:szCs w:val="24"/>
        </w:rPr>
        <w:t xml:space="preserve">The respondent in turn submitted that the court </w:t>
      </w:r>
      <w:r w:rsidRPr="006A6086">
        <w:rPr>
          <w:rFonts w:ascii="Times New Roman" w:hAnsi="Times New Roman" w:cs="Times New Roman"/>
          <w:i/>
          <w:sz w:val="24"/>
          <w:szCs w:val="24"/>
        </w:rPr>
        <w:t>a quo</w:t>
      </w:r>
      <w:r>
        <w:rPr>
          <w:rFonts w:ascii="Times New Roman" w:hAnsi="Times New Roman" w:cs="Times New Roman"/>
          <w:sz w:val="24"/>
          <w:szCs w:val="24"/>
        </w:rPr>
        <w:t xml:space="preserve"> was correct when it held that the appellant was employing delaying tactics. It was further contended on behalf of the respondent that the general rule is that there must be finality to litigation.</w:t>
      </w:r>
      <w:r>
        <w:rPr>
          <w:rStyle w:val="FootnoteReference"/>
          <w:rFonts w:ascii="Times New Roman" w:hAnsi="Times New Roman" w:cs="Times New Roman"/>
          <w:sz w:val="24"/>
          <w:szCs w:val="24"/>
        </w:rPr>
        <w:footnoteReference w:id="17"/>
      </w:r>
      <w:r w:rsidR="00373561">
        <w:rPr>
          <w:rFonts w:ascii="Times New Roman" w:hAnsi="Times New Roman" w:cs="Times New Roman"/>
          <w:sz w:val="24"/>
          <w:szCs w:val="24"/>
        </w:rPr>
        <w:t xml:space="preserve"> The respondent added that the respondent issued summons on 7 August 2018 and a year later the matter was still not resolved. On the very first date of hearing the appellant applied for a postponement to allow negotiation for a possible settlement. Two further postponements</w:t>
      </w:r>
      <w:r w:rsidR="00EC6BC5">
        <w:rPr>
          <w:rFonts w:ascii="Times New Roman" w:hAnsi="Times New Roman" w:cs="Times New Roman"/>
          <w:sz w:val="24"/>
          <w:szCs w:val="24"/>
        </w:rPr>
        <w:t xml:space="preserve"> were made for the same reason </w:t>
      </w:r>
      <w:r w:rsidR="00373561">
        <w:rPr>
          <w:rFonts w:ascii="Times New Roman" w:hAnsi="Times New Roman" w:cs="Times New Roman"/>
          <w:sz w:val="24"/>
          <w:szCs w:val="24"/>
        </w:rPr>
        <w:t>f</w:t>
      </w:r>
      <w:r w:rsidR="00EC6BC5">
        <w:rPr>
          <w:rFonts w:ascii="Times New Roman" w:hAnsi="Times New Roman" w:cs="Times New Roman"/>
          <w:sz w:val="24"/>
          <w:szCs w:val="24"/>
        </w:rPr>
        <w:t>or</w:t>
      </w:r>
      <w:r w:rsidR="00373561">
        <w:rPr>
          <w:rFonts w:ascii="Times New Roman" w:hAnsi="Times New Roman" w:cs="Times New Roman"/>
          <w:sz w:val="24"/>
          <w:szCs w:val="24"/>
        </w:rPr>
        <w:t xml:space="preserve"> an out of court resolution of the matter and on 18 September 2019, it was further submitted, a postponement was granted on the basis that the appellant would pay wasted costs of the respondent, incidentally that was ordered to be the last postponement. On the last date of hearing preceding the order appealed against, the appellant was not ready to proceed with the trial. The trial court was placed in a mere difficult position even if appellant could have applied for a further postpone</w:t>
      </w:r>
      <w:r w:rsidR="00FB0AE5">
        <w:rPr>
          <w:rFonts w:ascii="Times New Roman" w:hAnsi="Times New Roman" w:cs="Times New Roman"/>
          <w:sz w:val="24"/>
          <w:szCs w:val="24"/>
        </w:rPr>
        <w:t>ment for on 18 September 2019</w:t>
      </w:r>
      <w:r w:rsidR="00AC627D">
        <w:rPr>
          <w:rFonts w:ascii="Times New Roman" w:hAnsi="Times New Roman" w:cs="Times New Roman"/>
          <w:sz w:val="24"/>
          <w:szCs w:val="24"/>
        </w:rPr>
        <w:t xml:space="preserve"> and</w:t>
      </w:r>
      <w:r w:rsidR="00FB0AE5">
        <w:rPr>
          <w:rFonts w:ascii="Times New Roman" w:hAnsi="Times New Roman" w:cs="Times New Roman"/>
          <w:sz w:val="24"/>
          <w:szCs w:val="24"/>
        </w:rPr>
        <w:t xml:space="preserve"> it</w:t>
      </w:r>
      <w:r w:rsidR="00373561">
        <w:rPr>
          <w:rFonts w:ascii="Times New Roman" w:hAnsi="Times New Roman" w:cs="Times New Roman"/>
          <w:sz w:val="24"/>
          <w:szCs w:val="24"/>
        </w:rPr>
        <w:t xml:space="preserve"> had indicated that</w:t>
      </w:r>
      <w:r w:rsidR="00FB0AE5">
        <w:rPr>
          <w:rFonts w:ascii="Times New Roman" w:hAnsi="Times New Roman" w:cs="Times New Roman"/>
          <w:sz w:val="24"/>
          <w:szCs w:val="24"/>
        </w:rPr>
        <w:t>,</w:t>
      </w:r>
      <w:r w:rsidR="00373561">
        <w:rPr>
          <w:rFonts w:ascii="Times New Roman" w:hAnsi="Times New Roman" w:cs="Times New Roman"/>
          <w:sz w:val="24"/>
          <w:szCs w:val="24"/>
        </w:rPr>
        <w:t xml:space="preserve"> that was the last postponement.</w:t>
      </w:r>
    </w:p>
    <w:p w:rsidR="00373561" w:rsidRDefault="00897FE8" w:rsidP="00222980">
      <w:pPr>
        <w:tabs>
          <w:tab w:val="center"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It can be gleaned from the reading of the record that appellant</w:t>
      </w:r>
      <w:r w:rsidR="00410B45">
        <w:rPr>
          <w:rFonts w:ascii="Times New Roman" w:hAnsi="Times New Roman" w:cs="Times New Roman"/>
          <w:sz w:val="24"/>
          <w:szCs w:val="24"/>
        </w:rPr>
        <w:t>,</w:t>
      </w:r>
      <w:r>
        <w:rPr>
          <w:rFonts w:ascii="Times New Roman" w:hAnsi="Times New Roman" w:cs="Times New Roman"/>
          <w:sz w:val="24"/>
          <w:szCs w:val="24"/>
        </w:rPr>
        <w:t xml:space="preserve"> right from the outset, especially after entry of appearance to defend, was lethargic in its approach to the matter. Two requests for further particulars were filed by the appellant. The respondent supplied them. After such provision of further and better particulars, the appellant filed typically a bare denial to respondent’s claim which plea could safely be concluded to be scanty and devoid of a defence. The matter of </w:t>
      </w:r>
      <w:r w:rsidRPr="00410B45">
        <w:rPr>
          <w:rFonts w:ascii="Times New Roman" w:hAnsi="Times New Roman" w:cs="Times New Roman"/>
          <w:i/>
          <w:sz w:val="24"/>
          <w:szCs w:val="24"/>
        </w:rPr>
        <w:t>Ndebele</w:t>
      </w:r>
      <w:r w:rsidR="00410B45">
        <w:rPr>
          <w:rFonts w:ascii="Times New Roman" w:hAnsi="Times New Roman" w:cs="Times New Roman"/>
          <w:i/>
          <w:sz w:val="24"/>
          <w:szCs w:val="24"/>
        </w:rPr>
        <w:t xml:space="preserve"> </w:t>
      </w:r>
      <w:r w:rsidR="00410B45">
        <w:rPr>
          <w:rFonts w:ascii="Times New Roman" w:hAnsi="Times New Roman" w:cs="Times New Roman"/>
          <w:sz w:val="24"/>
          <w:szCs w:val="24"/>
        </w:rPr>
        <w:t xml:space="preserve">v </w:t>
      </w:r>
      <w:r w:rsidR="00410B45" w:rsidRPr="00410B45">
        <w:rPr>
          <w:rFonts w:ascii="Times New Roman" w:hAnsi="Times New Roman" w:cs="Times New Roman"/>
          <w:i/>
          <w:sz w:val="24"/>
          <w:szCs w:val="24"/>
        </w:rPr>
        <w:t>Ncube</w:t>
      </w:r>
      <w:r>
        <w:rPr>
          <w:rStyle w:val="FootnoteReference"/>
          <w:rFonts w:ascii="Times New Roman" w:hAnsi="Times New Roman" w:cs="Times New Roman"/>
          <w:sz w:val="24"/>
          <w:szCs w:val="24"/>
        </w:rPr>
        <w:footnoteReference w:id="18"/>
      </w:r>
      <w:r w:rsidR="00410B45">
        <w:rPr>
          <w:rFonts w:ascii="Times New Roman" w:hAnsi="Times New Roman" w:cs="Times New Roman"/>
          <w:sz w:val="24"/>
          <w:szCs w:val="24"/>
        </w:rPr>
        <w:t xml:space="preserve"> is </w:t>
      </w:r>
      <w:r>
        <w:rPr>
          <w:rFonts w:ascii="Times New Roman" w:hAnsi="Times New Roman" w:cs="Times New Roman"/>
          <w:sz w:val="24"/>
          <w:szCs w:val="24"/>
        </w:rPr>
        <w:t>relevant to the ongoing analysis. The Learned Judge of appeal remarked as follows:</w:t>
      </w:r>
    </w:p>
    <w:p w:rsidR="00897FE8" w:rsidRDefault="00897FE8" w:rsidP="000F1E0E">
      <w:pPr>
        <w:tabs>
          <w:tab w:val="center" w:pos="709"/>
        </w:tabs>
        <w:spacing w:after="0" w:line="240" w:lineRule="auto"/>
        <w:ind w:left="709"/>
        <w:jc w:val="both"/>
        <w:rPr>
          <w:rFonts w:ascii="Times New Roman" w:hAnsi="Times New Roman" w:cs="Times New Roman"/>
        </w:rPr>
      </w:pPr>
      <w:r>
        <w:rPr>
          <w:rFonts w:ascii="Times New Roman" w:hAnsi="Times New Roman" w:cs="Times New Roman"/>
          <w:sz w:val="24"/>
          <w:szCs w:val="24"/>
        </w:rPr>
        <w:tab/>
        <w:t>“</w:t>
      </w:r>
      <w:r w:rsidR="00971AB4">
        <w:rPr>
          <w:rFonts w:ascii="Times New Roman" w:hAnsi="Times New Roman" w:cs="Times New Roman"/>
        </w:rPr>
        <w:t>It</w:t>
      </w:r>
      <w:r>
        <w:rPr>
          <w:rFonts w:ascii="Times New Roman" w:hAnsi="Times New Roman" w:cs="Times New Roman"/>
        </w:rPr>
        <w:t xml:space="preserve"> is the policy of the law that there should be finality in litigation. On the other hand one does not </w:t>
      </w:r>
      <w:r w:rsidR="000F1E0E">
        <w:rPr>
          <w:rFonts w:ascii="Times New Roman" w:hAnsi="Times New Roman" w:cs="Times New Roman"/>
        </w:rPr>
        <w:t xml:space="preserve">want to do injustice to litigants. We are bombarded with excuses for failure to </w:t>
      </w:r>
      <w:r w:rsidR="00971AB4">
        <w:rPr>
          <w:rFonts w:ascii="Times New Roman" w:hAnsi="Times New Roman" w:cs="Times New Roman"/>
        </w:rPr>
        <w:t>act. We are beginning to hear mo</w:t>
      </w:r>
      <w:r w:rsidR="000F1E0E">
        <w:rPr>
          <w:rFonts w:ascii="Times New Roman" w:hAnsi="Times New Roman" w:cs="Times New Roman"/>
        </w:rPr>
        <w:t xml:space="preserve">re appeals for charity than justice. Incompetence is becoming a growth industry. Petty disputes are argued and then re-argued until the costs for exceed the capital amount in dispute. The time has come to remind the legal profession of the old adage, </w:t>
      </w:r>
      <w:r w:rsidR="000F1E0E" w:rsidRPr="000E2283">
        <w:rPr>
          <w:rFonts w:ascii="Times New Roman" w:hAnsi="Times New Roman" w:cs="Times New Roman"/>
          <w:i/>
        </w:rPr>
        <w:t>vigilant</w:t>
      </w:r>
      <w:r w:rsidR="003B1487">
        <w:rPr>
          <w:rFonts w:ascii="Times New Roman" w:hAnsi="Times New Roman" w:cs="Times New Roman"/>
          <w:i/>
        </w:rPr>
        <w:t>-</w:t>
      </w:r>
    </w:p>
    <w:p w:rsidR="000F1E0E" w:rsidRPr="00897FE8" w:rsidRDefault="000F1E0E" w:rsidP="000F1E0E">
      <w:pPr>
        <w:tabs>
          <w:tab w:val="center" w:pos="709"/>
        </w:tabs>
        <w:spacing w:after="0" w:line="240" w:lineRule="auto"/>
        <w:ind w:left="709"/>
        <w:jc w:val="both"/>
        <w:rPr>
          <w:rFonts w:ascii="Times New Roman" w:hAnsi="Times New Roman" w:cs="Times New Roman"/>
        </w:rPr>
      </w:pPr>
      <w:r w:rsidRPr="000E2283">
        <w:rPr>
          <w:rFonts w:ascii="Times New Roman" w:hAnsi="Times New Roman" w:cs="Times New Roman"/>
          <w:i/>
        </w:rPr>
        <w:t>bus</w:t>
      </w:r>
      <w:r w:rsidR="000E2283">
        <w:rPr>
          <w:rFonts w:ascii="Times New Roman" w:hAnsi="Times New Roman" w:cs="Times New Roman"/>
        </w:rPr>
        <w:t xml:space="preserve"> </w:t>
      </w:r>
      <w:r w:rsidR="000E2283" w:rsidRPr="000E2283">
        <w:rPr>
          <w:rFonts w:ascii="Times New Roman" w:hAnsi="Times New Roman" w:cs="Times New Roman"/>
          <w:i/>
        </w:rPr>
        <w:t>non</w:t>
      </w:r>
      <w:r w:rsidRPr="000E2283">
        <w:rPr>
          <w:rFonts w:ascii="Times New Roman" w:hAnsi="Times New Roman" w:cs="Times New Roman"/>
          <w:i/>
        </w:rPr>
        <w:t xml:space="preserve"> </w:t>
      </w:r>
      <w:r w:rsidR="000E2283">
        <w:rPr>
          <w:rFonts w:ascii="Times New Roman" w:hAnsi="Times New Roman" w:cs="Times New Roman"/>
          <w:i/>
        </w:rPr>
        <w:t>dor</w:t>
      </w:r>
      <w:r w:rsidRPr="003F503D">
        <w:rPr>
          <w:rFonts w:ascii="Times New Roman" w:hAnsi="Times New Roman" w:cs="Times New Roman"/>
          <w:i/>
        </w:rPr>
        <w:t>mient</w:t>
      </w:r>
      <w:r w:rsidR="003F503D" w:rsidRPr="003F503D">
        <w:rPr>
          <w:rFonts w:ascii="Times New Roman" w:hAnsi="Times New Roman" w:cs="Times New Roman"/>
          <w:i/>
        </w:rPr>
        <w:t>i</w:t>
      </w:r>
      <w:r w:rsidR="003B1487">
        <w:rPr>
          <w:rFonts w:ascii="Times New Roman" w:hAnsi="Times New Roman" w:cs="Times New Roman"/>
        </w:rPr>
        <w:t>-</w:t>
      </w:r>
      <w:r w:rsidRPr="000E2283">
        <w:rPr>
          <w:rFonts w:ascii="Times New Roman" w:hAnsi="Times New Roman" w:cs="Times New Roman"/>
          <w:i/>
        </w:rPr>
        <w:t>bus</w:t>
      </w:r>
      <w:r>
        <w:rPr>
          <w:rFonts w:ascii="Times New Roman" w:hAnsi="Times New Roman" w:cs="Times New Roman"/>
        </w:rPr>
        <w:t xml:space="preserve">  </w:t>
      </w:r>
      <w:r w:rsidRPr="000F1E0E">
        <w:rPr>
          <w:rFonts w:ascii="Times New Roman" w:hAnsi="Times New Roman" w:cs="Times New Roman"/>
          <w:i/>
        </w:rPr>
        <w:t>jura</w:t>
      </w:r>
      <w:r w:rsidR="003F503D">
        <w:rPr>
          <w:rFonts w:ascii="Times New Roman" w:hAnsi="Times New Roman" w:cs="Times New Roman"/>
        </w:rPr>
        <w:t xml:space="preserve"> </w:t>
      </w:r>
      <w:r w:rsidR="003F503D" w:rsidRPr="003F503D">
        <w:rPr>
          <w:rFonts w:ascii="Times New Roman" w:hAnsi="Times New Roman" w:cs="Times New Roman"/>
          <w:i/>
        </w:rPr>
        <w:t>subveniu</w:t>
      </w:r>
      <w:r w:rsidRPr="003F503D">
        <w:rPr>
          <w:rFonts w:ascii="Times New Roman" w:hAnsi="Times New Roman" w:cs="Times New Roman"/>
          <w:i/>
        </w:rPr>
        <w:t>nt</w:t>
      </w:r>
      <w:r>
        <w:rPr>
          <w:rFonts w:ascii="Times New Roman" w:hAnsi="Times New Roman" w:cs="Times New Roman"/>
        </w:rPr>
        <w:t xml:space="preserve"> – roughly translated – the law will help the vigilant but not the sluggard.”</w:t>
      </w:r>
      <w:r>
        <w:rPr>
          <w:rStyle w:val="FootnoteReference"/>
          <w:rFonts w:ascii="Times New Roman" w:hAnsi="Times New Roman" w:cs="Times New Roman"/>
        </w:rPr>
        <w:footnoteReference w:id="19"/>
      </w:r>
    </w:p>
    <w:p w:rsidR="002E081F" w:rsidRDefault="002E081F" w:rsidP="00003113">
      <w:pPr>
        <w:tabs>
          <w:tab w:val="center" w:pos="709"/>
        </w:tabs>
        <w:spacing w:after="0" w:line="360" w:lineRule="auto"/>
        <w:jc w:val="both"/>
        <w:rPr>
          <w:rFonts w:ascii="Times New Roman" w:hAnsi="Times New Roman" w:cs="Times New Roman"/>
          <w:sz w:val="24"/>
          <w:szCs w:val="24"/>
        </w:rPr>
      </w:pPr>
    </w:p>
    <w:p w:rsidR="003414F8" w:rsidRDefault="003414F8" w:rsidP="002E5E82">
      <w:pPr>
        <w:tabs>
          <w:tab w:val="left" w:pos="426"/>
          <w:tab w:val="left" w:pos="567"/>
          <w:tab w:val="left" w:pos="709"/>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E5E82">
        <w:rPr>
          <w:rFonts w:ascii="Times New Roman" w:hAnsi="Times New Roman" w:cs="Times New Roman"/>
          <w:sz w:val="24"/>
          <w:szCs w:val="24"/>
        </w:rPr>
        <w:tab/>
      </w:r>
      <w:r>
        <w:rPr>
          <w:rFonts w:ascii="Times New Roman" w:hAnsi="Times New Roman" w:cs="Times New Roman"/>
          <w:sz w:val="24"/>
          <w:szCs w:val="24"/>
        </w:rPr>
        <w:t>The appellant was ordered to pay costs of the postponement by the court a quo which it did not contest. The costs were as a result of the request for a postponement made by the appellant itself. It was the appellant who wanted to engage the respondent for a resettlement not vice versa, I can conclude that because of these factors all the postponements were at the instance of the appellant, although the respondent consented. The trial court was addressed by the respondent on the dilatory conduct of the appellant, on its own part. It examined the background of the matter and made deductions to the effect that indeed the appellant wa</w:t>
      </w:r>
      <w:r w:rsidR="009C1C44">
        <w:rPr>
          <w:rFonts w:ascii="Times New Roman" w:hAnsi="Times New Roman" w:cs="Times New Roman"/>
          <w:sz w:val="24"/>
          <w:szCs w:val="24"/>
        </w:rPr>
        <w:t>s to blame for the lackadaisical</w:t>
      </w:r>
      <w:r>
        <w:rPr>
          <w:rFonts w:ascii="Times New Roman" w:hAnsi="Times New Roman" w:cs="Times New Roman"/>
          <w:sz w:val="24"/>
          <w:szCs w:val="24"/>
        </w:rPr>
        <w:t xml:space="preserve"> approach to the </w:t>
      </w:r>
      <w:r w:rsidR="009C1C44">
        <w:rPr>
          <w:rFonts w:ascii="Times New Roman" w:hAnsi="Times New Roman" w:cs="Times New Roman"/>
          <w:sz w:val="24"/>
          <w:szCs w:val="24"/>
        </w:rPr>
        <w:t>proceedings and concluded that the matter ought to have been brought to an end. In my view there is no misdirection on his part, he was managing the proceedings and one of the tasks en</w:t>
      </w:r>
      <w:r w:rsidR="00005C4D">
        <w:rPr>
          <w:rFonts w:ascii="Times New Roman" w:hAnsi="Times New Roman" w:cs="Times New Roman"/>
          <w:sz w:val="24"/>
          <w:szCs w:val="24"/>
        </w:rPr>
        <w:t>do</w:t>
      </w:r>
      <w:r w:rsidR="009C1C44">
        <w:rPr>
          <w:rFonts w:ascii="Times New Roman" w:hAnsi="Times New Roman" w:cs="Times New Roman"/>
          <w:sz w:val="24"/>
          <w:szCs w:val="24"/>
        </w:rPr>
        <w:t>wed on him is to ensure that litigation must be brought to finality and he unmistakenly did so. There is no basis to interfere with his exercise of his discretion in this matter. The totality of the chronology of the events and underlining facts justified the means he employed to summarily decide the matter. The third ground of appeal has equally no basis and it is dismissed.</w:t>
      </w:r>
    </w:p>
    <w:p w:rsidR="009C1C44" w:rsidRDefault="009C1C44" w:rsidP="00003113">
      <w:pPr>
        <w:tabs>
          <w:tab w:val="center"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Accordingly the following order is returned:</w:t>
      </w:r>
    </w:p>
    <w:p w:rsidR="00FE2B96" w:rsidRPr="00742484" w:rsidRDefault="00FE2B96" w:rsidP="00003113">
      <w:pPr>
        <w:tabs>
          <w:tab w:val="center" w:pos="709"/>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742484">
        <w:rPr>
          <w:rFonts w:ascii="Times New Roman" w:hAnsi="Times New Roman" w:cs="Times New Roman"/>
          <w:b/>
          <w:sz w:val="24"/>
          <w:szCs w:val="24"/>
        </w:rPr>
        <w:tab/>
        <w:t>The appeal is dismissed with costs of suit.</w:t>
      </w:r>
    </w:p>
    <w:p w:rsidR="00521D96" w:rsidRPr="00E862CD" w:rsidRDefault="00521D96" w:rsidP="00521D96">
      <w:pPr>
        <w:pStyle w:val="ListParagraph"/>
        <w:tabs>
          <w:tab w:val="center" w:pos="709"/>
        </w:tabs>
        <w:spacing w:after="0" w:line="240" w:lineRule="auto"/>
        <w:jc w:val="both"/>
        <w:rPr>
          <w:rFonts w:ascii="Times New Roman" w:hAnsi="Times New Roman" w:cs="Times New Roman"/>
          <w:sz w:val="24"/>
          <w:szCs w:val="24"/>
        </w:rPr>
      </w:pPr>
    </w:p>
    <w:p w:rsidR="00FE2B96" w:rsidRDefault="00FE2B96">
      <w:pPr>
        <w:rPr>
          <w:sz w:val="24"/>
          <w:szCs w:val="24"/>
        </w:rPr>
      </w:pPr>
    </w:p>
    <w:p w:rsidR="00515784" w:rsidRDefault="00FE2B96" w:rsidP="00FE2B96">
      <w:pPr>
        <w:rPr>
          <w:sz w:val="24"/>
          <w:szCs w:val="24"/>
        </w:rPr>
      </w:pPr>
      <w:r>
        <w:rPr>
          <w:sz w:val="24"/>
          <w:szCs w:val="24"/>
        </w:rPr>
        <w:lastRenderedPageBreak/>
        <w:t>MWAYERA J agrees__________________</w:t>
      </w:r>
    </w:p>
    <w:p w:rsidR="00515784" w:rsidRDefault="00515784" w:rsidP="00515784">
      <w:pPr>
        <w:rPr>
          <w:sz w:val="24"/>
          <w:szCs w:val="24"/>
        </w:rPr>
      </w:pPr>
    </w:p>
    <w:p w:rsidR="00F22E40" w:rsidRDefault="00515784" w:rsidP="00515784">
      <w:pPr>
        <w:spacing w:after="0"/>
        <w:rPr>
          <w:sz w:val="24"/>
          <w:szCs w:val="24"/>
        </w:rPr>
      </w:pPr>
      <w:r w:rsidRPr="00515784">
        <w:rPr>
          <w:i/>
          <w:sz w:val="24"/>
          <w:szCs w:val="24"/>
        </w:rPr>
        <w:t>Mugadza Chinzamba and Partners</w:t>
      </w:r>
      <w:r>
        <w:rPr>
          <w:sz w:val="24"/>
          <w:szCs w:val="24"/>
        </w:rPr>
        <w:t>, respondent’s legal practitioners</w:t>
      </w:r>
    </w:p>
    <w:p w:rsidR="00515784" w:rsidRPr="00515784" w:rsidRDefault="00515784" w:rsidP="00515784">
      <w:pPr>
        <w:spacing w:after="0"/>
        <w:rPr>
          <w:sz w:val="24"/>
          <w:szCs w:val="24"/>
        </w:rPr>
      </w:pPr>
      <w:r w:rsidRPr="00515784">
        <w:rPr>
          <w:i/>
          <w:sz w:val="24"/>
          <w:szCs w:val="24"/>
        </w:rPr>
        <w:t>Mat</w:t>
      </w:r>
      <w:r>
        <w:rPr>
          <w:i/>
          <w:sz w:val="24"/>
          <w:szCs w:val="24"/>
        </w:rPr>
        <w:t>i</w:t>
      </w:r>
      <w:r w:rsidRPr="00515784">
        <w:rPr>
          <w:i/>
          <w:sz w:val="24"/>
          <w:szCs w:val="24"/>
        </w:rPr>
        <w:t>zanadzo and Warhurst</w:t>
      </w:r>
      <w:r>
        <w:rPr>
          <w:sz w:val="24"/>
          <w:szCs w:val="24"/>
        </w:rPr>
        <w:t>, appellant’s legal practitioners</w:t>
      </w:r>
    </w:p>
    <w:sectPr w:rsidR="00515784" w:rsidRPr="0051578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2FC" w:rsidRDefault="00EC22FC" w:rsidP="000D64BF">
      <w:pPr>
        <w:spacing w:after="0" w:line="240" w:lineRule="auto"/>
      </w:pPr>
      <w:r>
        <w:separator/>
      </w:r>
    </w:p>
  </w:endnote>
  <w:endnote w:type="continuationSeparator" w:id="0">
    <w:p w:rsidR="00EC22FC" w:rsidRDefault="00EC22FC" w:rsidP="000D6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2FC" w:rsidRDefault="00EC22FC" w:rsidP="000D64BF">
      <w:pPr>
        <w:spacing w:after="0" w:line="240" w:lineRule="auto"/>
      </w:pPr>
      <w:r>
        <w:separator/>
      </w:r>
    </w:p>
  </w:footnote>
  <w:footnote w:type="continuationSeparator" w:id="0">
    <w:p w:rsidR="00EC22FC" w:rsidRDefault="00EC22FC" w:rsidP="000D64BF">
      <w:pPr>
        <w:spacing w:after="0" w:line="240" w:lineRule="auto"/>
      </w:pPr>
      <w:r>
        <w:continuationSeparator/>
      </w:r>
    </w:p>
  </w:footnote>
  <w:footnote w:id="1">
    <w:p w:rsidR="000D64BF" w:rsidRDefault="000D64BF">
      <w:pPr>
        <w:pStyle w:val="FootnoteText"/>
      </w:pPr>
      <w:r>
        <w:rPr>
          <w:rStyle w:val="FootnoteReference"/>
        </w:rPr>
        <w:footnoteRef/>
      </w:r>
      <w:r>
        <w:t xml:space="preserve"> SC 48/15 see also </w:t>
      </w:r>
      <w:r w:rsidRPr="00B73F87">
        <w:rPr>
          <w:i/>
        </w:rPr>
        <w:t>Telecel Zimbabwe (Pvt) Ltd</w:t>
      </w:r>
      <w:r>
        <w:t xml:space="preserve"> v </w:t>
      </w:r>
      <w:r w:rsidRPr="00B73F87">
        <w:rPr>
          <w:i/>
        </w:rPr>
        <w:t>Attorney – General</w:t>
      </w:r>
      <w:r>
        <w:t xml:space="preserve"> N.O SC 1/2014.</w:t>
      </w:r>
    </w:p>
  </w:footnote>
  <w:footnote w:id="2">
    <w:p w:rsidR="000D64BF" w:rsidRDefault="000D64BF">
      <w:pPr>
        <w:pStyle w:val="FootnoteText"/>
      </w:pPr>
      <w:r>
        <w:rPr>
          <w:rStyle w:val="FootnoteReference"/>
        </w:rPr>
        <w:footnoteRef/>
      </w:r>
      <w:r>
        <w:t xml:space="preserve"> </w:t>
      </w:r>
      <w:r w:rsidRPr="00B73F87">
        <w:rPr>
          <w:i/>
        </w:rPr>
        <w:t>Nzara and others</w:t>
      </w:r>
      <w:r>
        <w:t xml:space="preserve"> v </w:t>
      </w:r>
      <w:r w:rsidRPr="00B73F87">
        <w:rPr>
          <w:i/>
        </w:rPr>
        <w:t>Kashumba N.O and others</w:t>
      </w:r>
      <w:r>
        <w:t xml:space="preserve"> SC 18/18</w:t>
      </w:r>
    </w:p>
  </w:footnote>
  <w:footnote w:id="3">
    <w:p w:rsidR="00E62143" w:rsidRDefault="00E62143">
      <w:pPr>
        <w:pStyle w:val="FootnoteText"/>
      </w:pPr>
      <w:r>
        <w:rPr>
          <w:rStyle w:val="FootnoteReference"/>
        </w:rPr>
        <w:footnoteRef/>
      </w:r>
      <w:r>
        <w:t xml:space="preserve"> See </w:t>
      </w:r>
      <w:r w:rsidRPr="00B73F87">
        <w:rPr>
          <w:i/>
        </w:rPr>
        <w:t>Chrisma</w:t>
      </w:r>
      <w:r>
        <w:t xml:space="preserve"> v </w:t>
      </w:r>
      <w:r w:rsidRPr="00B73F87">
        <w:rPr>
          <w:i/>
        </w:rPr>
        <w:t>Stutchbury and Another</w:t>
      </w:r>
      <w:r>
        <w:t xml:space="preserve"> 1973 (1) RLR 277 (SR) </w:t>
      </w:r>
      <w:r w:rsidR="00B73F87" w:rsidRPr="00B73F87">
        <w:rPr>
          <w:i/>
        </w:rPr>
        <w:t>Metsol</w:t>
      </w:r>
      <w:r w:rsidRPr="00B73F87">
        <w:t>a</w:t>
      </w:r>
      <w:r>
        <w:t xml:space="preserve"> v </w:t>
      </w:r>
      <w:r w:rsidRPr="00B73F87">
        <w:rPr>
          <w:i/>
        </w:rPr>
        <w:t>PTC and Another</w:t>
      </w:r>
      <w:r w:rsidRPr="00B73F87">
        <w:t xml:space="preserve"> </w:t>
      </w:r>
      <w:r>
        <w:t>1989 (3) ZLR 147 (S).</w:t>
      </w:r>
    </w:p>
  </w:footnote>
  <w:footnote w:id="4">
    <w:p w:rsidR="0029202F" w:rsidRDefault="0029202F">
      <w:pPr>
        <w:pStyle w:val="FootnoteText"/>
      </w:pPr>
      <w:r>
        <w:rPr>
          <w:rStyle w:val="FootnoteReference"/>
        </w:rPr>
        <w:footnoteRef/>
      </w:r>
      <w:r>
        <w:t xml:space="preserve"> </w:t>
      </w:r>
      <w:r w:rsidRPr="00B73F87">
        <w:rPr>
          <w:i/>
        </w:rPr>
        <w:t>Makoni</w:t>
      </w:r>
      <w:r>
        <w:t xml:space="preserve"> v </w:t>
      </w:r>
      <w:r w:rsidRPr="00B73F87">
        <w:rPr>
          <w:i/>
        </w:rPr>
        <w:t>Makoni</w:t>
      </w:r>
      <w:r w:rsidR="00B73F87">
        <w:t xml:space="preserve"> SC 7</w:t>
      </w:r>
      <w:r>
        <w:t>/18</w:t>
      </w:r>
    </w:p>
  </w:footnote>
  <w:footnote w:id="5">
    <w:p w:rsidR="009E51F7" w:rsidRPr="009E51F7" w:rsidRDefault="009E51F7">
      <w:pPr>
        <w:pStyle w:val="FootnoteText"/>
      </w:pPr>
      <w:r>
        <w:rPr>
          <w:rStyle w:val="FootnoteReference"/>
        </w:rPr>
        <w:footnoteRef/>
      </w:r>
      <w:r>
        <w:t xml:space="preserve"> 2004 (1) ZLR 538</w:t>
      </w:r>
    </w:p>
  </w:footnote>
  <w:footnote w:id="6">
    <w:p w:rsidR="009E51F7" w:rsidRDefault="009E51F7">
      <w:pPr>
        <w:pStyle w:val="FootnoteText"/>
      </w:pPr>
      <w:r>
        <w:rPr>
          <w:rStyle w:val="FootnoteReference"/>
        </w:rPr>
        <w:footnoteRef/>
      </w:r>
      <w:r>
        <w:t xml:space="preserve"> 1982 (1) ZLR 42 (H)</w:t>
      </w:r>
    </w:p>
  </w:footnote>
  <w:footnote w:id="7">
    <w:p w:rsidR="009E51F7" w:rsidRDefault="009E51F7">
      <w:pPr>
        <w:pStyle w:val="FootnoteText"/>
      </w:pPr>
      <w:r>
        <w:rPr>
          <w:rStyle w:val="FootnoteReference"/>
        </w:rPr>
        <w:footnoteRef/>
      </w:r>
      <w:r>
        <w:t xml:space="preserve"> 1925 WLD 164</w:t>
      </w:r>
    </w:p>
  </w:footnote>
  <w:footnote w:id="8">
    <w:p w:rsidR="009E51F7" w:rsidRDefault="009E51F7">
      <w:pPr>
        <w:pStyle w:val="FootnoteText"/>
      </w:pPr>
      <w:r>
        <w:rPr>
          <w:rStyle w:val="FootnoteReference"/>
        </w:rPr>
        <w:footnoteRef/>
      </w:r>
      <w:r>
        <w:t xml:space="preserve"> 1991 (1) SA 837</w:t>
      </w:r>
    </w:p>
  </w:footnote>
  <w:footnote w:id="9">
    <w:p w:rsidR="009E51F7" w:rsidRDefault="009E51F7">
      <w:pPr>
        <w:pStyle w:val="FootnoteText"/>
      </w:pPr>
      <w:r>
        <w:rPr>
          <w:rStyle w:val="FootnoteReference"/>
        </w:rPr>
        <w:footnoteRef/>
      </w:r>
      <w:r>
        <w:t xml:space="preserve"> Professor G Feltoe</w:t>
      </w:r>
      <w:r w:rsidRPr="00D328B8">
        <w:rPr>
          <w:i/>
        </w:rPr>
        <w:t>, Basic Introduction to the Administrative law of Zimbabwe</w:t>
      </w:r>
      <w:r>
        <w:t xml:space="preserve"> @ page </w:t>
      </w:r>
      <w:r w:rsidRPr="00D328B8">
        <w:rPr>
          <w:i/>
        </w:rPr>
        <w:t>18 Zulu</w:t>
      </w:r>
      <w:r>
        <w:t xml:space="preserve"> v </w:t>
      </w:r>
      <w:r w:rsidR="00B641BE" w:rsidRPr="00D328B8">
        <w:rPr>
          <w:i/>
        </w:rPr>
        <w:t>Pharmanova</w:t>
      </w:r>
      <w:r w:rsidR="00B641BE">
        <w:t xml:space="preserve"> (</w:t>
      </w:r>
      <w:r w:rsidR="00B641BE" w:rsidRPr="00D328B8">
        <w:rPr>
          <w:i/>
        </w:rPr>
        <w:t>Pvt) Ltd</w:t>
      </w:r>
      <w:r w:rsidR="00B641BE">
        <w:t xml:space="preserve"> S – 66-92 </w:t>
      </w:r>
      <w:r w:rsidR="00B641BE" w:rsidRPr="00D328B8">
        <w:rPr>
          <w:i/>
        </w:rPr>
        <w:t>Zesa (Pvt) Ltd</w:t>
      </w:r>
      <w:r w:rsidR="00B641BE">
        <w:t xml:space="preserve"> v </w:t>
      </w:r>
      <w:r w:rsidR="00B641BE" w:rsidRPr="00D328B8">
        <w:rPr>
          <w:i/>
        </w:rPr>
        <w:t>Stevawo</w:t>
      </w:r>
      <w:r w:rsidR="00B641BE">
        <w:t xml:space="preserve"> SC 29/17.</w:t>
      </w:r>
    </w:p>
  </w:footnote>
  <w:footnote w:id="10">
    <w:p w:rsidR="00460708" w:rsidRDefault="00460708">
      <w:pPr>
        <w:pStyle w:val="FootnoteText"/>
      </w:pPr>
      <w:r>
        <w:rPr>
          <w:rStyle w:val="FootnoteReference"/>
        </w:rPr>
        <w:footnoteRef/>
      </w:r>
      <w:r>
        <w:t xml:space="preserve"> </w:t>
      </w:r>
      <w:r w:rsidRPr="000E2283">
        <w:rPr>
          <w:i/>
        </w:rPr>
        <w:t>A Basic Introduction to the Administration Law of Zimbabwe</w:t>
      </w:r>
      <w:r>
        <w:t>, at page 18</w:t>
      </w:r>
    </w:p>
  </w:footnote>
  <w:footnote w:id="11">
    <w:p w:rsidR="004D556D" w:rsidRDefault="004D556D">
      <w:pPr>
        <w:pStyle w:val="FootnoteText"/>
      </w:pPr>
      <w:r>
        <w:rPr>
          <w:rStyle w:val="FootnoteReference"/>
        </w:rPr>
        <w:footnoteRef/>
      </w:r>
      <w:r>
        <w:t xml:space="preserve"> 1994 (1) ZLR 217 </w:t>
      </w:r>
    </w:p>
  </w:footnote>
  <w:footnote w:id="12">
    <w:p w:rsidR="004D556D" w:rsidRDefault="004D556D">
      <w:pPr>
        <w:pStyle w:val="FootnoteText"/>
      </w:pPr>
      <w:r>
        <w:rPr>
          <w:rStyle w:val="FootnoteReference"/>
        </w:rPr>
        <w:footnoteRef/>
      </w:r>
      <w:r>
        <w:t xml:space="preserve"> SC 105/95</w:t>
      </w:r>
    </w:p>
  </w:footnote>
  <w:footnote w:id="13">
    <w:p w:rsidR="004D556D" w:rsidRDefault="004D556D">
      <w:pPr>
        <w:pStyle w:val="FootnoteText"/>
      </w:pPr>
      <w:r>
        <w:rPr>
          <w:rStyle w:val="FootnoteReference"/>
        </w:rPr>
        <w:footnoteRef/>
      </w:r>
      <w:r>
        <w:t xml:space="preserve"> 1999 (2) ZLR 146 </w:t>
      </w:r>
      <w:r w:rsidR="00D24CDD">
        <w:t>(S)</w:t>
      </w:r>
    </w:p>
  </w:footnote>
  <w:footnote w:id="14">
    <w:p w:rsidR="00991993" w:rsidRDefault="00991993">
      <w:pPr>
        <w:pStyle w:val="FootnoteText"/>
      </w:pPr>
      <w:r>
        <w:rPr>
          <w:rStyle w:val="FootnoteReference"/>
        </w:rPr>
        <w:footnoteRef/>
      </w:r>
      <w:r>
        <w:t xml:space="preserve"> </w:t>
      </w:r>
      <w:r w:rsidRPr="00D328B8">
        <w:rPr>
          <w:i/>
        </w:rPr>
        <w:t>Nzara and others</w:t>
      </w:r>
      <w:r>
        <w:t xml:space="preserve"> v </w:t>
      </w:r>
      <w:r w:rsidRPr="00D328B8">
        <w:rPr>
          <w:i/>
        </w:rPr>
        <w:t>Kashumba</w:t>
      </w:r>
      <w:r>
        <w:t xml:space="preserve"> NO and others SC 18/18 </w:t>
      </w:r>
      <w:r w:rsidR="00FC074C">
        <w:t xml:space="preserve">and also </w:t>
      </w:r>
      <w:r w:rsidR="00FC074C" w:rsidRPr="00D328B8">
        <w:rPr>
          <w:i/>
        </w:rPr>
        <w:t>Proton Bakery (Pvt) Ltd</w:t>
      </w:r>
      <w:r w:rsidR="00FC074C">
        <w:t xml:space="preserve"> v </w:t>
      </w:r>
      <w:r w:rsidR="00FC074C" w:rsidRPr="00D328B8">
        <w:rPr>
          <w:i/>
        </w:rPr>
        <w:t>Takaendesa</w:t>
      </w:r>
      <w:r w:rsidR="00FC074C">
        <w:t xml:space="preserve"> 2005 (1) ZLR 60 (5) </w:t>
      </w:r>
    </w:p>
  </w:footnote>
  <w:footnote w:id="15">
    <w:p w:rsidR="004450C3" w:rsidRDefault="004450C3">
      <w:pPr>
        <w:pStyle w:val="FootnoteText"/>
      </w:pPr>
      <w:r>
        <w:rPr>
          <w:rStyle w:val="FootnoteReference"/>
        </w:rPr>
        <w:footnoteRef/>
      </w:r>
      <w:r>
        <w:t xml:space="preserve"> Nzara and 3 others </w:t>
      </w:r>
      <w:r w:rsidRPr="004450C3">
        <w:rPr>
          <w:i/>
        </w:rPr>
        <w:t>supra</w:t>
      </w:r>
      <w:r>
        <w:t xml:space="preserve"> </w:t>
      </w:r>
    </w:p>
  </w:footnote>
  <w:footnote w:id="16">
    <w:p w:rsidR="00AD71A7" w:rsidRDefault="00AD71A7">
      <w:pPr>
        <w:pStyle w:val="FootnoteText"/>
      </w:pPr>
      <w:r>
        <w:rPr>
          <w:rStyle w:val="FootnoteReference"/>
        </w:rPr>
        <w:footnoteRef/>
      </w:r>
      <w:r>
        <w:t xml:space="preserve"> </w:t>
      </w:r>
      <w:r w:rsidR="00E10FB0">
        <w:rPr>
          <w:i/>
        </w:rPr>
        <w:t>Madn</w:t>
      </w:r>
      <w:r w:rsidR="006A6086" w:rsidRPr="00D328B8">
        <w:rPr>
          <w:i/>
        </w:rPr>
        <w:t>itsky</w:t>
      </w:r>
      <w:r w:rsidR="006A6086">
        <w:t xml:space="preserve"> v </w:t>
      </w:r>
      <w:r w:rsidR="006A6086" w:rsidRPr="00D328B8">
        <w:rPr>
          <w:i/>
        </w:rPr>
        <w:t>Rosenburg</w:t>
      </w:r>
      <w:r w:rsidR="00E10FB0">
        <w:t xml:space="preserve"> 1949 (2) SA 392 </w:t>
      </w:r>
      <w:r w:rsidR="006A6086">
        <w:t>(A</w:t>
      </w:r>
      <w:r w:rsidR="004450C3">
        <w:t xml:space="preserve">) </w:t>
      </w:r>
      <w:r w:rsidR="006A6086" w:rsidRPr="00D328B8">
        <w:rPr>
          <w:i/>
        </w:rPr>
        <w:t>Myburg</w:t>
      </w:r>
      <w:r w:rsidR="00D328B8" w:rsidRPr="00D328B8">
        <w:rPr>
          <w:i/>
        </w:rPr>
        <w:t>h</w:t>
      </w:r>
      <w:r w:rsidR="006A6086" w:rsidRPr="00D328B8">
        <w:rPr>
          <w:i/>
        </w:rPr>
        <w:t xml:space="preserve"> Transport</w:t>
      </w:r>
      <w:r w:rsidR="006A6086">
        <w:t xml:space="preserve"> v </w:t>
      </w:r>
      <w:r w:rsidR="006A6086" w:rsidRPr="00D328B8">
        <w:rPr>
          <w:i/>
        </w:rPr>
        <w:t>B</w:t>
      </w:r>
      <w:r w:rsidR="00D328B8" w:rsidRPr="00D328B8">
        <w:rPr>
          <w:i/>
        </w:rPr>
        <w:t>o</w:t>
      </w:r>
      <w:r w:rsidR="006A6086" w:rsidRPr="00D328B8">
        <w:rPr>
          <w:i/>
        </w:rPr>
        <w:t>tha</w:t>
      </w:r>
      <w:r w:rsidR="006A6086">
        <w:t xml:space="preserve"> t/a </w:t>
      </w:r>
      <w:r w:rsidR="006A6086" w:rsidRPr="00D328B8">
        <w:rPr>
          <w:i/>
        </w:rPr>
        <w:t>SA Truc</w:t>
      </w:r>
      <w:r w:rsidR="00D328B8">
        <w:rPr>
          <w:i/>
        </w:rPr>
        <w:t>k Bo</w:t>
      </w:r>
      <w:r w:rsidR="006A6086" w:rsidRPr="00D328B8">
        <w:rPr>
          <w:i/>
        </w:rPr>
        <w:t>dies</w:t>
      </w:r>
      <w:r w:rsidR="006A6086">
        <w:t xml:space="preserve"> 1991 </w:t>
      </w:r>
      <w:r w:rsidR="00373561">
        <w:t xml:space="preserve">(3) SA 310 </w:t>
      </w:r>
      <w:r w:rsidR="00D328B8">
        <w:t xml:space="preserve">  </w:t>
      </w:r>
      <w:r w:rsidR="00E10FB0">
        <w:t>(Nms</w:t>
      </w:r>
      <w:r w:rsidR="00E10FB0">
        <w:rPr>
          <w:i/>
        </w:rPr>
        <w:t>) Prinsl</w:t>
      </w:r>
      <w:r w:rsidR="00373561" w:rsidRPr="00D328B8">
        <w:rPr>
          <w:i/>
        </w:rPr>
        <w:t>oo</w:t>
      </w:r>
      <w:r w:rsidR="00373561">
        <w:t xml:space="preserve"> v </w:t>
      </w:r>
      <w:r w:rsidR="00E10FB0">
        <w:rPr>
          <w:i/>
        </w:rPr>
        <w:t>Saai</w:t>
      </w:r>
      <w:r w:rsidR="00373561" w:rsidRPr="00D328B8">
        <w:rPr>
          <w:i/>
        </w:rPr>
        <w:t>man</w:t>
      </w:r>
      <w:r w:rsidR="00373561">
        <w:t xml:space="preserve"> 1984 (2) SA 56 (O) and </w:t>
      </w:r>
      <w:r w:rsidR="00E10FB0">
        <w:rPr>
          <w:i/>
        </w:rPr>
        <w:t>Shapi</w:t>
      </w:r>
      <w:r w:rsidR="00373561" w:rsidRPr="00D328B8">
        <w:rPr>
          <w:i/>
        </w:rPr>
        <w:t>ro</w:t>
      </w:r>
      <w:r w:rsidR="00373561">
        <w:t xml:space="preserve"> v </w:t>
      </w:r>
      <w:r w:rsidR="00E10FB0">
        <w:rPr>
          <w:i/>
        </w:rPr>
        <w:t>Shapi</w:t>
      </w:r>
      <w:r w:rsidR="00373561" w:rsidRPr="00D328B8">
        <w:rPr>
          <w:i/>
        </w:rPr>
        <w:t>ro</w:t>
      </w:r>
      <w:r w:rsidR="00373561">
        <w:t xml:space="preserve"> 1904 TS 673.</w:t>
      </w:r>
    </w:p>
  </w:footnote>
  <w:footnote w:id="17">
    <w:p w:rsidR="006A6086" w:rsidRDefault="006A6086">
      <w:pPr>
        <w:pStyle w:val="FootnoteText"/>
      </w:pPr>
      <w:r>
        <w:rPr>
          <w:rStyle w:val="FootnoteReference"/>
        </w:rPr>
        <w:footnoteRef/>
      </w:r>
      <w:r>
        <w:t xml:space="preserve"> </w:t>
      </w:r>
      <w:r w:rsidRPr="00A535EA">
        <w:rPr>
          <w:i/>
        </w:rPr>
        <w:t>Ndebele</w:t>
      </w:r>
      <w:r>
        <w:t xml:space="preserve"> v </w:t>
      </w:r>
      <w:r w:rsidRPr="00A535EA">
        <w:rPr>
          <w:i/>
        </w:rPr>
        <w:t>Ncube</w:t>
      </w:r>
      <w:r w:rsidR="00A535EA">
        <w:t xml:space="preserve"> 1992 (1) ZLR 288 (S</w:t>
      </w:r>
      <w:r>
        <w:t>) 290</w:t>
      </w:r>
      <w:r w:rsidR="00A535EA">
        <w:t xml:space="preserve"> </w:t>
      </w:r>
      <w:r>
        <w:t xml:space="preserve">C-E </w:t>
      </w:r>
      <w:r w:rsidRPr="00A535EA">
        <w:rPr>
          <w:i/>
        </w:rPr>
        <w:t>Dzvairo</w:t>
      </w:r>
      <w:r>
        <w:t xml:space="preserve"> v </w:t>
      </w:r>
      <w:r w:rsidRPr="00A535EA">
        <w:rPr>
          <w:i/>
        </w:rPr>
        <w:t>Kango Products</w:t>
      </w:r>
      <w:r>
        <w:t xml:space="preserve"> SC 593/14.</w:t>
      </w:r>
    </w:p>
  </w:footnote>
  <w:footnote w:id="18">
    <w:p w:rsidR="00897FE8" w:rsidRDefault="00897FE8">
      <w:pPr>
        <w:pStyle w:val="FootnoteText"/>
      </w:pPr>
      <w:r>
        <w:rPr>
          <w:rStyle w:val="FootnoteReference"/>
        </w:rPr>
        <w:footnoteRef/>
      </w:r>
      <w:r>
        <w:t xml:space="preserve"> </w:t>
      </w:r>
      <w:r w:rsidRPr="00897FE8">
        <w:rPr>
          <w:i/>
        </w:rPr>
        <w:t>supr</w:t>
      </w:r>
      <w:r>
        <w:t>a</w:t>
      </w:r>
    </w:p>
  </w:footnote>
  <w:footnote w:id="19">
    <w:p w:rsidR="000F1E0E" w:rsidRDefault="000F1E0E">
      <w:pPr>
        <w:pStyle w:val="FootnoteText"/>
      </w:pPr>
      <w:r>
        <w:rPr>
          <w:rStyle w:val="FootnoteReference"/>
        </w:rPr>
        <w:footnoteRef/>
      </w:r>
      <w:r>
        <w:t xml:space="preserve"> </w:t>
      </w:r>
      <w:r w:rsidR="003414F8">
        <w:t xml:space="preserve">See </w:t>
      </w:r>
      <w:r w:rsidR="000E2283">
        <w:t xml:space="preserve">also </w:t>
      </w:r>
      <w:r w:rsidR="000E2283" w:rsidRPr="00A535EA">
        <w:rPr>
          <w:i/>
        </w:rPr>
        <w:t>National Police Service Uni</w:t>
      </w:r>
      <w:r w:rsidR="003414F8" w:rsidRPr="00A535EA">
        <w:rPr>
          <w:i/>
        </w:rPr>
        <w:t>on</w:t>
      </w:r>
      <w:r w:rsidR="003414F8">
        <w:t xml:space="preserve"> </w:t>
      </w:r>
      <w:r w:rsidR="003414F8" w:rsidRPr="00A535EA">
        <w:rPr>
          <w:i/>
        </w:rPr>
        <w:t>v Minister of Safety and Security</w:t>
      </w:r>
      <w:r w:rsidR="003414F8">
        <w:t xml:space="preserve"> 2000 (4) SA 1110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518307"/>
      <w:docPartObj>
        <w:docPartGallery w:val="Page Numbers (Top of Page)"/>
        <w:docPartUnique/>
      </w:docPartObj>
    </w:sdtPr>
    <w:sdtEndPr>
      <w:rPr>
        <w:noProof/>
      </w:rPr>
    </w:sdtEndPr>
    <w:sdtContent>
      <w:p w:rsidR="00241E80" w:rsidRDefault="00241E80">
        <w:pPr>
          <w:pStyle w:val="Header"/>
          <w:jc w:val="right"/>
          <w:rPr>
            <w:noProof/>
          </w:rPr>
        </w:pPr>
        <w:r>
          <w:fldChar w:fldCharType="begin"/>
        </w:r>
        <w:r>
          <w:instrText xml:space="preserve"> PAGE   \* MERGEFORMAT </w:instrText>
        </w:r>
        <w:r>
          <w:fldChar w:fldCharType="separate"/>
        </w:r>
        <w:r w:rsidR="00B12939">
          <w:rPr>
            <w:noProof/>
          </w:rPr>
          <w:t>1</w:t>
        </w:r>
        <w:r>
          <w:rPr>
            <w:noProof/>
          </w:rPr>
          <w:fldChar w:fldCharType="end"/>
        </w:r>
      </w:p>
      <w:p w:rsidR="00241E80" w:rsidRDefault="00241E80">
        <w:pPr>
          <w:pStyle w:val="Header"/>
          <w:jc w:val="right"/>
          <w:rPr>
            <w:noProof/>
          </w:rPr>
        </w:pPr>
        <w:r>
          <w:rPr>
            <w:noProof/>
          </w:rPr>
          <w:t xml:space="preserve">HMT </w:t>
        </w:r>
        <w:r w:rsidR="00627EC2">
          <w:rPr>
            <w:noProof/>
          </w:rPr>
          <w:t>55</w:t>
        </w:r>
        <w:r>
          <w:rPr>
            <w:noProof/>
          </w:rPr>
          <w:t>-20</w:t>
        </w:r>
      </w:p>
      <w:p w:rsidR="00241E80" w:rsidRDefault="00241E80">
        <w:pPr>
          <w:pStyle w:val="Header"/>
          <w:jc w:val="right"/>
        </w:pPr>
        <w:r>
          <w:rPr>
            <w:noProof/>
          </w:rPr>
          <w:t>CIV ‘A’ 38/19</w:t>
        </w:r>
      </w:p>
    </w:sdtContent>
  </w:sdt>
  <w:p w:rsidR="00241E80" w:rsidRDefault="00241E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94418"/>
    <w:multiLevelType w:val="hybridMultilevel"/>
    <w:tmpl w:val="FF1C68B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D127646"/>
    <w:multiLevelType w:val="hybridMultilevel"/>
    <w:tmpl w:val="0E90F678"/>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DB81A8F"/>
    <w:multiLevelType w:val="hybridMultilevel"/>
    <w:tmpl w:val="79508856"/>
    <w:lvl w:ilvl="0" w:tplc="3009000F">
      <w:start w:val="1"/>
      <w:numFmt w:val="decimal"/>
      <w:lvlText w:val="%1."/>
      <w:lvlJc w:val="left"/>
      <w:pPr>
        <w:ind w:left="720" w:hanging="360"/>
      </w:pPr>
    </w:lvl>
    <w:lvl w:ilvl="1" w:tplc="C9A8B39A">
      <w:start w:val="1"/>
      <w:numFmt w:val="lowerLetter"/>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96"/>
    <w:rsid w:val="00003113"/>
    <w:rsid w:val="00005C4D"/>
    <w:rsid w:val="00014FE4"/>
    <w:rsid w:val="00037F27"/>
    <w:rsid w:val="000B15EC"/>
    <w:rsid w:val="000D64BF"/>
    <w:rsid w:val="000E2283"/>
    <w:rsid w:val="000F1E0E"/>
    <w:rsid w:val="0011147F"/>
    <w:rsid w:val="00150A66"/>
    <w:rsid w:val="00155C44"/>
    <w:rsid w:val="001A597B"/>
    <w:rsid w:val="001E717E"/>
    <w:rsid w:val="0020703C"/>
    <w:rsid w:val="00215084"/>
    <w:rsid w:val="00222980"/>
    <w:rsid w:val="00223346"/>
    <w:rsid w:val="00241E80"/>
    <w:rsid w:val="0029202F"/>
    <w:rsid w:val="002B32D9"/>
    <w:rsid w:val="002E081F"/>
    <w:rsid w:val="002E5E82"/>
    <w:rsid w:val="002E7B5E"/>
    <w:rsid w:val="002F4BB0"/>
    <w:rsid w:val="003201B1"/>
    <w:rsid w:val="003204E6"/>
    <w:rsid w:val="003414F8"/>
    <w:rsid w:val="00352E07"/>
    <w:rsid w:val="003554F6"/>
    <w:rsid w:val="003657BC"/>
    <w:rsid w:val="00373561"/>
    <w:rsid w:val="003B1487"/>
    <w:rsid w:val="003F503D"/>
    <w:rsid w:val="00410B45"/>
    <w:rsid w:val="0041426D"/>
    <w:rsid w:val="004450C3"/>
    <w:rsid w:val="00452668"/>
    <w:rsid w:val="00460708"/>
    <w:rsid w:val="00465B3D"/>
    <w:rsid w:val="004D556D"/>
    <w:rsid w:val="004E150A"/>
    <w:rsid w:val="00515784"/>
    <w:rsid w:val="00521D96"/>
    <w:rsid w:val="005C29D8"/>
    <w:rsid w:val="00627EC2"/>
    <w:rsid w:val="006A6086"/>
    <w:rsid w:val="006A630C"/>
    <w:rsid w:val="006E011D"/>
    <w:rsid w:val="0070604B"/>
    <w:rsid w:val="007347AF"/>
    <w:rsid w:val="00742484"/>
    <w:rsid w:val="007558C7"/>
    <w:rsid w:val="00785A58"/>
    <w:rsid w:val="007C0C17"/>
    <w:rsid w:val="007F5B5C"/>
    <w:rsid w:val="00804E7C"/>
    <w:rsid w:val="008207CC"/>
    <w:rsid w:val="008318E8"/>
    <w:rsid w:val="008324CC"/>
    <w:rsid w:val="00832C72"/>
    <w:rsid w:val="0085059E"/>
    <w:rsid w:val="00897FE8"/>
    <w:rsid w:val="008D18E5"/>
    <w:rsid w:val="0091677D"/>
    <w:rsid w:val="00920628"/>
    <w:rsid w:val="00971AB4"/>
    <w:rsid w:val="00991993"/>
    <w:rsid w:val="009A25BA"/>
    <w:rsid w:val="009C1C44"/>
    <w:rsid w:val="009D52F1"/>
    <w:rsid w:val="009D728F"/>
    <w:rsid w:val="009E51F7"/>
    <w:rsid w:val="00A30AC2"/>
    <w:rsid w:val="00A535EA"/>
    <w:rsid w:val="00AC627D"/>
    <w:rsid w:val="00AD0A77"/>
    <w:rsid w:val="00AD71A7"/>
    <w:rsid w:val="00B06898"/>
    <w:rsid w:val="00B12939"/>
    <w:rsid w:val="00B1793C"/>
    <w:rsid w:val="00B641BE"/>
    <w:rsid w:val="00B73F87"/>
    <w:rsid w:val="00B77F9A"/>
    <w:rsid w:val="00BB4EC4"/>
    <w:rsid w:val="00BF1E1B"/>
    <w:rsid w:val="00CC6303"/>
    <w:rsid w:val="00CD3DAF"/>
    <w:rsid w:val="00D24CDD"/>
    <w:rsid w:val="00D328B8"/>
    <w:rsid w:val="00DD37C3"/>
    <w:rsid w:val="00E01ED8"/>
    <w:rsid w:val="00E10FB0"/>
    <w:rsid w:val="00E13C3B"/>
    <w:rsid w:val="00E165CE"/>
    <w:rsid w:val="00E33C47"/>
    <w:rsid w:val="00E50E12"/>
    <w:rsid w:val="00E560F1"/>
    <w:rsid w:val="00E62143"/>
    <w:rsid w:val="00E862CD"/>
    <w:rsid w:val="00EA42F4"/>
    <w:rsid w:val="00EC22FC"/>
    <w:rsid w:val="00EC3080"/>
    <w:rsid w:val="00EC6BC5"/>
    <w:rsid w:val="00EF2F3E"/>
    <w:rsid w:val="00F22E40"/>
    <w:rsid w:val="00F80CA4"/>
    <w:rsid w:val="00FB0AE5"/>
    <w:rsid w:val="00FC074C"/>
    <w:rsid w:val="00FD19B7"/>
    <w:rsid w:val="00FE2B9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661F0-9AC2-40F2-82C7-8BD324BE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D96"/>
    <w:pPr>
      <w:ind w:left="720"/>
      <w:contextualSpacing/>
    </w:pPr>
  </w:style>
  <w:style w:type="paragraph" w:styleId="FootnoteText">
    <w:name w:val="footnote text"/>
    <w:basedOn w:val="Normal"/>
    <w:link w:val="FootnoteTextChar"/>
    <w:uiPriority w:val="99"/>
    <w:semiHidden/>
    <w:unhideWhenUsed/>
    <w:rsid w:val="000D64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64BF"/>
    <w:rPr>
      <w:sz w:val="20"/>
      <w:szCs w:val="20"/>
    </w:rPr>
  </w:style>
  <w:style w:type="character" w:styleId="FootnoteReference">
    <w:name w:val="footnote reference"/>
    <w:basedOn w:val="DefaultParagraphFont"/>
    <w:uiPriority w:val="99"/>
    <w:semiHidden/>
    <w:unhideWhenUsed/>
    <w:rsid w:val="000D64BF"/>
    <w:rPr>
      <w:vertAlign w:val="superscript"/>
    </w:rPr>
  </w:style>
  <w:style w:type="paragraph" w:styleId="Header">
    <w:name w:val="header"/>
    <w:basedOn w:val="Normal"/>
    <w:link w:val="HeaderChar"/>
    <w:uiPriority w:val="99"/>
    <w:unhideWhenUsed/>
    <w:rsid w:val="00241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E80"/>
  </w:style>
  <w:style w:type="paragraph" w:styleId="Footer">
    <w:name w:val="footer"/>
    <w:basedOn w:val="Normal"/>
    <w:link w:val="FooterChar"/>
    <w:uiPriority w:val="99"/>
    <w:unhideWhenUsed/>
    <w:rsid w:val="00241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E80"/>
  </w:style>
  <w:style w:type="paragraph" w:styleId="BalloonText">
    <w:name w:val="Balloon Text"/>
    <w:basedOn w:val="Normal"/>
    <w:link w:val="BalloonTextChar"/>
    <w:uiPriority w:val="99"/>
    <w:semiHidden/>
    <w:unhideWhenUsed/>
    <w:rsid w:val="00241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E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0FD22-4F2C-41CF-B6EC-E7D2B5D6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2882</Words>
  <Characters>16429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2020-07-28T09:22:00Z</cp:lastPrinted>
  <dcterms:created xsi:type="dcterms:W3CDTF">2020-09-01T07:13:00Z</dcterms:created>
  <dcterms:modified xsi:type="dcterms:W3CDTF">2020-09-01T07:13:00Z</dcterms:modified>
</cp:coreProperties>
</file>