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CB8" w:rsidRDefault="00CA1CB8" w:rsidP="00CA1CB8">
      <w:pPr>
        <w:spacing w:line="360" w:lineRule="auto"/>
        <w:jc w:val="both"/>
        <w:rPr>
          <w:b/>
          <w:sz w:val="22"/>
          <w:szCs w:val="22"/>
        </w:rPr>
      </w:pPr>
      <w:r>
        <w:rPr>
          <w:b/>
          <w:sz w:val="22"/>
          <w:szCs w:val="22"/>
        </w:rPr>
        <w:t>IN THE LABOUR COURT OF ZIMBABWE</w:t>
      </w:r>
      <w:r>
        <w:rPr>
          <w:b/>
          <w:sz w:val="22"/>
          <w:szCs w:val="22"/>
        </w:rPr>
        <w:tab/>
        <w:t xml:space="preserve">                 JUDGMENT NO. LC/H/</w:t>
      </w:r>
      <w:r w:rsidR="009A3250">
        <w:rPr>
          <w:b/>
          <w:sz w:val="22"/>
          <w:szCs w:val="22"/>
        </w:rPr>
        <w:t>6</w:t>
      </w:r>
      <w:r w:rsidR="00AF6017">
        <w:rPr>
          <w:b/>
          <w:sz w:val="22"/>
          <w:szCs w:val="22"/>
        </w:rPr>
        <w:t>50</w:t>
      </w:r>
      <w:r>
        <w:rPr>
          <w:b/>
          <w:sz w:val="22"/>
          <w:szCs w:val="22"/>
        </w:rPr>
        <w:t>/2016</w:t>
      </w:r>
    </w:p>
    <w:p w:rsidR="00CA1CB8" w:rsidRDefault="00CA1CB8" w:rsidP="00CA1CB8">
      <w:pPr>
        <w:spacing w:line="360" w:lineRule="auto"/>
        <w:jc w:val="both"/>
        <w:rPr>
          <w:b/>
          <w:sz w:val="22"/>
          <w:szCs w:val="22"/>
        </w:rPr>
      </w:pPr>
    </w:p>
    <w:p w:rsidR="00CA1CB8" w:rsidRDefault="00CA1CB8" w:rsidP="00CA1CB8">
      <w:pPr>
        <w:spacing w:line="360" w:lineRule="auto"/>
        <w:jc w:val="both"/>
        <w:rPr>
          <w:b/>
          <w:sz w:val="22"/>
          <w:szCs w:val="22"/>
        </w:rPr>
      </w:pPr>
      <w:r>
        <w:rPr>
          <w:b/>
          <w:sz w:val="22"/>
          <w:szCs w:val="22"/>
        </w:rPr>
        <w:t>HARARE 14 MARCH 2016</w:t>
      </w:r>
      <w:r>
        <w:rPr>
          <w:b/>
          <w:sz w:val="22"/>
          <w:szCs w:val="22"/>
        </w:rPr>
        <w:tab/>
      </w:r>
      <w:r>
        <w:rPr>
          <w:b/>
          <w:sz w:val="22"/>
          <w:szCs w:val="22"/>
        </w:rPr>
        <w:tab/>
      </w:r>
      <w:r>
        <w:rPr>
          <w:b/>
          <w:sz w:val="22"/>
          <w:szCs w:val="22"/>
        </w:rPr>
        <w:tab/>
      </w:r>
      <w:r>
        <w:rPr>
          <w:b/>
          <w:sz w:val="22"/>
          <w:szCs w:val="22"/>
        </w:rPr>
        <w:tab/>
        <w:t xml:space="preserve">       CASE NO. LC/H/</w:t>
      </w:r>
      <w:r w:rsidR="00AA5D5F">
        <w:rPr>
          <w:b/>
          <w:sz w:val="22"/>
          <w:szCs w:val="22"/>
        </w:rPr>
        <w:t>956/15</w:t>
      </w:r>
    </w:p>
    <w:p w:rsidR="00CA1CB8" w:rsidRDefault="00E42FFE" w:rsidP="00CA1CB8">
      <w:pPr>
        <w:spacing w:line="360" w:lineRule="auto"/>
        <w:jc w:val="both"/>
        <w:rPr>
          <w:b/>
          <w:sz w:val="22"/>
          <w:szCs w:val="22"/>
        </w:rPr>
      </w:pPr>
      <w:r>
        <w:rPr>
          <w:b/>
          <w:sz w:val="22"/>
          <w:szCs w:val="22"/>
        </w:rPr>
        <w:t>AND 21 OCTOBER</w:t>
      </w:r>
      <w:r w:rsidR="00CA1CB8">
        <w:rPr>
          <w:b/>
          <w:sz w:val="22"/>
          <w:szCs w:val="22"/>
        </w:rPr>
        <w:t xml:space="preserve"> 2016</w:t>
      </w:r>
    </w:p>
    <w:p w:rsidR="00CA1CB8" w:rsidRDefault="00CA1CB8" w:rsidP="00CA1CB8">
      <w:pPr>
        <w:spacing w:line="360" w:lineRule="auto"/>
        <w:jc w:val="both"/>
        <w:rPr>
          <w:b/>
          <w:sz w:val="22"/>
          <w:szCs w:val="22"/>
        </w:rPr>
      </w:pPr>
    </w:p>
    <w:p w:rsidR="00CA1CB8" w:rsidRDefault="00CA1CB8" w:rsidP="00CA1CB8">
      <w:pPr>
        <w:spacing w:line="360" w:lineRule="auto"/>
        <w:jc w:val="both"/>
      </w:pPr>
    </w:p>
    <w:p w:rsidR="00CA1CB8" w:rsidRDefault="00AA5D5F" w:rsidP="00CA1CB8">
      <w:pPr>
        <w:spacing w:line="360" w:lineRule="auto"/>
        <w:jc w:val="both"/>
        <w:rPr>
          <w:b/>
        </w:rPr>
      </w:pPr>
      <w:r>
        <w:rPr>
          <w:b/>
        </w:rPr>
        <w:t>PIONEER COACHES (PVT) LTD</w:t>
      </w:r>
      <w:r>
        <w:rPr>
          <w:b/>
        </w:rPr>
        <w:tab/>
      </w:r>
      <w:r w:rsidR="00CA1CB8">
        <w:rPr>
          <w:b/>
        </w:rPr>
        <w:tab/>
      </w:r>
      <w:r w:rsidR="00CA1CB8">
        <w:rPr>
          <w:b/>
        </w:rPr>
        <w:tab/>
      </w:r>
      <w:r w:rsidR="00CA1CB8">
        <w:rPr>
          <w:b/>
        </w:rPr>
        <w:tab/>
      </w:r>
      <w:r w:rsidR="00CA1CB8">
        <w:rPr>
          <w:b/>
        </w:rPr>
        <w:tab/>
        <w:t>Appellant</w:t>
      </w:r>
    </w:p>
    <w:p w:rsidR="00CA1CB8" w:rsidRDefault="00CA1CB8" w:rsidP="00CA1CB8">
      <w:pPr>
        <w:spacing w:line="360" w:lineRule="auto"/>
        <w:jc w:val="both"/>
        <w:rPr>
          <w:b/>
        </w:rPr>
      </w:pPr>
    </w:p>
    <w:p w:rsidR="00CA1CB8" w:rsidRDefault="00AA5D5F" w:rsidP="00CA1CB8">
      <w:pPr>
        <w:spacing w:line="360" w:lineRule="auto"/>
        <w:jc w:val="both"/>
        <w:rPr>
          <w:b/>
        </w:rPr>
      </w:pPr>
      <w:r>
        <w:rPr>
          <w:b/>
        </w:rPr>
        <w:t>NICHOLAS MUKARATI</w:t>
      </w:r>
      <w:r w:rsidR="00CA1CB8">
        <w:rPr>
          <w:b/>
        </w:rPr>
        <w:tab/>
      </w:r>
      <w:r>
        <w:rPr>
          <w:b/>
        </w:rPr>
        <w:tab/>
      </w:r>
      <w:r w:rsidR="00CA1CB8">
        <w:rPr>
          <w:b/>
        </w:rPr>
        <w:tab/>
      </w:r>
      <w:r w:rsidR="00CA1CB8">
        <w:rPr>
          <w:b/>
        </w:rPr>
        <w:tab/>
      </w:r>
      <w:r w:rsidR="00CA1CB8">
        <w:rPr>
          <w:b/>
        </w:rPr>
        <w:tab/>
      </w:r>
      <w:r w:rsidR="00CA1CB8">
        <w:rPr>
          <w:b/>
        </w:rPr>
        <w:tab/>
      </w:r>
      <w:r w:rsidR="00CA1CB8">
        <w:rPr>
          <w:b/>
        </w:rPr>
        <w:tab/>
        <w:t xml:space="preserve">Respondent </w:t>
      </w:r>
      <w:r w:rsidR="00CA1CB8">
        <w:rPr>
          <w:b/>
        </w:rPr>
        <w:tab/>
      </w:r>
    </w:p>
    <w:p w:rsidR="00CA1CB8" w:rsidRDefault="00CA1CB8" w:rsidP="00CA1CB8">
      <w:pPr>
        <w:spacing w:line="360" w:lineRule="auto"/>
        <w:jc w:val="both"/>
        <w:rPr>
          <w:b/>
        </w:rPr>
      </w:pPr>
    </w:p>
    <w:p w:rsidR="00CA1CB8" w:rsidRDefault="00CA1CB8" w:rsidP="00CA1CB8">
      <w:pPr>
        <w:spacing w:line="360" w:lineRule="auto"/>
        <w:jc w:val="both"/>
        <w:outlineLvl w:val="0"/>
      </w:pPr>
      <w:r w:rsidRPr="00BA331A">
        <w:rPr>
          <w:b/>
        </w:rPr>
        <w:t>Before The Honourable</w:t>
      </w:r>
      <w:r>
        <w:t xml:space="preserve"> </w:t>
      </w:r>
      <w:r w:rsidRPr="00EC57B0">
        <w:rPr>
          <w:b/>
        </w:rPr>
        <w:t>G. Musariri, Judge</w:t>
      </w:r>
      <w:r>
        <w:rPr>
          <w:b/>
        </w:rPr>
        <w:t>:</w:t>
      </w:r>
    </w:p>
    <w:p w:rsidR="00CA1CB8" w:rsidRDefault="00CA1CB8" w:rsidP="00CA1CB8">
      <w:pPr>
        <w:spacing w:line="360" w:lineRule="auto"/>
        <w:jc w:val="both"/>
      </w:pPr>
    </w:p>
    <w:p w:rsidR="00CA1CB8" w:rsidRDefault="00CA1CB8" w:rsidP="00CA1CB8">
      <w:pPr>
        <w:spacing w:line="360" w:lineRule="auto"/>
        <w:jc w:val="both"/>
        <w:rPr>
          <w:b/>
        </w:rPr>
      </w:pPr>
      <w:r>
        <w:rPr>
          <w:b/>
        </w:rPr>
        <w:t xml:space="preserve">For Appellant </w:t>
      </w:r>
      <w:r w:rsidR="00AA5D5F">
        <w:rPr>
          <w:b/>
        </w:rPr>
        <w:tab/>
      </w:r>
      <w:r w:rsidR="00AA5D5F">
        <w:rPr>
          <w:b/>
        </w:rPr>
        <w:tab/>
        <w:t>Ms S. Nyagura, Attorney</w:t>
      </w:r>
      <w:r>
        <w:rPr>
          <w:b/>
        </w:rPr>
        <w:tab/>
      </w:r>
      <w:r>
        <w:rPr>
          <w:b/>
        </w:rPr>
        <w:tab/>
      </w:r>
    </w:p>
    <w:p w:rsidR="00CA1CB8" w:rsidRDefault="00CA1CB8" w:rsidP="00CA1CB8">
      <w:pPr>
        <w:jc w:val="both"/>
        <w:rPr>
          <w:b/>
        </w:rPr>
      </w:pPr>
      <w:r>
        <w:rPr>
          <w:b/>
        </w:rPr>
        <w:tab/>
      </w:r>
    </w:p>
    <w:p w:rsidR="00CA1CB8" w:rsidRDefault="00CA1CB8" w:rsidP="00CA1CB8">
      <w:pPr>
        <w:spacing w:line="360" w:lineRule="auto"/>
        <w:jc w:val="both"/>
        <w:rPr>
          <w:b/>
        </w:rPr>
      </w:pPr>
      <w:r>
        <w:rPr>
          <w:b/>
        </w:rPr>
        <w:t>For Respondent</w:t>
      </w:r>
      <w:r w:rsidR="00AA5D5F">
        <w:rPr>
          <w:b/>
        </w:rPr>
        <w:tab/>
      </w:r>
      <w:r w:rsidR="00AA5D5F">
        <w:rPr>
          <w:b/>
        </w:rPr>
        <w:tab/>
      </w:r>
      <w:r w:rsidR="003B0C31">
        <w:rPr>
          <w:b/>
        </w:rPr>
        <w:t>Mr A.K. Maguchu, Attorney</w:t>
      </w:r>
      <w:r>
        <w:rPr>
          <w:b/>
        </w:rPr>
        <w:tab/>
      </w:r>
      <w:r>
        <w:rPr>
          <w:b/>
        </w:rPr>
        <w:tab/>
      </w:r>
    </w:p>
    <w:p w:rsidR="00CA1CB8" w:rsidRDefault="00CA1CB8" w:rsidP="00CA1CB8">
      <w:pPr>
        <w:spacing w:line="360" w:lineRule="auto"/>
        <w:jc w:val="both"/>
        <w:rPr>
          <w:b/>
          <w:sz w:val="28"/>
          <w:szCs w:val="28"/>
        </w:rPr>
      </w:pPr>
    </w:p>
    <w:p w:rsidR="00CA1CB8" w:rsidRDefault="00CA1CB8" w:rsidP="00CA1CB8">
      <w:pPr>
        <w:spacing w:line="360" w:lineRule="auto"/>
        <w:jc w:val="both"/>
        <w:outlineLvl w:val="0"/>
        <w:rPr>
          <w:b/>
        </w:rPr>
      </w:pPr>
      <w:r>
        <w:rPr>
          <w:b/>
        </w:rPr>
        <w:t>MUSARIRI, J:</w:t>
      </w:r>
    </w:p>
    <w:p w:rsidR="00CA1CB8" w:rsidRDefault="00CA1CB8" w:rsidP="00CB2AB6">
      <w:pPr>
        <w:spacing w:line="360" w:lineRule="auto"/>
        <w:jc w:val="both"/>
      </w:pPr>
    </w:p>
    <w:p w:rsidR="00CB2AB6" w:rsidRDefault="00CB2AB6" w:rsidP="00CB2AB6">
      <w:pPr>
        <w:spacing w:line="360" w:lineRule="auto"/>
        <w:jc w:val="both"/>
      </w:pPr>
      <w:r>
        <w:t>On 13</w:t>
      </w:r>
      <w:r w:rsidRPr="00CB2AB6">
        <w:rPr>
          <w:vertAlign w:val="superscript"/>
        </w:rPr>
        <w:t>th</w:t>
      </w:r>
      <w:r>
        <w:t xml:space="preserve"> October 2015 at Harare, Arbitrator T.C. Sengwe issued an arbitration award.  He ordered Appellant to reinstate Respondent or pay him damages in lieu of reinstatement.  Appellant then appealed to this Court</w:t>
      </w:r>
      <w:r w:rsidR="005F132D">
        <w:t xml:space="preserve"> </w:t>
      </w:r>
      <w:r w:rsidR="005079A1">
        <w:t>against the award.  Respondent opposed the appeal.  The grounds of appeal were three-fold as follows,</w:t>
      </w:r>
    </w:p>
    <w:p w:rsidR="005079A1" w:rsidRDefault="005079A1" w:rsidP="00C00BCD">
      <w:pPr>
        <w:jc w:val="both"/>
      </w:pPr>
    </w:p>
    <w:p w:rsidR="005079A1" w:rsidRPr="00C00BCD" w:rsidRDefault="005079A1" w:rsidP="00C00BCD">
      <w:pPr>
        <w:spacing w:line="276" w:lineRule="auto"/>
        <w:ind w:left="1440" w:hanging="720"/>
        <w:jc w:val="both"/>
        <w:rPr>
          <w:sz w:val="22"/>
          <w:szCs w:val="22"/>
        </w:rPr>
      </w:pPr>
      <w:r w:rsidRPr="00C00BCD">
        <w:rPr>
          <w:sz w:val="22"/>
          <w:szCs w:val="22"/>
        </w:rPr>
        <w:t>“1.</w:t>
      </w:r>
      <w:r w:rsidRPr="00C00BCD">
        <w:rPr>
          <w:sz w:val="22"/>
          <w:szCs w:val="22"/>
        </w:rPr>
        <w:tab/>
        <w:t>The Honourable Arbitrator grossly erred and misdirected (sic) on a point of law by failing to make a finding that Respondent was grossly incompetent as charged</w:t>
      </w:r>
      <w:r w:rsidR="0061306B" w:rsidRPr="00C00BCD">
        <w:rPr>
          <w:sz w:val="22"/>
          <w:szCs w:val="22"/>
        </w:rPr>
        <w:t xml:space="preserve"> in terms of the National Employment Code of Conduct S.I. – 15/06.</w:t>
      </w:r>
    </w:p>
    <w:p w:rsidR="0061306B" w:rsidRPr="00C00BCD" w:rsidRDefault="0061306B" w:rsidP="00C00BCD">
      <w:pPr>
        <w:spacing w:line="276" w:lineRule="auto"/>
        <w:ind w:left="1440" w:hanging="720"/>
        <w:jc w:val="both"/>
        <w:rPr>
          <w:sz w:val="22"/>
          <w:szCs w:val="22"/>
        </w:rPr>
      </w:pPr>
      <w:r w:rsidRPr="00C00BCD">
        <w:rPr>
          <w:sz w:val="22"/>
          <w:szCs w:val="22"/>
        </w:rPr>
        <w:t xml:space="preserve"> 2.</w:t>
      </w:r>
      <w:r w:rsidRPr="00C00BCD">
        <w:rPr>
          <w:sz w:val="22"/>
          <w:szCs w:val="22"/>
        </w:rPr>
        <w:tab/>
        <w:t>The Honourable Arbitrator grossly erred</w:t>
      </w:r>
      <w:r w:rsidR="00671A0A" w:rsidRPr="00C00BCD">
        <w:rPr>
          <w:sz w:val="22"/>
          <w:szCs w:val="22"/>
        </w:rPr>
        <w:t xml:space="preserve"> and misdirected at law by relying on an affidavit without affording appellant an opportunity to cross examine on the affidavit and to adduce oral evidence.</w:t>
      </w:r>
    </w:p>
    <w:p w:rsidR="00671A0A" w:rsidRPr="00C00BCD" w:rsidRDefault="00671A0A" w:rsidP="00C00BCD">
      <w:pPr>
        <w:spacing w:line="276" w:lineRule="auto"/>
        <w:ind w:left="1440" w:hanging="720"/>
        <w:jc w:val="both"/>
        <w:rPr>
          <w:sz w:val="22"/>
          <w:szCs w:val="22"/>
        </w:rPr>
      </w:pPr>
      <w:r w:rsidRPr="00C00BCD">
        <w:rPr>
          <w:sz w:val="22"/>
          <w:szCs w:val="22"/>
        </w:rPr>
        <w:t xml:space="preserve"> 3.</w:t>
      </w:r>
      <w:r w:rsidRPr="00C00BCD">
        <w:rPr>
          <w:sz w:val="22"/>
          <w:szCs w:val="22"/>
        </w:rPr>
        <w:tab/>
        <w:t xml:space="preserve">The Honourable Arbitrator grossly erred and misdirected at law by handing down an arbitral award which is grossly unreasonable and irrational in its defiance of logic and common sense such that no </w:t>
      </w:r>
      <w:r w:rsidR="003B669D" w:rsidRPr="00C00BCD">
        <w:rPr>
          <w:sz w:val="22"/>
          <w:szCs w:val="22"/>
        </w:rPr>
        <w:t>reasonable person properly applying his mind to the facts and merits of the case could arrive at such a decision.”</w:t>
      </w:r>
    </w:p>
    <w:p w:rsidR="003B669D" w:rsidRDefault="003B669D" w:rsidP="00C00BCD">
      <w:pPr>
        <w:jc w:val="both"/>
      </w:pPr>
    </w:p>
    <w:p w:rsidR="008B500B" w:rsidRDefault="008B500B" w:rsidP="003B669D">
      <w:pPr>
        <w:spacing w:line="360" w:lineRule="auto"/>
        <w:jc w:val="both"/>
      </w:pPr>
    </w:p>
    <w:p w:rsidR="003B669D" w:rsidRDefault="003B669D" w:rsidP="003B669D">
      <w:pPr>
        <w:spacing w:line="360" w:lineRule="auto"/>
        <w:jc w:val="both"/>
      </w:pPr>
      <w:r>
        <w:t>The 3</w:t>
      </w:r>
      <w:r w:rsidRPr="003B669D">
        <w:rPr>
          <w:vertAlign w:val="superscript"/>
        </w:rPr>
        <w:t>rd</w:t>
      </w:r>
      <w:r>
        <w:t xml:space="preserve"> ground is couched in conclusory</w:t>
      </w:r>
      <w:r w:rsidR="00C3502F">
        <w:t xml:space="preserve"> terms.  It </w:t>
      </w:r>
      <w:r w:rsidR="008B500B">
        <w:t>is really a conclusion presumably</w:t>
      </w:r>
      <w:r w:rsidR="001508FD">
        <w:t xml:space="preserve"> following upon the 1</w:t>
      </w:r>
      <w:r w:rsidR="001508FD" w:rsidRPr="001508FD">
        <w:rPr>
          <w:vertAlign w:val="superscript"/>
        </w:rPr>
        <w:t>st</w:t>
      </w:r>
      <w:r w:rsidR="001508FD">
        <w:t xml:space="preserve"> and 2</w:t>
      </w:r>
      <w:r w:rsidR="001508FD" w:rsidRPr="001508FD">
        <w:rPr>
          <w:vertAlign w:val="superscript"/>
        </w:rPr>
        <w:t>nd</w:t>
      </w:r>
      <w:r w:rsidR="001508FD">
        <w:t xml:space="preserve"> grounds.</w:t>
      </w:r>
      <w:r w:rsidR="006F69B4">
        <w:t xml:space="preserve"> It is </w:t>
      </w:r>
      <w:r w:rsidR="00665BA2">
        <w:t>not a stand-alone ground.  The first 2 grounds raise the question of the sufficiency of the evidence, against Respondent.  Accordingly</w:t>
      </w:r>
      <w:r w:rsidR="00631C11">
        <w:t xml:space="preserve"> I will deal with the two</w:t>
      </w:r>
      <w:r w:rsidR="005E33FC">
        <w:t xml:space="preserve"> as one ground.</w:t>
      </w:r>
    </w:p>
    <w:p w:rsidR="005E33FC" w:rsidRDefault="005E33FC" w:rsidP="00C00BCD">
      <w:pPr>
        <w:jc w:val="both"/>
      </w:pPr>
    </w:p>
    <w:p w:rsidR="005E33FC" w:rsidRDefault="005E33FC" w:rsidP="003B669D">
      <w:pPr>
        <w:spacing w:line="360" w:lineRule="auto"/>
        <w:jc w:val="both"/>
      </w:pPr>
      <w:r>
        <w:t>Respondent worked for Appellant as the Managing Director (MD).</w:t>
      </w:r>
      <w:r w:rsidR="00281E62">
        <w:t xml:space="preserve"> He was charged with misconduct namely gross incompetency and inefficiency.  The main case was that </w:t>
      </w:r>
      <w:r w:rsidR="00060701">
        <w:t xml:space="preserve"> </w:t>
      </w:r>
      <w:bookmarkStart w:id="0" w:name="_GoBack"/>
      <w:bookmarkEnd w:id="0"/>
      <w:r w:rsidR="00281E62">
        <w:t>Respondent</w:t>
      </w:r>
      <w:r w:rsidR="00060701">
        <w:t xml:space="preserve">  </w:t>
      </w:r>
      <w:r w:rsidR="00281E62">
        <w:t xml:space="preserve">reported </w:t>
      </w:r>
      <w:r w:rsidR="00060701">
        <w:t xml:space="preserve"> </w:t>
      </w:r>
      <w:r w:rsidR="00281E62">
        <w:t>to</w:t>
      </w:r>
      <w:r w:rsidR="00357896">
        <w:t xml:space="preserve"> the Board Of D</w:t>
      </w:r>
      <w:r w:rsidR="00281E62">
        <w:t xml:space="preserve">irectors a </w:t>
      </w:r>
      <w:r w:rsidR="00024F5B">
        <w:t xml:space="preserve">loss of USD 56 930-00 </w:t>
      </w:r>
      <w:r w:rsidR="00060701">
        <w:t xml:space="preserve"> </w:t>
      </w:r>
      <w:r w:rsidR="00024F5B">
        <w:t xml:space="preserve">for </w:t>
      </w:r>
      <w:r w:rsidR="00060701">
        <w:t xml:space="preserve"> </w:t>
      </w:r>
      <w:r w:rsidR="00024F5B">
        <w:t>the year ending</w:t>
      </w:r>
      <w:r w:rsidR="00A3245A">
        <w:t xml:space="preserve"> </w:t>
      </w:r>
      <w:r w:rsidR="00024F5B">
        <w:t xml:space="preserve"> 31</w:t>
      </w:r>
      <w:r w:rsidR="00024F5B" w:rsidRPr="00024F5B">
        <w:rPr>
          <w:vertAlign w:val="superscript"/>
        </w:rPr>
        <w:t>st</w:t>
      </w:r>
      <w:r w:rsidR="00024F5B">
        <w:t xml:space="preserve"> </w:t>
      </w:r>
      <w:r w:rsidR="00A3245A">
        <w:t xml:space="preserve"> </w:t>
      </w:r>
      <w:r w:rsidR="00024F5B">
        <w:t xml:space="preserve">December 2009.  </w:t>
      </w:r>
      <w:r w:rsidR="00060701">
        <w:t>However this was</w:t>
      </w:r>
      <w:r w:rsidR="00A3245A">
        <w:t xml:space="preserve"> </w:t>
      </w:r>
      <w:r w:rsidR="00024F5B">
        <w:t xml:space="preserve"> adjusted</w:t>
      </w:r>
      <w:r w:rsidR="00A3245A">
        <w:t xml:space="preserve"> </w:t>
      </w:r>
      <w:r w:rsidR="00024F5B">
        <w:t xml:space="preserve"> </w:t>
      </w:r>
      <w:r w:rsidR="00060701">
        <w:t xml:space="preserve"> </w:t>
      </w:r>
      <w:r w:rsidR="00024F5B">
        <w:t>to</w:t>
      </w:r>
      <w:r w:rsidR="00A3245A">
        <w:t xml:space="preserve"> </w:t>
      </w:r>
      <w:r w:rsidR="00024F5B">
        <w:t xml:space="preserve"> a</w:t>
      </w:r>
      <w:r w:rsidR="00A3245A">
        <w:t xml:space="preserve"> </w:t>
      </w:r>
      <w:r w:rsidR="00024F5B">
        <w:t xml:space="preserve"> loss </w:t>
      </w:r>
      <w:r w:rsidR="00A3245A">
        <w:t xml:space="preserve">  </w:t>
      </w:r>
      <w:r w:rsidR="00024F5B">
        <w:t xml:space="preserve">of </w:t>
      </w:r>
      <w:r w:rsidR="00A3245A">
        <w:t xml:space="preserve"> </w:t>
      </w:r>
      <w:r w:rsidR="00024F5B">
        <w:t>USD 657 365-00 by external auditors.  In other words</w:t>
      </w:r>
      <w:r w:rsidR="00921DF8">
        <w:t>,</w:t>
      </w:r>
      <w:r w:rsidR="00024F5B">
        <w:t xml:space="preserve"> he understated the loss by over ten times its size</w:t>
      </w:r>
      <w:r w:rsidR="00B7122B">
        <w:t>. That was a material adjustment that would seriously affect Appellant’s financials for that year.  Respondent’s Heads of Argument countered thus,</w:t>
      </w:r>
    </w:p>
    <w:p w:rsidR="00B7122B" w:rsidRDefault="00B7122B" w:rsidP="00C00BCD">
      <w:pPr>
        <w:jc w:val="both"/>
      </w:pPr>
    </w:p>
    <w:p w:rsidR="00B7122B" w:rsidRPr="00C00BCD" w:rsidRDefault="00B7122B" w:rsidP="00C00BCD">
      <w:pPr>
        <w:spacing w:line="276" w:lineRule="auto"/>
        <w:ind w:left="720"/>
        <w:jc w:val="both"/>
        <w:rPr>
          <w:sz w:val="22"/>
          <w:szCs w:val="22"/>
        </w:rPr>
      </w:pPr>
      <w:r w:rsidRPr="00C00BCD">
        <w:rPr>
          <w:sz w:val="22"/>
          <w:szCs w:val="22"/>
        </w:rPr>
        <w:t>“22. … Respondent was not responsible for the preparation of such information</w:t>
      </w:r>
      <w:r w:rsidR="00D73971" w:rsidRPr="00C00BCD">
        <w:rPr>
          <w:sz w:val="22"/>
          <w:szCs w:val="22"/>
        </w:rPr>
        <w:t>.  That was t</w:t>
      </w:r>
      <w:r w:rsidR="003062E2" w:rsidRPr="00C00BCD">
        <w:rPr>
          <w:sz w:val="22"/>
          <w:szCs w:val="22"/>
        </w:rPr>
        <w:t>h</w:t>
      </w:r>
      <w:r w:rsidR="00D73971" w:rsidRPr="00C00BCD">
        <w:rPr>
          <w:sz w:val="22"/>
          <w:szCs w:val="22"/>
        </w:rPr>
        <w:t xml:space="preserve">e responsibility of the </w:t>
      </w:r>
      <w:r w:rsidR="003062E2" w:rsidRPr="00C00BCD">
        <w:rPr>
          <w:sz w:val="22"/>
          <w:szCs w:val="22"/>
        </w:rPr>
        <w:t>finance manager.  The Respondent could only</w:t>
      </w:r>
      <w:r w:rsidR="007E1747" w:rsidRPr="00C00BCD">
        <w:rPr>
          <w:sz w:val="22"/>
          <w:szCs w:val="22"/>
        </w:rPr>
        <w:t xml:space="preserve"> have communicated information as received by him from the Finance</w:t>
      </w:r>
      <w:r w:rsidR="00456782" w:rsidRPr="00C00BCD">
        <w:rPr>
          <w:sz w:val="22"/>
          <w:szCs w:val="22"/>
        </w:rPr>
        <w:t xml:space="preserve"> Manager.  It was not his responsibility to redo the accounts before </w:t>
      </w:r>
      <w:r w:rsidR="00921DF8">
        <w:rPr>
          <w:sz w:val="22"/>
          <w:szCs w:val="22"/>
        </w:rPr>
        <w:t>reporting</w:t>
      </w:r>
      <w:r w:rsidR="00456782" w:rsidRPr="00C00BCD">
        <w:rPr>
          <w:sz w:val="22"/>
          <w:szCs w:val="22"/>
        </w:rPr>
        <w:t xml:space="preserve"> to the Board.  Any error in the calculations cannot therefore be</w:t>
      </w:r>
      <w:r w:rsidR="00921DF8">
        <w:rPr>
          <w:sz w:val="22"/>
          <w:szCs w:val="22"/>
        </w:rPr>
        <w:t xml:space="preserve"> imputed to him … T</w:t>
      </w:r>
      <w:r w:rsidR="00917A40" w:rsidRPr="00C00BCD">
        <w:rPr>
          <w:sz w:val="22"/>
          <w:szCs w:val="22"/>
        </w:rPr>
        <w:t>hat cannot be gross incompetence.”</w:t>
      </w:r>
    </w:p>
    <w:p w:rsidR="0061306B" w:rsidRDefault="0061306B" w:rsidP="00C00BCD">
      <w:pPr>
        <w:jc w:val="both"/>
      </w:pPr>
    </w:p>
    <w:p w:rsidR="00653131" w:rsidRDefault="003769F0" w:rsidP="009C15A5">
      <w:pPr>
        <w:spacing w:line="360" w:lineRule="auto"/>
        <w:jc w:val="both"/>
      </w:pPr>
      <w:r>
        <w:t>I consider the response as</w:t>
      </w:r>
      <w:r w:rsidR="009C15A5">
        <w:t xml:space="preserve"> problematic.  Firstly the adjustment was too large.  Clearly someone slept on the job.  It</w:t>
      </w:r>
      <w:r w:rsidR="00CE399F">
        <w:t xml:space="preserve"> could</w:t>
      </w:r>
      <w:r w:rsidR="009C15A5">
        <w:t xml:space="preserve"> </w:t>
      </w:r>
      <w:r w:rsidR="001922FA">
        <w:t>be held to be the finance manager as alleged</w:t>
      </w:r>
      <w:r w:rsidR="003D1B7F">
        <w:t xml:space="preserve">. However as the Managing Director </w:t>
      </w:r>
      <w:r w:rsidR="00A31D90">
        <w:t>the buck st</w:t>
      </w:r>
      <w:r w:rsidR="00CE399F">
        <w:t>opped with Respondent.  In any c</w:t>
      </w:r>
      <w:r w:rsidR="00A31D90">
        <w:t xml:space="preserve">ase he was the one with the responsibility to </w:t>
      </w:r>
      <w:r w:rsidR="00CE399F">
        <w:rPr>
          <w:u w:val="single"/>
        </w:rPr>
        <w:t>account to the B</w:t>
      </w:r>
      <w:r w:rsidR="00A31D90" w:rsidRPr="00F113B1">
        <w:rPr>
          <w:u w:val="single"/>
        </w:rPr>
        <w:t>oard on the operations of the business</w:t>
      </w:r>
      <w:r w:rsidR="00A31D90">
        <w:t>.  He could not take the attitude that his role was simply to relay figures given by his subordinate.  He had to check and satisfy himself with the figures given before reporting to the board.  He failed in this duty hence the charge of incompetence.  That the incompetence originated</w:t>
      </w:r>
      <w:r w:rsidR="003D773C">
        <w:t xml:space="preserve"> in his subordinate’s office does not absolve him.  The size of the adjusted</w:t>
      </w:r>
      <w:r w:rsidR="009C6FFB">
        <w:t xml:space="preserve"> loss</w:t>
      </w:r>
      <w:r w:rsidR="00F113B1">
        <w:t>,</w:t>
      </w:r>
      <w:r w:rsidR="003D773C">
        <w:t xml:space="preserve"> over half a </w:t>
      </w:r>
      <w:r w:rsidR="00071DFB">
        <w:t xml:space="preserve">million, is staggering.  This is </w:t>
      </w:r>
      <w:proofErr w:type="gramStart"/>
      <w:r w:rsidR="00071DFB">
        <w:t>a</w:t>
      </w:r>
      <w:r w:rsidR="00F113B1">
        <w:t xml:space="preserve"> </w:t>
      </w:r>
      <w:r w:rsidR="00071DFB">
        <w:t xml:space="preserve"> case</w:t>
      </w:r>
      <w:proofErr w:type="gramEnd"/>
      <w:r w:rsidR="00F113B1">
        <w:t xml:space="preserve"> </w:t>
      </w:r>
      <w:r w:rsidR="00071DFB">
        <w:t xml:space="preserve"> where</w:t>
      </w:r>
      <w:r w:rsidR="00F113B1">
        <w:t xml:space="preserve"> </w:t>
      </w:r>
      <w:r w:rsidR="00071DFB">
        <w:t xml:space="preserve"> the facts speak for themselves.</w:t>
      </w:r>
      <w:r w:rsidR="00F113B1">
        <w:t xml:space="preserve">  The facts scream incompetence.</w:t>
      </w:r>
      <w:r w:rsidR="009C6FFB">
        <w:t xml:space="preserve"> </w:t>
      </w:r>
      <w:r w:rsidR="009C6FFB" w:rsidRPr="00CF59B3">
        <w:rPr>
          <w:u w:val="single"/>
        </w:rPr>
        <w:t>Res ipsa</w:t>
      </w:r>
      <w:r w:rsidR="00CF59B3" w:rsidRPr="00CF59B3">
        <w:rPr>
          <w:u w:val="single"/>
        </w:rPr>
        <w:t xml:space="preserve"> loquitar</w:t>
      </w:r>
      <w:r w:rsidR="00C142F3">
        <w:t xml:space="preserve"> the charge got proved.</w:t>
      </w:r>
      <w:r w:rsidR="00CF59B3">
        <w:t xml:space="preserve"> </w:t>
      </w:r>
    </w:p>
    <w:p w:rsidR="00A930D5" w:rsidRDefault="00A930D5" w:rsidP="00813A67">
      <w:pPr>
        <w:jc w:val="both"/>
      </w:pPr>
    </w:p>
    <w:p w:rsidR="00585712" w:rsidRDefault="00585712" w:rsidP="009C15A5">
      <w:pPr>
        <w:spacing w:line="360" w:lineRule="auto"/>
        <w:jc w:val="both"/>
      </w:pPr>
    </w:p>
    <w:p w:rsidR="00585712" w:rsidRDefault="00585712" w:rsidP="009C15A5">
      <w:pPr>
        <w:spacing w:line="360" w:lineRule="auto"/>
        <w:jc w:val="both"/>
      </w:pPr>
    </w:p>
    <w:p w:rsidR="00A930D5" w:rsidRDefault="00A930D5" w:rsidP="009C15A5">
      <w:pPr>
        <w:spacing w:line="360" w:lineRule="auto"/>
        <w:jc w:val="both"/>
      </w:pPr>
      <w:r>
        <w:t xml:space="preserve">The misconduct is aggravated by the fact that </w:t>
      </w:r>
      <w:r w:rsidR="00585712">
        <w:t>Respondent</w:t>
      </w:r>
      <w:r>
        <w:t xml:space="preserve"> paid</w:t>
      </w:r>
      <w:r w:rsidR="001625B4">
        <w:t xml:space="preserve"> himself and colleagues service awards and gave staff loans in these circumstances.  The business was running at a significant </w:t>
      </w:r>
      <w:r w:rsidR="00E10489">
        <w:t xml:space="preserve">loss by his own report.  Surely </w:t>
      </w:r>
      <w:r w:rsidR="00AE6544">
        <w:t>that</w:t>
      </w:r>
      <w:r w:rsidR="00E10489">
        <w:t xml:space="preserve"> was not the time to avail feather-beddings to employees. </w:t>
      </w:r>
      <w:r w:rsidR="000217B1">
        <w:t>If there was a compelling need for such</w:t>
      </w:r>
      <w:r w:rsidR="00501EFC">
        <w:t>,</w:t>
      </w:r>
      <w:r w:rsidR="000217B1">
        <w:t xml:space="preserve"> then it was imperative to make the case to his superiors</w:t>
      </w:r>
      <w:r w:rsidR="00585712">
        <w:t>, the B</w:t>
      </w:r>
      <w:r w:rsidR="00497D59">
        <w:t>oard, to obtain their approval given the dire ci</w:t>
      </w:r>
      <w:r w:rsidR="00501EFC">
        <w:t>rcumstances the business was mir</w:t>
      </w:r>
      <w:r w:rsidR="00497D59">
        <w:t>ed in.  The Arbitrator was persuaded by Respondent’s argument that he was not responsible.  That find</w:t>
      </w:r>
      <w:r w:rsidR="00001DD5">
        <w:t>ing</w:t>
      </w:r>
      <w:r w:rsidR="00497D59">
        <w:t xml:space="preserve"> </w:t>
      </w:r>
      <w:r w:rsidR="0074625F">
        <w:t xml:space="preserve">flew in the face of the evidence before the Arbitrator.  I consider that the Arbitrator grossly misdirected himself in assessing the evidence.  Appellant prayed that </w:t>
      </w:r>
      <w:r w:rsidR="00D16A3A">
        <w:t>the Arbitrator’s award should</w:t>
      </w:r>
      <w:r w:rsidR="005B7F01">
        <w:t xml:space="preserve"> be set aside with </w:t>
      </w:r>
      <w:r w:rsidR="009A1E7E">
        <w:t>the</w:t>
      </w:r>
      <w:r w:rsidR="005B7F01">
        <w:t xml:space="preserve"> matter being remitted to the Arbitrator “for the appropriate penalty”.</w:t>
      </w:r>
    </w:p>
    <w:p w:rsidR="00FC25BD" w:rsidRDefault="00FC25BD" w:rsidP="009C15A5">
      <w:pPr>
        <w:spacing w:line="360" w:lineRule="auto"/>
        <w:jc w:val="both"/>
      </w:pPr>
    </w:p>
    <w:p w:rsidR="00871CF0" w:rsidRDefault="00871CF0" w:rsidP="009C15A5">
      <w:pPr>
        <w:spacing w:line="360" w:lineRule="auto"/>
        <w:jc w:val="both"/>
      </w:pPr>
    </w:p>
    <w:p w:rsidR="00FC25BD" w:rsidRDefault="00FC25BD" w:rsidP="00FC25BD">
      <w:pPr>
        <w:spacing w:line="360" w:lineRule="auto"/>
        <w:jc w:val="both"/>
        <w:rPr>
          <w:b/>
        </w:rPr>
      </w:pPr>
      <w:r w:rsidRPr="00FE7CF1">
        <w:rPr>
          <w:b/>
        </w:rPr>
        <w:t>Where</w:t>
      </w:r>
      <w:r>
        <w:rPr>
          <w:b/>
        </w:rPr>
        <w:t>fore it is ordered that,</w:t>
      </w:r>
    </w:p>
    <w:p w:rsidR="00FC25BD" w:rsidRDefault="00FC25BD" w:rsidP="00FC25BD">
      <w:pPr>
        <w:jc w:val="both"/>
        <w:rPr>
          <w:b/>
        </w:rPr>
      </w:pPr>
    </w:p>
    <w:p w:rsidR="00FC25BD" w:rsidRDefault="00FC25BD" w:rsidP="00FC25BD">
      <w:pPr>
        <w:pStyle w:val="ListParagraph"/>
        <w:numPr>
          <w:ilvl w:val="0"/>
          <w:numId w:val="1"/>
        </w:numPr>
        <w:spacing w:line="600" w:lineRule="auto"/>
        <w:jc w:val="both"/>
        <w:rPr>
          <w:b/>
        </w:rPr>
      </w:pPr>
      <w:r>
        <w:rPr>
          <w:b/>
        </w:rPr>
        <w:t>The appeal be and is hereby allowed;</w:t>
      </w:r>
    </w:p>
    <w:p w:rsidR="00FC25BD" w:rsidRDefault="00FC25BD" w:rsidP="00FC25BD">
      <w:pPr>
        <w:pStyle w:val="ListParagraph"/>
        <w:numPr>
          <w:ilvl w:val="0"/>
          <w:numId w:val="1"/>
        </w:numPr>
        <w:spacing w:line="600" w:lineRule="auto"/>
        <w:jc w:val="both"/>
        <w:rPr>
          <w:b/>
        </w:rPr>
      </w:pPr>
      <w:r>
        <w:rPr>
          <w:b/>
        </w:rPr>
        <w:t xml:space="preserve">The arbitration </w:t>
      </w:r>
      <w:r w:rsidR="00813A67">
        <w:rPr>
          <w:b/>
        </w:rPr>
        <w:t>award issued by Arbitrator T.C. Sengwe dated 13</w:t>
      </w:r>
      <w:r w:rsidR="00813A67" w:rsidRPr="00813A67">
        <w:rPr>
          <w:b/>
          <w:vertAlign w:val="superscript"/>
        </w:rPr>
        <w:t>th</w:t>
      </w:r>
      <w:r w:rsidR="00813A67">
        <w:rPr>
          <w:b/>
        </w:rPr>
        <w:t xml:space="preserve"> October 2015 is set aside; and </w:t>
      </w:r>
    </w:p>
    <w:p w:rsidR="00813A67" w:rsidRDefault="00813A67" w:rsidP="00FC25BD">
      <w:pPr>
        <w:pStyle w:val="ListParagraph"/>
        <w:numPr>
          <w:ilvl w:val="0"/>
          <w:numId w:val="1"/>
        </w:numPr>
        <w:spacing w:line="600" w:lineRule="auto"/>
        <w:jc w:val="both"/>
        <w:rPr>
          <w:b/>
        </w:rPr>
      </w:pPr>
      <w:r>
        <w:rPr>
          <w:b/>
        </w:rPr>
        <w:t>The matter is remitted to an Arbitrator (agreed by the parties or selected by the Registrar of this Court) for a hearing to determine the appropriate penalty for the proven misconduct.</w:t>
      </w:r>
    </w:p>
    <w:p w:rsidR="00FC25BD" w:rsidRDefault="00FC25BD" w:rsidP="00FC25BD">
      <w:pPr>
        <w:spacing w:line="360" w:lineRule="auto"/>
        <w:jc w:val="both"/>
        <w:rPr>
          <w:b/>
        </w:rPr>
      </w:pPr>
    </w:p>
    <w:p w:rsidR="00FC25BD" w:rsidRPr="00EA44A5" w:rsidRDefault="00FC25BD" w:rsidP="00FC25BD">
      <w:pPr>
        <w:spacing w:line="360" w:lineRule="auto"/>
        <w:jc w:val="both"/>
        <w:rPr>
          <w:b/>
        </w:rPr>
      </w:pPr>
    </w:p>
    <w:p w:rsidR="00FC25BD" w:rsidRPr="008C1574" w:rsidRDefault="00FC25BD" w:rsidP="00FC25BD">
      <w:pPr>
        <w:pStyle w:val="ListParagraph"/>
        <w:spacing w:line="360" w:lineRule="auto"/>
        <w:jc w:val="both"/>
        <w:rPr>
          <w:b/>
        </w:rPr>
      </w:pPr>
    </w:p>
    <w:p w:rsidR="00FC25BD" w:rsidRDefault="00FC25BD" w:rsidP="00FC25BD">
      <w:pPr>
        <w:pStyle w:val="ListParagraph"/>
        <w:spacing w:line="360" w:lineRule="auto"/>
        <w:jc w:val="both"/>
        <w:rPr>
          <w:b/>
        </w:rPr>
      </w:pPr>
      <w:r>
        <w:rPr>
          <w:b/>
        </w:rPr>
        <w:tab/>
      </w:r>
      <w:r>
        <w:rPr>
          <w:b/>
        </w:rPr>
        <w:tab/>
      </w:r>
      <w:r>
        <w:rPr>
          <w:b/>
        </w:rPr>
        <w:tab/>
      </w:r>
      <w:r>
        <w:rPr>
          <w:b/>
        </w:rPr>
        <w:tab/>
      </w:r>
      <w:r>
        <w:rPr>
          <w:b/>
        </w:rPr>
        <w:tab/>
      </w:r>
      <w:r>
        <w:rPr>
          <w:b/>
        </w:rPr>
        <w:tab/>
        <w:t>G. MUSARIRI</w:t>
      </w:r>
    </w:p>
    <w:p w:rsidR="00FC25BD" w:rsidRDefault="00FC25BD" w:rsidP="00FC25BD">
      <w:pPr>
        <w:pStyle w:val="ListParagraph"/>
        <w:spacing w:line="360" w:lineRule="auto"/>
        <w:jc w:val="both"/>
      </w:pPr>
      <w:r>
        <w:rPr>
          <w:b/>
        </w:rPr>
        <w:tab/>
      </w:r>
      <w:r>
        <w:rPr>
          <w:b/>
        </w:rPr>
        <w:tab/>
      </w:r>
      <w:r>
        <w:rPr>
          <w:b/>
        </w:rPr>
        <w:tab/>
      </w:r>
      <w:r>
        <w:rPr>
          <w:b/>
        </w:rPr>
        <w:tab/>
      </w:r>
      <w:r>
        <w:rPr>
          <w:b/>
        </w:rPr>
        <w:tab/>
      </w:r>
      <w:r>
        <w:rPr>
          <w:b/>
        </w:rPr>
        <w:tab/>
        <w:t>J-U-D-G-E</w:t>
      </w:r>
    </w:p>
    <w:p w:rsidR="00FC25BD" w:rsidRDefault="00FC25BD" w:rsidP="009C15A5">
      <w:pPr>
        <w:spacing w:line="360" w:lineRule="auto"/>
        <w:jc w:val="both"/>
      </w:pPr>
    </w:p>
    <w:sectPr w:rsidR="00FC25BD" w:rsidSect="004645D1">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8E9" w:rsidRDefault="001F68E9" w:rsidP="004645D1">
      <w:r>
        <w:separator/>
      </w:r>
    </w:p>
  </w:endnote>
  <w:endnote w:type="continuationSeparator" w:id="0">
    <w:p w:rsidR="001F68E9" w:rsidRDefault="001F68E9" w:rsidP="0046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699463"/>
      <w:docPartObj>
        <w:docPartGallery w:val="Page Numbers (Bottom of Page)"/>
        <w:docPartUnique/>
      </w:docPartObj>
    </w:sdtPr>
    <w:sdtEndPr>
      <w:rPr>
        <w:noProof/>
      </w:rPr>
    </w:sdtEndPr>
    <w:sdtContent>
      <w:p w:rsidR="004D0A7F" w:rsidRDefault="004D0A7F">
        <w:pPr>
          <w:pStyle w:val="Footer"/>
          <w:jc w:val="center"/>
        </w:pPr>
        <w:r>
          <w:fldChar w:fldCharType="begin"/>
        </w:r>
        <w:r>
          <w:instrText xml:space="preserve"> PAGE   \* MERGEFORMAT </w:instrText>
        </w:r>
        <w:r>
          <w:fldChar w:fldCharType="separate"/>
        </w:r>
        <w:r w:rsidR="00D34EBC">
          <w:rPr>
            <w:noProof/>
          </w:rPr>
          <w:t>2</w:t>
        </w:r>
        <w:r>
          <w:rPr>
            <w:noProof/>
          </w:rPr>
          <w:fldChar w:fldCharType="end"/>
        </w:r>
      </w:p>
    </w:sdtContent>
  </w:sdt>
  <w:p w:rsidR="004D0A7F" w:rsidRDefault="004D0A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8E9" w:rsidRDefault="001F68E9" w:rsidP="004645D1">
      <w:r>
        <w:separator/>
      </w:r>
    </w:p>
  </w:footnote>
  <w:footnote w:type="continuationSeparator" w:id="0">
    <w:p w:rsidR="001F68E9" w:rsidRDefault="001F68E9" w:rsidP="004645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5D1" w:rsidRPr="004645D1" w:rsidRDefault="004645D1">
    <w:pPr>
      <w:pStyle w:val="Header"/>
      <w:rPr>
        <w:lang w:val="en-ZW"/>
      </w:rPr>
    </w:pPr>
    <w:r>
      <w:rPr>
        <w:lang w:val="en-ZW"/>
      </w:rPr>
      <w:tab/>
    </w:r>
    <w:r>
      <w:rPr>
        <w:lang w:val="en-ZW"/>
      </w:rPr>
      <w:tab/>
      <w:t>JUDGMENT NO. LC/H/</w:t>
    </w:r>
    <w:r w:rsidR="00172C5A">
      <w:rPr>
        <w:lang w:val="en-ZW"/>
      </w:rPr>
      <w:t>6</w:t>
    </w:r>
    <w:r w:rsidR="00AF6017">
      <w:rPr>
        <w:lang w:val="en-ZW"/>
      </w:rPr>
      <w:t>50</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A2B85"/>
    <w:multiLevelType w:val="hybridMultilevel"/>
    <w:tmpl w:val="58CA921E"/>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CB8"/>
    <w:rsid w:val="00001DD5"/>
    <w:rsid w:val="000217B1"/>
    <w:rsid w:val="00024F5B"/>
    <w:rsid w:val="000315A2"/>
    <w:rsid w:val="00060701"/>
    <w:rsid w:val="00071DFB"/>
    <w:rsid w:val="001508FD"/>
    <w:rsid w:val="001625B4"/>
    <w:rsid w:val="00172C5A"/>
    <w:rsid w:val="001922FA"/>
    <w:rsid w:val="001F68E9"/>
    <w:rsid w:val="00281E62"/>
    <w:rsid w:val="003062E2"/>
    <w:rsid w:val="00357896"/>
    <w:rsid w:val="003769F0"/>
    <w:rsid w:val="003B0C31"/>
    <w:rsid w:val="003B669D"/>
    <w:rsid w:val="003D1B7F"/>
    <w:rsid w:val="003D773C"/>
    <w:rsid w:val="00456782"/>
    <w:rsid w:val="004645D1"/>
    <w:rsid w:val="00467F9F"/>
    <w:rsid w:val="00497D59"/>
    <w:rsid w:val="004D0A7F"/>
    <w:rsid w:val="00501EFC"/>
    <w:rsid w:val="005079A1"/>
    <w:rsid w:val="0053060C"/>
    <w:rsid w:val="00543226"/>
    <w:rsid w:val="00553284"/>
    <w:rsid w:val="005813AE"/>
    <w:rsid w:val="00585712"/>
    <w:rsid w:val="005B7F01"/>
    <w:rsid w:val="005E33FC"/>
    <w:rsid w:val="005F132D"/>
    <w:rsid w:val="0061306B"/>
    <w:rsid w:val="00631C11"/>
    <w:rsid w:val="00653131"/>
    <w:rsid w:val="00665BA2"/>
    <w:rsid w:val="00671A0A"/>
    <w:rsid w:val="006F69B4"/>
    <w:rsid w:val="0074625F"/>
    <w:rsid w:val="007E1747"/>
    <w:rsid w:val="00813A67"/>
    <w:rsid w:val="00871CF0"/>
    <w:rsid w:val="008B500B"/>
    <w:rsid w:val="00917A40"/>
    <w:rsid w:val="00921DF8"/>
    <w:rsid w:val="009A1E7E"/>
    <w:rsid w:val="009A3250"/>
    <w:rsid w:val="009C15A5"/>
    <w:rsid w:val="009C6FFB"/>
    <w:rsid w:val="00A31D90"/>
    <w:rsid w:val="00A3245A"/>
    <w:rsid w:val="00A930D5"/>
    <w:rsid w:val="00AA5D5F"/>
    <w:rsid w:val="00AE6544"/>
    <w:rsid w:val="00AF6017"/>
    <w:rsid w:val="00B7122B"/>
    <w:rsid w:val="00C00BCD"/>
    <w:rsid w:val="00C11D61"/>
    <w:rsid w:val="00C142F3"/>
    <w:rsid w:val="00C3502F"/>
    <w:rsid w:val="00CA1CB8"/>
    <w:rsid w:val="00CB2AB6"/>
    <w:rsid w:val="00CE399F"/>
    <w:rsid w:val="00CF59B3"/>
    <w:rsid w:val="00D16A3A"/>
    <w:rsid w:val="00D34EBC"/>
    <w:rsid w:val="00D426A0"/>
    <w:rsid w:val="00D73971"/>
    <w:rsid w:val="00DB2EB1"/>
    <w:rsid w:val="00DB765D"/>
    <w:rsid w:val="00E10489"/>
    <w:rsid w:val="00E42FFE"/>
    <w:rsid w:val="00F113B1"/>
    <w:rsid w:val="00FC25B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CB8"/>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5BD"/>
    <w:pPr>
      <w:ind w:left="720"/>
      <w:contextualSpacing/>
    </w:pPr>
  </w:style>
  <w:style w:type="paragraph" w:styleId="Header">
    <w:name w:val="header"/>
    <w:basedOn w:val="Normal"/>
    <w:link w:val="HeaderChar"/>
    <w:uiPriority w:val="99"/>
    <w:unhideWhenUsed/>
    <w:rsid w:val="004645D1"/>
    <w:pPr>
      <w:tabs>
        <w:tab w:val="center" w:pos="4513"/>
        <w:tab w:val="right" w:pos="9026"/>
      </w:tabs>
    </w:pPr>
  </w:style>
  <w:style w:type="character" w:customStyle="1" w:styleId="HeaderChar">
    <w:name w:val="Header Char"/>
    <w:basedOn w:val="DefaultParagraphFont"/>
    <w:link w:val="Header"/>
    <w:uiPriority w:val="99"/>
    <w:rsid w:val="004645D1"/>
    <w:rPr>
      <w:rFonts w:ascii="Tahoma" w:eastAsia="Times New Roman" w:hAnsi="Tahoma" w:cs="Times New Roman"/>
      <w:sz w:val="24"/>
      <w:szCs w:val="24"/>
      <w:lang w:val="en-US"/>
    </w:rPr>
  </w:style>
  <w:style w:type="paragraph" w:styleId="Footer">
    <w:name w:val="footer"/>
    <w:basedOn w:val="Normal"/>
    <w:link w:val="FooterChar"/>
    <w:uiPriority w:val="99"/>
    <w:unhideWhenUsed/>
    <w:rsid w:val="004645D1"/>
    <w:pPr>
      <w:tabs>
        <w:tab w:val="center" w:pos="4513"/>
        <w:tab w:val="right" w:pos="9026"/>
      </w:tabs>
    </w:pPr>
  </w:style>
  <w:style w:type="character" w:customStyle="1" w:styleId="FooterChar">
    <w:name w:val="Footer Char"/>
    <w:basedOn w:val="DefaultParagraphFont"/>
    <w:link w:val="Footer"/>
    <w:uiPriority w:val="99"/>
    <w:rsid w:val="004645D1"/>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9A3250"/>
    <w:rPr>
      <w:rFonts w:cs="Tahoma"/>
      <w:sz w:val="16"/>
      <w:szCs w:val="16"/>
    </w:rPr>
  </w:style>
  <w:style w:type="character" w:customStyle="1" w:styleId="BalloonTextChar">
    <w:name w:val="Balloon Text Char"/>
    <w:basedOn w:val="DefaultParagraphFont"/>
    <w:link w:val="BalloonText"/>
    <w:uiPriority w:val="99"/>
    <w:semiHidden/>
    <w:rsid w:val="009A3250"/>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CB8"/>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5BD"/>
    <w:pPr>
      <w:ind w:left="720"/>
      <w:contextualSpacing/>
    </w:pPr>
  </w:style>
  <w:style w:type="paragraph" w:styleId="Header">
    <w:name w:val="header"/>
    <w:basedOn w:val="Normal"/>
    <w:link w:val="HeaderChar"/>
    <w:uiPriority w:val="99"/>
    <w:unhideWhenUsed/>
    <w:rsid w:val="004645D1"/>
    <w:pPr>
      <w:tabs>
        <w:tab w:val="center" w:pos="4513"/>
        <w:tab w:val="right" w:pos="9026"/>
      </w:tabs>
    </w:pPr>
  </w:style>
  <w:style w:type="character" w:customStyle="1" w:styleId="HeaderChar">
    <w:name w:val="Header Char"/>
    <w:basedOn w:val="DefaultParagraphFont"/>
    <w:link w:val="Header"/>
    <w:uiPriority w:val="99"/>
    <w:rsid w:val="004645D1"/>
    <w:rPr>
      <w:rFonts w:ascii="Tahoma" w:eastAsia="Times New Roman" w:hAnsi="Tahoma" w:cs="Times New Roman"/>
      <w:sz w:val="24"/>
      <w:szCs w:val="24"/>
      <w:lang w:val="en-US"/>
    </w:rPr>
  </w:style>
  <w:style w:type="paragraph" w:styleId="Footer">
    <w:name w:val="footer"/>
    <w:basedOn w:val="Normal"/>
    <w:link w:val="FooterChar"/>
    <w:uiPriority w:val="99"/>
    <w:unhideWhenUsed/>
    <w:rsid w:val="004645D1"/>
    <w:pPr>
      <w:tabs>
        <w:tab w:val="center" w:pos="4513"/>
        <w:tab w:val="right" w:pos="9026"/>
      </w:tabs>
    </w:pPr>
  </w:style>
  <w:style w:type="character" w:customStyle="1" w:styleId="FooterChar">
    <w:name w:val="Footer Char"/>
    <w:basedOn w:val="DefaultParagraphFont"/>
    <w:link w:val="Footer"/>
    <w:uiPriority w:val="99"/>
    <w:rsid w:val="004645D1"/>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9A3250"/>
    <w:rPr>
      <w:rFonts w:cs="Tahoma"/>
      <w:sz w:val="16"/>
      <w:szCs w:val="16"/>
    </w:rPr>
  </w:style>
  <w:style w:type="character" w:customStyle="1" w:styleId="BalloonTextChar">
    <w:name w:val="Balloon Text Char"/>
    <w:basedOn w:val="DefaultParagraphFont"/>
    <w:link w:val="BalloonText"/>
    <w:uiPriority w:val="99"/>
    <w:semiHidden/>
    <w:rsid w:val="009A3250"/>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0A2E8-6BA8-4C96-A273-84B632D93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42</cp:revision>
  <cp:lastPrinted>2016-10-18T08:56:00Z</cp:lastPrinted>
  <dcterms:created xsi:type="dcterms:W3CDTF">2016-10-13T09:41:00Z</dcterms:created>
  <dcterms:modified xsi:type="dcterms:W3CDTF">2016-10-18T11:38:00Z</dcterms:modified>
</cp:coreProperties>
</file>