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DE" w:rsidRDefault="009461A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THE LABOUR COURT OF ZIMBABWE</w:t>
      </w:r>
      <w:r>
        <w:rPr>
          <w:b/>
          <w:sz w:val="28"/>
          <w:szCs w:val="28"/>
        </w:rPr>
        <w:tab/>
        <w:t xml:space="preserve">  JUDGMENT NO LC/H/196/13</w:t>
      </w:r>
    </w:p>
    <w:p w:rsidR="009461A8" w:rsidRDefault="009461A8">
      <w:pPr>
        <w:rPr>
          <w:b/>
          <w:sz w:val="28"/>
          <w:szCs w:val="28"/>
        </w:rPr>
      </w:pPr>
      <w:r>
        <w:rPr>
          <w:b/>
          <w:sz w:val="28"/>
          <w:szCs w:val="28"/>
        </w:rPr>
        <w:t>HELD AT HARARE 22</w:t>
      </w:r>
      <w:r w:rsidRPr="009461A8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MAY 2013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CASE NO LC/H/81/12</w:t>
      </w:r>
    </w:p>
    <w:p w:rsidR="009461A8" w:rsidRDefault="009461A8">
      <w:pPr>
        <w:rPr>
          <w:b/>
          <w:sz w:val="28"/>
          <w:szCs w:val="28"/>
        </w:rPr>
      </w:pPr>
    </w:p>
    <w:p w:rsidR="009461A8" w:rsidRDefault="009461A8">
      <w:pPr>
        <w:rPr>
          <w:b/>
          <w:sz w:val="28"/>
          <w:szCs w:val="28"/>
        </w:rPr>
      </w:pPr>
      <w:r>
        <w:rPr>
          <w:b/>
          <w:sz w:val="28"/>
          <w:szCs w:val="28"/>
        </w:rPr>
        <w:t>PIETER GERTENBACH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Applicant</w:t>
      </w:r>
    </w:p>
    <w:p w:rsidR="009461A8" w:rsidRDefault="009461A8">
      <w:pPr>
        <w:rPr>
          <w:b/>
          <w:sz w:val="28"/>
          <w:szCs w:val="28"/>
        </w:rPr>
      </w:pPr>
    </w:p>
    <w:p w:rsidR="009461A8" w:rsidRDefault="00C22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9461A8">
        <w:rPr>
          <w:b/>
          <w:sz w:val="28"/>
          <w:szCs w:val="28"/>
        </w:rPr>
        <w:t>ROSLAN ENGINEERING</w:t>
      </w:r>
      <w:r w:rsidR="009461A8">
        <w:rPr>
          <w:b/>
          <w:sz w:val="28"/>
          <w:szCs w:val="28"/>
        </w:rPr>
        <w:tab/>
      </w:r>
      <w:r w:rsidR="009461A8">
        <w:rPr>
          <w:b/>
          <w:sz w:val="28"/>
          <w:szCs w:val="28"/>
        </w:rPr>
        <w:tab/>
      </w:r>
      <w:r w:rsidR="009461A8">
        <w:rPr>
          <w:b/>
          <w:sz w:val="28"/>
          <w:szCs w:val="28"/>
        </w:rPr>
        <w:tab/>
      </w:r>
      <w:r w:rsidR="009461A8">
        <w:rPr>
          <w:b/>
          <w:sz w:val="28"/>
          <w:szCs w:val="28"/>
        </w:rPr>
        <w:tab/>
        <w:t>Respondent</w:t>
      </w:r>
    </w:p>
    <w:p w:rsidR="009461A8" w:rsidRDefault="009461A8">
      <w:pPr>
        <w:rPr>
          <w:b/>
          <w:sz w:val="28"/>
          <w:szCs w:val="28"/>
        </w:rPr>
      </w:pPr>
      <w:r>
        <w:rPr>
          <w:b/>
          <w:sz w:val="28"/>
          <w:szCs w:val="28"/>
        </w:rPr>
        <w:t>(PRIVATE) LIMITED</w:t>
      </w:r>
    </w:p>
    <w:p w:rsidR="009461A8" w:rsidRDefault="009461A8">
      <w:pPr>
        <w:rPr>
          <w:b/>
          <w:sz w:val="28"/>
          <w:szCs w:val="28"/>
        </w:rPr>
      </w:pPr>
    </w:p>
    <w:p w:rsidR="009461A8" w:rsidRDefault="009461A8" w:rsidP="009461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Before The Honourable G Musariri, President</w:t>
      </w:r>
    </w:p>
    <w:p w:rsidR="009461A8" w:rsidRDefault="009461A8" w:rsidP="009461A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 Applicant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H </w:t>
      </w:r>
      <w:proofErr w:type="spellStart"/>
      <w:r>
        <w:rPr>
          <w:b/>
          <w:sz w:val="28"/>
          <w:szCs w:val="28"/>
        </w:rPr>
        <w:t>Chitima</w:t>
      </w:r>
      <w:proofErr w:type="spellEnd"/>
      <w:r>
        <w:rPr>
          <w:b/>
          <w:sz w:val="28"/>
          <w:szCs w:val="28"/>
        </w:rPr>
        <w:t>, Attorney</w:t>
      </w:r>
    </w:p>
    <w:p w:rsidR="009461A8" w:rsidRDefault="009461A8" w:rsidP="009461A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M </w:t>
      </w:r>
      <w:proofErr w:type="spellStart"/>
      <w:r>
        <w:rPr>
          <w:b/>
          <w:sz w:val="28"/>
          <w:szCs w:val="28"/>
        </w:rPr>
        <w:t>Chijara</w:t>
      </w:r>
      <w:proofErr w:type="spellEnd"/>
      <w:r>
        <w:rPr>
          <w:b/>
          <w:sz w:val="28"/>
          <w:szCs w:val="28"/>
        </w:rPr>
        <w:t>, Attorney</w:t>
      </w:r>
    </w:p>
    <w:p w:rsidR="009461A8" w:rsidRDefault="009461A8" w:rsidP="009461A8">
      <w:pPr>
        <w:spacing w:line="360" w:lineRule="auto"/>
        <w:rPr>
          <w:b/>
          <w:sz w:val="28"/>
          <w:szCs w:val="28"/>
        </w:rPr>
      </w:pPr>
    </w:p>
    <w:p w:rsidR="009461A8" w:rsidRDefault="009461A8" w:rsidP="009461A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MUSARIRI, G:</w:t>
      </w:r>
    </w:p>
    <w:p w:rsidR="009461A8" w:rsidRDefault="009461A8" w:rsidP="009461A8">
      <w:pPr>
        <w:spacing w:line="360" w:lineRule="auto"/>
        <w:rPr>
          <w:b/>
          <w:sz w:val="28"/>
          <w:szCs w:val="28"/>
        </w:rPr>
      </w:pPr>
    </w:p>
    <w:p w:rsidR="009461A8" w:rsidRDefault="009461A8" w:rsidP="009461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On 31</w:t>
      </w:r>
      <w:r w:rsidRPr="009461A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October 2012 this Court made an order the relevant portion of which read,</w:t>
      </w:r>
    </w:p>
    <w:p w:rsidR="009461A8" w:rsidRDefault="009461A8" w:rsidP="00377058">
      <w:pPr>
        <w:spacing w:line="360" w:lineRule="auto"/>
        <w:ind w:left="1440" w:hanging="720"/>
        <w:rPr>
          <w:i/>
          <w:sz w:val="28"/>
          <w:szCs w:val="28"/>
        </w:rPr>
      </w:pPr>
      <w:r>
        <w:rPr>
          <w:i/>
          <w:sz w:val="28"/>
          <w:szCs w:val="28"/>
        </w:rPr>
        <w:t>“1.</w:t>
      </w:r>
      <w:r>
        <w:rPr>
          <w:i/>
          <w:sz w:val="28"/>
          <w:szCs w:val="28"/>
        </w:rPr>
        <w:tab/>
      </w:r>
      <w:r w:rsidR="00DA5569">
        <w:rPr>
          <w:i/>
          <w:sz w:val="28"/>
          <w:szCs w:val="28"/>
        </w:rPr>
        <w:t>The</w:t>
      </w:r>
      <w:r w:rsidR="00377058">
        <w:rPr>
          <w:i/>
          <w:sz w:val="28"/>
          <w:szCs w:val="28"/>
        </w:rPr>
        <w:t xml:space="preserve"> Respondent being barred in terms of Rule 19 for not filing Heads Of Argument, the appeal be and is hereby granted and arbitral award of the Respondent by H.R. </w:t>
      </w:r>
      <w:proofErr w:type="spellStart"/>
      <w:r w:rsidR="00377058">
        <w:rPr>
          <w:i/>
          <w:sz w:val="28"/>
          <w:szCs w:val="28"/>
        </w:rPr>
        <w:t>Matsikidze</w:t>
      </w:r>
      <w:proofErr w:type="spellEnd"/>
      <w:r w:rsidR="00377058">
        <w:rPr>
          <w:i/>
          <w:sz w:val="28"/>
          <w:szCs w:val="28"/>
        </w:rPr>
        <w:t xml:space="preserve"> dated 27 January 2012 is hereby set aside.”</w:t>
      </w:r>
    </w:p>
    <w:p w:rsidR="00377058" w:rsidRDefault="00377058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Applicant then filed this application for rescission of the order.  Respondent opposed the application.</w:t>
      </w:r>
    </w:p>
    <w:p w:rsidR="00377058" w:rsidRDefault="00377058" w:rsidP="00377058">
      <w:pPr>
        <w:spacing w:line="360" w:lineRule="auto"/>
        <w:rPr>
          <w:sz w:val="28"/>
          <w:szCs w:val="28"/>
          <w:u w:val="single"/>
        </w:rPr>
      </w:pPr>
    </w:p>
    <w:p w:rsidR="00377058" w:rsidRDefault="00377058" w:rsidP="00377058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Default 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Appellant’s case was as follows.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On 27</w:t>
      </w:r>
      <w:r w:rsidRPr="00BD4A5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2012 the Honourable R </w:t>
      </w:r>
      <w:proofErr w:type="spellStart"/>
      <w:r>
        <w:rPr>
          <w:sz w:val="28"/>
          <w:szCs w:val="28"/>
        </w:rPr>
        <w:t>Matsikidze</w:t>
      </w:r>
      <w:proofErr w:type="spellEnd"/>
      <w:r>
        <w:rPr>
          <w:sz w:val="28"/>
          <w:szCs w:val="28"/>
        </w:rPr>
        <w:t xml:space="preserve"> made an arbitration award.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terms thereof the arbitrator ordered Respondent to pay Applicant an amount of US$19 646.00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February 2012 Applicant received Respondent’s Notice of Appeal against the award.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same month he instructed his attor</w:t>
      </w:r>
      <w:r w:rsidR="00C22696">
        <w:rPr>
          <w:sz w:val="28"/>
          <w:szCs w:val="28"/>
        </w:rPr>
        <w:t xml:space="preserve">ney Mr M </w:t>
      </w:r>
      <w:proofErr w:type="spellStart"/>
      <w:r w:rsidR="00C22696">
        <w:rPr>
          <w:sz w:val="28"/>
          <w:szCs w:val="28"/>
        </w:rPr>
        <w:t>Mandevere</w:t>
      </w:r>
      <w:proofErr w:type="spellEnd"/>
      <w:r w:rsidR="00C22696">
        <w:rPr>
          <w:sz w:val="28"/>
          <w:szCs w:val="28"/>
        </w:rPr>
        <w:t xml:space="preserve"> of the law fi</w:t>
      </w:r>
      <w:r>
        <w:rPr>
          <w:sz w:val="28"/>
          <w:szCs w:val="28"/>
        </w:rPr>
        <w:t xml:space="preserve">rm </w:t>
      </w:r>
      <w:proofErr w:type="spellStart"/>
      <w:r>
        <w:rPr>
          <w:sz w:val="28"/>
          <w:szCs w:val="28"/>
        </w:rPr>
        <w:t>Mbidzo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Muchadehama</w:t>
      </w:r>
      <w:proofErr w:type="spellEnd"/>
      <w:r>
        <w:rPr>
          <w:sz w:val="28"/>
          <w:szCs w:val="28"/>
        </w:rPr>
        <w:t xml:space="preserve"> &amp; </w:t>
      </w:r>
      <w:proofErr w:type="spellStart"/>
      <w:r>
        <w:rPr>
          <w:sz w:val="28"/>
          <w:szCs w:val="28"/>
        </w:rPr>
        <w:t>Makoni</w:t>
      </w:r>
      <w:proofErr w:type="spellEnd"/>
      <w:r>
        <w:rPr>
          <w:sz w:val="28"/>
          <w:szCs w:val="28"/>
        </w:rPr>
        <w:t xml:space="preserve"> to oppose the appeal.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attorney did nothing until he left the firm in September 2012.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appeal was set down for hearing.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On 30</w:t>
      </w:r>
      <w:r w:rsidRPr="00BD4A5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</w:t>
      </w:r>
      <w:r w:rsidR="00C22696">
        <w:rPr>
          <w:sz w:val="28"/>
          <w:szCs w:val="28"/>
        </w:rPr>
        <w:t>012 his attorneys filed a bela</w:t>
      </w:r>
      <w:r>
        <w:rPr>
          <w:sz w:val="28"/>
          <w:szCs w:val="28"/>
        </w:rPr>
        <w:t>ted Response to the appeal.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8.</w:t>
      </w:r>
    </w:p>
    <w:p w:rsidR="00BD4A5A" w:rsidRDefault="00C22696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On </w:t>
      </w:r>
      <w:proofErr w:type="gramStart"/>
      <w:r>
        <w:rPr>
          <w:sz w:val="28"/>
          <w:szCs w:val="28"/>
        </w:rPr>
        <w:t>31</w:t>
      </w:r>
      <w:r w:rsidRPr="00C2269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BD4A5A">
        <w:rPr>
          <w:sz w:val="28"/>
          <w:szCs w:val="28"/>
        </w:rPr>
        <w:t xml:space="preserve"> October</w:t>
      </w:r>
      <w:proofErr w:type="gramEnd"/>
      <w:r w:rsidR="00BD4A5A">
        <w:rPr>
          <w:sz w:val="28"/>
          <w:szCs w:val="28"/>
        </w:rPr>
        <w:t xml:space="preserve"> 2012 the court made the aforesaid order which Applicant seeks to have rescinded.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short Applicant blames his attorneys for failure to file the requisite papers to put his case before the Court.</w:t>
      </w:r>
    </w:p>
    <w:p w:rsidR="00BD4A5A" w:rsidRDefault="00BD4A5A" w:rsidP="00377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Respondent</w:t>
      </w:r>
      <w:r w:rsidR="00C22696">
        <w:rPr>
          <w:sz w:val="28"/>
          <w:szCs w:val="28"/>
        </w:rPr>
        <w:t>, through</w:t>
      </w:r>
      <w:r>
        <w:rPr>
          <w:sz w:val="28"/>
          <w:szCs w:val="28"/>
        </w:rPr>
        <w:t xml:space="preserve"> his attorney’s Heads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Argument</w:t>
      </w:r>
      <w:r w:rsidR="00C22696">
        <w:rPr>
          <w:sz w:val="28"/>
          <w:szCs w:val="28"/>
        </w:rPr>
        <w:t>,</w:t>
      </w:r>
      <w:r>
        <w:rPr>
          <w:sz w:val="28"/>
          <w:szCs w:val="28"/>
        </w:rPr>
        <w:t xml:space="preserve"> made the following point,</w:t>
      </w:r>
    </w:p>
    <w:p w:rsidR="00BD4A5A" w:rsidRDefault="001462C0" w:rsidP="001462C0">
      <w:pPr>
        <w:spacing w:line="360" w:lineRule="auto"/>
        <w:ind w:left="1440" w:hanging="720"/>
        <w:rPr>
          <w:i/>
          <w:sz w:val="28"/>
          <w:szCs w:val="28"/>
        </w:rPr>
      </w:pPr>
      <w:r>
        <w:rPr>
          <w:i/>
          <w:sz w:val="28"/>
          <w:szCs w:val="28"/>
        </w:rPr>
        <w:t>“9.</w:t>
      </w:r>
      <w:r>
        <w:rPr>
          <w:i/>
          <w:sz w:val="28"/>
          <w:szCs w:val="28"/>
        </w:rPr>
        <w:tab/>
        <w:t>It is now settled in our jurisdiction that litigants cannot lightly escape the conduct of their legal practitioners who are their agents in such matters.  If the legal</w:t>
      </w:r>
      <w:r w:rsidR="00FA6785">
        <w:rPr>
          <w:i/>
          <w:sz w:val="28"/>
          <w:szCs w:val="28"/>
        </w:rPr>
        <w:t xml:space="preserve"> practitioner exhibits tardiness and lack of due diligence in the pursuit of a client’s affairs, this will no doubt be visited on the client.  Cases are galore on this point.”</w:t>
      </w:r>
    </w:p>
    <w:p w:rsidR="00FA6785" w:rsidRDefault="00C22696" w:rsidP="00FA67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submission is well-</w:t>
      </w:r>
      <w:r w:rsidR="00FA6785">
        <w:rPr>
          <w:sz w:val="28"/>
          <w:szCs w:val="28"/>
        </w:rPr>
        <w:t xml:space="preserve">made considering the inordinate delays in this matter.  Applicant’s attorneys virtually sat on the matter for close on 8 months.  They only scrambled to action on the eve of the date of hearing.  They filed a belated Respondent to the appeal.  In addition they were required to file Heads </w:t>
      </w:r>
      <w:proofErr w:type="gramStart"/>
      <w:r w:rsidR="00FA6785">
        <w:rPr>
          <w:sz w:val="28"/>
          <w:szCs w:val="28"/>
        </w:rPr>
        <w:t>Of</w:t>
      </w:r>
      <w:proofErr w:type="gramEnd"/>
      <w:r w:rsidR="00FA6785">
        <w:rPr>
          <w:sz w:val="28"/>
          <w:szCs w:val="28"/>
        </w:rPr>
        <w:t xml:space="preserve"> Argument.  They did not do so.  Hence this Court barred them for failure to file the Heads.</w:t>
      </w:r>
    </w:p>
    <w:p w:rsidR="00C22696" w:rsidRDefault="00C22696" w:rsidP="00FA6785">
      <w:pPr>
        <w:spacing w:line="360" w:lineRule="auto"/>
        <w:rPr>
          <w:sz w:val="28"/>
          <w:szCs w:val="28"/>
          <w:u w:val="single"/>
        </w:rPr>
      </w:pPr>
    </w:p>
    <w:p w:rsidR="00C22696" w:rsidRDefault="00C22696" w:rsidP="00FA6785">
      <w:pPr>
        <w:spacing w:line="360" w:lineRule="auto"/>
        <w:rPr>
          <w:sz w:val="28"/>
          <w:szCs w:val="28"/>
          <w:u w:val="single"/>
        </w:rPr>
      </w:pPr>
    </w:p>
    <w:p w:rsidR="00C22696" w:rsidRDefault="00C22696" w:rsidP="00FA6785">
      <w:pPr>
        <w:spacing w:line="360" w:lineRule="auto"/>
        <w:rPr>
          <w:sz w:val="28"/>
          <w:szCs w:val="28"/>
          <w:u w:val="single"/>
        </w:rPr>
      </w:pPr>
    </w:p>
    <w:p w:rsidR="00C22696" w:rsidRDefault="00C22696" w:rsidP="00FA6785">
      <w:pPr>
        <w:spacing w:line="360" w:lineRule="auto"/>
        <w:rPr>
          <w:sz w:val="28"/>
          <w:szCs w:val="28"/>
          <w:u w:val="single"/>
        </w:rPr>
      </w:pPr>
    </w:p>
    <w:p w:rsidR="00C22696" w:rsidRDefault="00C22696" w:rsidP="00FA6785">
      <w:pPr>
        <w:spacing w:line="360" w:lineRule="auto"/>
        <w:rPr>
          <w:sz w:val="28"/>
          <w:szCs w:val="28"/>
          <w:u w:val="single"/>
        </w:rPr>
      </w:pPr>
    </w:p>
    <w:p w:rsidR="00FA6785" w:rsidRDefault="00FA6785" w:rsidP="00FA6785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Merits</w:t>
      </w:r>
    </w:p>
    <w:p w:rsidR="00FA6785" w:rsidRDefault="00FA6785" w:rsidP="00FA67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arbitration award made in favour of Applicant is in respect of outstanding salaries and benefits.  Applicant’s claim was calculated thus,</w:t>
      </w:r>
    </w:p>
    <w:p w:rsidR="00FA6785" w:rsidRDefault="00FA6785" w:rsidP="002970F1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Salaries  and</w:t>
      </w:r>
      <w:proofErr w:type="gramEnd"/>
      <w:r>
        <w:rPr>
          <w:sz w:val="28"/>
          <w:szCs w:val="28"/>
        </w:rPr>
        <w:t xml:space="preserve"> benefits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22 846.00</w:t>
      </w:r>
    </w:p>
    <w:p w:rsidR="00FA6785" w:rsidRDefault="00FA6785" w:rsidP="002970F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Deductions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3 200.00</w:t>
      </w:r>
    </w:p>
    <w:p w:rsidR="00FA6785" w:rsidRPr="001B1BF1" w:rsidRDefault="00FA6785" w:rsidP="002970F1">
      <w:pPr>
        <w:spacing w:after="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Balance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70F1">
        <w:rPr>
          <w:sz w:val="28"/>
          <w:szCs w:val="28"/>
        </w:rPr>
        <w:t xml:space="preserve"> </w:t>
      </w:r>
      <w:r w:rsidRPr="001B1BF1">
        <w:rPr>
          <w:sz w:val="28"/>
          <w:szCs w:val="28"/>
          <w:u w:val="single"/>
        </w:rPr>
        <w:t>USD$19 646.00</w:t>
      </w:r>
    </w:p>
    <w:p w:rsidR="002970F1" w:rsidRDefault="002970F1" w:rsidP="002970F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Respondent dealt with this aspect on a cursory basis.  In oral submissions Respondent submitted that Applicant’s claim wa</w:t>
      </w:r>
      <w:r w:rsidR="00C22696">
        <w:rPr>
          <w:sz w:val="28"/>
          <w:szCs w:val="28"/>
        </w:rPr>
        <w:t>s inflated.  The claim</w:t>
      </w:r>
      <w:r>
        <w:rPr>
          <w:sz w:val="28"/>
          <w:szCs w:val="28"/>
        </w:rPr>
        <w:t xml:space="preserve"> did not take into account deductions for income tax or NSSA contributions.  </w:t>
      </w:r>
      <w:proofErr w:type="gramStart"/>
      <w:r w:rsidR="00C22696">
        <w:rPr>
          <w:sz w:val="28"/>
          <w:szCs w:val="28"/>
        </w:rPr>
        <w:t>However Respondent</w:t>
      </w:r>
      <w:r>
        <w:rPr>
          <w:sz w:val="28"/>
          <w:szCs w:val="28"/>
        </w:rPr>
        <w:t xml:space="preserve"> admitted liability in the sum of </w:t>
      </w:r>
      <w:r w:rsidRPr="002970F1">
        <w:rPr>
          <w:sz w:val="28"/>
          <w:szCs w:val="28"/>
          <w:u w:val="single"/>
        </w:rPr>
        <w:t>USD$3 127.48</w:t>
      </w:r>
      <w:r w:rsidR="00C22696">
        <w:rPr>
          <w:sz w:val="28"/>
          <w:szCs w:val="28"/>
          <w:u w:val="single"/>
        </w:rPr>
        <w:t xml:space="preserve"> </w:t>
      </w:r>
      <w:r w:rsidR="00C22696" w:rsidRPr="00C22696">
        <w:rPr>
          <w:sz w:val="28"/>
          <w:szCs w:val="28"/>
        </w:rPr>
        <w:t>only</w:t>
      </w:r>
      <w:r w:rsidR="00C22696">
        <w:rPr>
          <w:sz w:val="28"/>
          <w:szCs w:val="28"/>
        </w:rPr>
        <w:t>.</w:t>
      </w:r>
      <w:proofErr w:type="gramEnd"/>
      <w:r w:rsidR="00C22696">
        <w:rPr>
          <w:sz w:val="28"/>
          <w:szCs w:val="28"/>
        </w:rPr>
        <w:t xml:space="preserve">  No calculation</w:t>
      </w:r>
    </w:p>
    <w:p w:rsidR="00C22696" w:rsidRDefault="002970F1" w:rsidP="002970F1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was</w:t>
      </w:r>
      <w:proofErr w:type="gramEnd"/>
      <w:r>
        <w:rPr>
          <w:sz w:val="28"/>
          <w:szCs w:val="28"/>
        </w:rPr>
        <w:t xml:space="preserve"> availed to show how the balance</w:t>
      </w:r>
      <w:r w:rsidR="00C22696">
        <w:rPr>
          <w:sz w:val="28"/>
          <w:szCs w:val="28"/>
        </w:rPr>
        <w:t xml:space="preserve"> conceded</w:t>
      </w:r>
      <w:r>
        <w:rPr>
          <w:sz w:val="28"/>
          <w:szCs w:val="28"/>
        </w:rPr>
        <w:t xml:space="preserve"> came about.  </w:t>
      </w:r>
    </w:p>
    <w:p w:rsidR="00C22696" w:rsidRDefault="00C22696" w:rsidP="002970F1">
      <w:pPr>
        <w:spacing w:after="0" w:line="360" w:lineRule="auto"/>
        <w:rPr>
          <w:sz w:val="28"/>
          <w:szCs w:val="28"/>
        </w:rPr>
      </w:pPr>
    </w:p>
    <w:p w:rsidR="002970F1" w:rsidRDefault="002970F1" w:rsidP="002970F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In these circumstances I am persuaded to find that the merits favour Applicant.  Respondent admit owing him.  Yet they happily urged this Court to set aside the entire award.  They should have shown their </w:t>
      </w:r>
      <w:r>
        <w:rPr>
          <w:sz w:val="28"/>
          <w:szCs w:val="28"/>
          <w:u w:val="single"/>
        </w:rPr>
        <w:t>bona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fides</w:t>
      </w:r>
      <w:r w:rsidR="00C22696">
        <w:rPr>
          <w:sz w:val="28"/>
          <w:szCs w:val="28"/>
        </w:rPr>
        <w:t xml:space="preserve"> by at least saving that</w:t>
      </w:r>
      <w:r>
        <w:rPr>
          <w:sz w:val="28"/>
          <w:szCs w:val="28"/>
        </w:rPr>
        <w:t xml:space="preserve"> portion of the award which they conceded.  In any eve</w:t>
      </w:r>
      <w:r w:rsidR="00662AF8">
        <w:rPr>
          <w:sz w:val="28"/>
          <w:szCs w:val="28"/>
        </w:rPr>
        <w:t>nt I am not convinced that such</w:t>
      </w:r>
      <w:r>
        <w:rPr>
          <w:sz w:val="28"/>
          <w:szCs w:val="28"/>
        </w:rPr>
        <w:t xml:space="preserve"> deductions as may be</w:t>
      </w:r>
      <w:r w:rsidR="00962F19">
        <w:rPr>
          <w:sz w:val="28"/>
          <w:szCs w:val="28"/>
        </w:rPr>
        <w:t xml:space="preserve"> due</w:t>
      </w:r>
      <w:r w:rsidR="001B1BF1">
        <w:rPr>
          <w:sz w:val="28"/>
          <w:szCs w:val="28"/>
        </w:rPr>
        <w:t xml:space="preserve"> for taxes and charges</w:t>
      </w:r>
      <w:r w:rsidR="00962F19">
        <w:rPr>
          <w:sz w:val="28"/>
          <w:szCs w:val="28"/>
        </w:rPr>
        <w:t xml:space="preserve"> would reduce outstanding salaries by more than 80%.</w:t>
      </w:r>
      <w:r w:rsidR="001B1BF1">
        <w:rPr>
          <w:sz w:val="28"/>
          <w:szCs w:val="28"/>
        </w:rPr>
        <w:t xml:space="preserve">  There was no basis for setting aside the arbitration award in its entirety.</w:t>
      </w:r>
    </w:p>
    <w:p w:rsidR="001B1BF1" w:rsidRDefault="001B1BF1" w:rsidP="002970F1">
      <w:pPr>
        <w:spacing w:after="0" w:line="360" w:lineRule="auto"/>
        <w:rPr>
          <w:sz w:val="28"/>
          <w:szCs w:val="28"/>
          <w:u w:val="single"/>
        </w:rPr>
      </w:pPr>
    </w:p>
    <w:p w:rsidR="001B1BF1" w:rsidRDefault="001B1BF1" w:rsidP="002970F1">
      <w:pPr>
        <w:spacing w:after="0" w:line="360" w:lineRule="auto"/>
        <w:rPr>
          <w:sz w:val="28"/>
          <w:szCs w:val="28"/>
          <w:u w:val="single"/>
        </w:rPr>
      </w:pPr>
    </w:p>
    <w:p w:rsidR="001B1BF1" w:rsidRDefault="001B1BF1" w:rsidP="002970F1">
      <w:pPr>
        <w:spacing w:after="0" w:line="360" w:lineRule="auto"/>
        <w:rPr>
          <w:sz w:val="28"/>
          <w:szCs w:val="28"/>
          <w:u w:val="single"/>
        </w:rPr>
      </w:pPr>
    </w:p>
    <w:p w:rsidR="001B1BF1" w:rsidRDefault="001B1BF1" w:rsidP="002970F1">
      <w:pPr>
        <w:spacing w:after="0" w:line="360" w:lineRule="auto"/>
        <w:rPr>
          <w:sz w:val="28"/>
          <w:szCs w:val="28"/>
          <w:u w:val="single"/>
        </w:rPr>
      </w:pPr>
    </w:p>
    <w:p w:rsidR="001B1BF1" w:rsidRDefault="001B1BF1" w:rsidP="002970F1">
      <w:pPr>
        <w:spacing w:after="0" w:line="360" w:lineRule="auto"/>
        <w:rPr>
          <w:sz w:val="28"/>
          <w:szCs w:val="28"/>
          <w:u w:val="single"/>
        </w:rPr>
      </w:pPr>
    </w:p>
    <w:p w:rsidR="00662AF8" w:rsidRDefault="00662AF8" w:rsidP="002970F1">
      <w:pPr>
        <w:spacing w:after="0" w:line="360" w:lineRule="auto"/>
        <w:rPr>
          <w:sz w:val="28"/>
          <w:szCs w:val="28"/>
          <w:u w:val="single"/>
        </w:rPr>
      </w:pPr>
    </w:p>
    <w:p w:rsidR="00C22696" w:rsidRPr="00C22696" w:rsidRDefault="00C22696" w:rsidP="002970F1">
      <w:pPr>
        <w:spacing w:after="0" w:line="360" w:lineRule="auto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Conclusion</w:t>
      </w:r>
    </w:p>
    <w:p w:rsidR="00C22696" w:rsidRDefault="00962F19" w:rsidP="002970F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Gross negligence was exhibited in the conduct of Applicant’s case.  However I take note of</w:t>
      </w:r>
      <w:r w:rsidR="00C22696">
        <w:rPr>
          <w:sz w:val="28"/>
          <w:szCs w:val="28"/>
        </w:rPr>
        <w:t xml:space="preserve"> the fact that it was the doing of </w:t>
      </w:r>
      <w:r>
        <w:rPr>
          <w:sz w:val="28"/>
          <w:szCs w:val="28"/>
        </w:rPr>
        <w:t xml:space="preserve">his attorney rather than Applicant.  Ordinarily such tardiness should be visited upon a client by reason of </w:t>
      </w:r>
    </w:p>
    <w:p w:rsidR="00962F19" w:rsidRDefault="00962F19" w:rsidP="002970F1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rules of agency.  </w:t>
      </w:r>
      <w:r w:rsidR="00662AF8">
        <w:rPr>
          <w:sz w:val="28"/>
          <w:szCs w:val="28"/>
        </w:rPr>
        <w:t>However he has a good case on the merits.  On balance I find that good cause has been shown for rescission.</w:t>
      </w:r>
    </w:p>
    <w:p w:rsidR="00662AF8" w:rsidRDefault="00662AF8" w:rsidP="002970F1">
      <w:pPr>
        <w:spacing w:after="0" w:line="360" w:lineRule="auto"/>
        <w:rPr>
          <w:sz w:val="28"/>
          <w:szCs w:val="28"/>
        </w:rPr>
      </w:pPr>
    </w:p>
    <w:p w:rsidR="00962F19" w:rsidRDefault="00962F19" w:rsidP="002970F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Wherefore it is ordered that,</w:t>
      </w:r>
    </w:p>
    <w:p w:rsidR="00962F19" w:rsidRDefault="00962F19" w:rsidP="002970F1">
      <w:pPr>
        <w:spacing w:after="0" w:line="360" w:lineRule="auto"/>
        <w:rPr>
          <w:sz w:val="28"/>
          <w:szCs w:val="28"/>
        </w:rPr>
      </w:pPr>
    </w:p>
    <w:p w:rsidR="00962F19" w:rsidRDefault="00962F19" w:rsidP="00962F19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The order made by this Court on 31</w:t>
      </w:r>
      <w:r w:rsidRPr="00962F1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October 2012 be and is hereby rescinded;</w:t>
      </w:r>
    </w:p>
    <w:p w:rsidR="00962F19" w:rsidRDefault="00962F19" w:rsidP="00962F19">
      <w:pPr>
        <w:pStyle w:val="ListParagraph"/>
        <w:spacing w:after="0" w:line="360" w:lineRule="auto"/>
        <w:rPr>
          <w:sz w:val="28"/>
          <w:szCs w:val="28"/>
        </w:rPr>
      </w:pPr>
    </w:p>
    <w:p w:rsidR="00962F19" w:rsidRDefault="00962F19" w:rsidP="00962F19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Applicant shall file his </w:t>
      </w:r>
      <w:r w:rsidR="00C22696">
        <w:rPr>
          <w:sz w:val="28"/>
          <w:szCs w:val="28"/>
        </w:rPr>
        <w:t>Heads Of Argument with fifteen (</w:t>
      </w:r>
      <w:r>
        <w:rPr>
          <w:sz w:val="28"/>
          <w:szCs w:val="28"/>
        </w:rPr>
        <w:t>15) days of this order; and</w:t>
      </w:r>
    </w:p>
    <w:p w:rsidR="00962F19" w:rsidRPr="00962F19" w:rsidRDefault="00962F19" w:rsidP="00962F19">
      <w:pPr>
        <w:spacing w:after="0" w:line="360" w:lineRule="auto"/>
        <w:rPr>
          <w:sz w:val="28"/>
          <w:szCs w:val="28"/>
        </w:rPr>
      </w:pPr>
    </w:p>
    <w:p w:rsidR="00962F19" w:rsidRDefault="00962F19" w:rsidP="00962F19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Each party shall bear its own costs.</w:t>
      </w:r>
    </w:p>
    <w:p w:rsidR="00962F19" w:rsidRPr="00962F19" w:rsidRDefault="00962F19" w:rsidP="00962F19">
      <w:pPr>
        <w:spacing w:after="0" w:line="360" w:lineRule="auto"/>
        <w:rPr>
          <w:sz w:val="28"/>
          <w:szCs w:val="28"/>
        </w:rPr>
      </w:pPr>
    </w:p>
    <w:p w:rsidR="00BD4A5A" w:rsidRPr="00BD4A5A" w:rsidRDefault="00BD4A5A" w:rsidP="002970F1">
      <w:pPr>
        <w:spacing w:after="0" w:line="360" w:lineRule="auto"/>
        <w:rPr>
          <w:sz w:val="28"/>
          <w:szCs w:val="28"/>
        </w:rPr>
      </w:pPr>
    </w:p>
    <w:p w:rsidR="009461A8" w:rsidRPr="009461A8" w:rsidRDefault="009461A8" w:rsidP="002970F1">
      <w:pPr>
        <w:spacing w:after="0" w:line="360" w:lineRule="auto"/>
        <w:rPr>
          <w:b/>
          <w:sz w:val="28"/>
          <w:szCs w:val="28"/>
        </w:rPr>
      </w:pPr>
    </w:p>
    <w:p w:rsidR="009461A8" w:rsidRDefault="009461A8" w:rsidP="002970F1">
      <w:pPr>
        <w:spacing w:after="0" w:line="360" w:lineRule="auto"/>
        <w:rPr>
          <w:b/>
          <w:sz w:val="28"/>
          <w:szCs w:val="28"/>
        </w:rPr>
      </w:pPr>
    </w:p>
    <w:p w:rsidR="00962F19" w:rsidRDefault="00962F19" w:rsidP="002970F1">
      <w:pPr>
        <w:spacing w:after="0" w:line="360" w:lineRule="auto"/>
        <w:rPr>
          <w:b/>
          <w:sz w:val="28"/>
          <w:szCs w:val="28"/>
        </w:rPr>
      </w:pPr>
    </w:p>
    <w:p w:rsidR="00962F19" w:rsidRPr="00962F19" w:rsidRDefault="00962F19" w:rsidP="002970F1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62F19">
        <w:rPr>
          <w:b/>
          <w:sz w:val="28"/>
          <w:szCs w:val="28"/>
        </w:rPr>
        <w:t>G. MUSARIRI</w:t>
      </w:r>
    </w:p>
    <w:p w:rsidR="00962F19" w:rsidRPr="00962F19" w:rsidRDefault="00962F19" w:rsidP="002970F1">
      <w:pPr>
        <w:spacing w:after="0" w:line="360" w:lineRule="auto"/>
        <w:rPr>
          <w:b/>
          <w:sz w:val="28"/>
          <w:szCs w:val="28"/>
          <w:u w:val="single"/>
        </w:rPr>
      </w:pPr>
      <w:r w:rsidRPr="00962F19">
        <w:rPr>
          <w:b/>
          <w:sz w:val="28"/>
          <w:szCs w:val="28"/>
        </w:rPr>
        <w:tab/>
      </w:r>
      <w:r w:rsidRPr="00962F19">
        <w:rPr>
          <w:b/>
          <w:sz w:val="28"/>
          <w:szCs w:val="28"/>
        </w:rPr>
        <w:tab/>
      </w:r>
      <w:r w:rsidRPr="00962F19">
        <w:rPr>
          <w:b/>
          <w:sz w:val="28"/>
          <w:szCs w:val="28"/>
        </w:rPr>
        <w:tab/>
      </w:r>
      <w:r w:rsidRPr="00962F19">
        <w:rPr>
          <w:b/>
          <w:sz w:val="28"/>
          <w:szCs w:val="28"/>
        </w:rPr>
        <w:tab/>
      </w:r>
      <w:r w:rsidRPr="00962F19">
        <w:rPr>
          <w:b/>
          <w:sz w:val="28"/>
          <w:szCs w:val="28"/>
        </w:rPr>
        <w:tab/>
      </w:r>
      <w:r w:rsidRPr="00962F19">
        <w:rPr>
          <w:b/>
          <w:sz w:val="28"/>
          <w:szCs w:val="28"/>
        </w:rPr>
        <w:tab/>
      </w:r>
      <w:r w:rsidRPr="00962F19">
        <w:rPr>
          <w:b/>
          <w:sz w:val="28"/>
          <w:szCs w:val="28"/>
          <w:u w:val="single"/>
        </w:rPr>
        <w:t>PRESIDENT</w:t>
      </w:r>
    </w:p>
    <w:sectPr w:rsidR="00962F19" w:rsidRPr="00962F19" w:rsidSect="00377058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595" w:rsidRDefault="00AB3595" w:rsidP="00377058">
      <w:pPr>
        <w:spacing w:after="0" w:line="240" w:lineRule="auto"/>
      </w:pPr>
      <w:r>
        <w:separator/>
      </w:r>
    </w:p>
  </w:endnote>
  <w:endnote w:type="continuationSeparator" w:id="0">
    <w:p w:rsidR="00AB3595" w:rsidRDefault="00AB3595" w:rsidP="0037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900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70F1" w:rsidRDefault="002970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AF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970F1" w:rsidRDefault="002970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595" w:rsidRDefault="00AB3595" w:rsidP="00377058">
      <w:pPr>
        <w:spacing w:after="0" w:line="240" w:lineRule="auto"/>
      </w:pPr>
      <w:r>
        <w:separator/>
      </w:r>
    </w:p>
  </w:footnote>
  <w:footnote w:type="continuationSeparator" w:id="0">
    <w:p w:rsidR="00AB3595" w:rsidRDefault="00AB3595" w:rsidP="00377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F1" w:rsidRDefault="002970F1">
    <w:pPr>
      <w:pStyle w:val="Header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  <w:t>JUDGMENT NO LC/H/196/13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D0F7F"/>
    <w:multiLevelType w:val="hybridMultilevel"/>
    <w:tmpl w:val="E5CA002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A8"/>
    <w:rsid w:val="001462C0"/>
    <w:rsid w:val="001B1BF1"/>
    <w:rsid w:val="002970F1"/>
    <w:rsid w:val="00377058"/>
    <w:rsid w:val="004E6E20"/>
    <w:rsid w:val="00662AF8"/>
    <w:rsid w:val="007B0483"/>
    <w:rsid w:val="0090541A"/>
    <w:rsid w:val="00931378"/>
    <w:rsid w:val="009461A8"/>
    <w:rsid w:val="00962F19"/>
    <w:rsid w:val="00A50D2C"/>
    <w:rsid w:val="00AB3595"/>
    <w:rsid w:val="00AB49FF"/>
    <w:rsid w:val="00BD4A5A"/>
    <w:rsid w:val="00C22696"/>
    <w:rsid w:val="00CD75DE"/>
    <w:rsid w:val="00DA5569"/>
    <w:rsid w:val="00FA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58"/>
  </w:style>
  <w:style w:type="paragraph" w:styleId="Footer">
    <w:name w:val="footer"/>
    <w:basedOn w:val="Normal"/>
    <w:link w:val="FooterChar"/>
    <w:uiPriority w:val="99"/>
    <w:unhideWhenUsed/>
    <w:rsid w:val="00377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58"/>
  </w:style>
  <w:style w:type="paragraph" w:styleId="ListParagraph">
    <w:name w:val="List Paragraph"/>
    <w:basedOn w:val="Normal"/>
    <w:uiPriority w:val="34"/>
    <w:qFormat/>
    <w:rsid w:val="00962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58"/>
  </w:style>
  <w:style w:type="paragraph" w:styleId="Footer">
    <w:name w:val="footer"/>
    <w:basedOn w:val="Normal"/>
    <w:link w:val="FooterChar"/>
    <w:uiPriority w:val="99"/>
    <w:unhideWhenUsed/>
    <w:rsid w:val="00377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58"/>
  </w:style>
  <w:style w:type="paragraph" w:styleId="ListParagraph">
    <w:name w:val="List Paragraph"/>
    <w:basedOn w:val="Normal"/>
    <w:uiPriority w:val="34"/>
    <w:qFormat/>
    <w:rsid w:val="0096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280CA-D845-462E-B8F4-3D0A90FE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7</cp:revision>
  <dcterms:created xsi:type="dcterms:W3CDTF">2013-05-28T12:12:00Z</dcterms:created>
  <dcterms:modified xsi:type="dcterms:W3CDTF">2013-05-30T10:02:00Z</dcterms:modified>
</cp:coreProperties>
</file>