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073280" w:rsidRDefault="00B57A32" w:rsidP="00073280">
      <w:pPr>
        <w:pStyle w:val="NoSpacing"/>
        <w:jc w:val="both"/>
        <w:rPr>
          <w:b/>
          <w:szCs w:val="24"/>
        </w:rPr>
      </w:pPr>
      <w:r w:rsidRPr="00073280">
        <w:rPr>
          <w:b/>
          <w:szCs w:val="24"/>
        </w:rPr>
        <w:t>PHUMULANI SIBANDA</w:t>
      </w:r>
    </w:p>
    <w:p w:rsidR="00B57A32" w:rsidRPr="00073280" w:rsidRDefault="00B57A32" w:rsidP="00073280">
      <w:pPr>
        <w:pStyle w:val="NoSpacing"/>
        <w:jc w:val="both"/>
        <w:rPr>
          <w:b/>
          <w:szCs w:val="24"/>
        </w:rPr>
      </w:pPr>
    </w:p>
    <w:p w:rsidR="00B57A32" w:rsidRPr="00073280" w:rsidRDefault="00B57A32" w:rsidP="00073280">
      <w:pPr>
        <w:pStyle w:val="NoSpacing"/>
        <w:jc w:val="both"/>
        <w:rPr>
          <w:b/>
          <w:szCs w:val="24"/>
        </w:rPr>
      </w:pPr>
      <w:r w:rsidRPr="00073280">
        <w:rPr>
          <w:b/>
          <w:szCs w:val="24"/>
        </w:rPr>
        <w:t>And</w:t>
      </w:r>
    </w:p>
    <w:p w:rsidR="00B57A32" w:rsidRPr="00073280" w:rsidRDefault="00B57A32" w:rsidP="00073280">
      <w:pPr>
        <w:pStyle w:val="NoSpacing"/>
        <w:jc w:val="both"/>
        <w:rPr>
          <w:b/>
          <w:szCs w:val="24"/>
        </w:rPr>
      </w:pPr>
    </w:p>
    <w:p w:rsidR="00B57A32" w:rsidRPr="00073280" w:rsidRDefault="00B57A32" w:rsidP="00073280">
      <w:pPr>
        <w:pStyle w:val="NoSpacing"/>
        <w:jc w:val="both"/>
        <w:rPr>
          <w:b/>
          <w:szCs w:val="24"/>
        </w:rPr>
      </w:pPr>
      <w:r w:rsidRPr="00073280">
        <w:rPr>
          <w:b/>
          <w:szCs w:val="24"/>
        </w:rPr>
        <w:t>CRISPEN NDLOVU</w:t>
      </w:r>
    </w:p>
    <w:p w:rsidR="00B57A32" w:rsidRPr="00073280" w:rsidRDefault="00B57A32" w:rsidP="00073280">
      <w:pPr>
        <w:pStyle w:val="NoSpacing"/>
        <w:jc w:val="both"/>
        <w:rPr>
          <w:b/>
          <w:szCs w:val="24"/>
        </w:rPr>
      </w:pPr>
    </w:p>
    <w:p w:rsidR="00B57A32" w:rsidRPr="00073280" w:rsidRDefault="00B57A32" w:rsidP="00073280">
      <w:pPr>
        <w:pStyle w:val="NoSpacing"/>
        <w:jc w:val="both"/>
        <w:rPr>
          <w:b/>
          <w:szCs w:val="24"/>
        </w:rPr>
      </w:pPr>
      <w:r w:rsidRPr="00073280">
        <w:rPr>
          <w:b/>
          <w:szCs w:val="24"/>
        </w:rPr>
        <w:t>And</w:t>
      </w:r>
    </w:p>
    <w:p w:rsidR="00B57A32" w:rsidRPr="00073280" w:rsidRDefault="00B57A32" w:rsidP="00073280">
      <w:pPr>
        <w:pStyle w:val="NoSpacing"/>
        <w:jc w:val="both"/>
        <w:rPr>
          <w:b/>
          <w:szCs w:val="24"/>
        </w:rPr>
      </w:pPr>
    </w:p>
    <w:p w:rsidR="00B57A32" w:rsidRPr="00073280" w:rsidRDefault="00B57A32" w:rsidP="00073280">
      <w:pPr>
        <w:pStyle w:val="NoSpacing"/>
        <w:jc w:val="both"/>
        <w:rPr>
          <w:b/>
          <w:szCs w:val="24"/>
        </w:rPr>
      </w:pPr>
      <w:r w:rsidRPr="00073280">
        <w:rPr>
          <w:b/>
          <w:szCs w:val="24"/>
        </w:rPr>
        <w:t>SUNDAY MOYO</w:t>
      </w:r>
    </w:p>
    <w:p w:rsidR="00B57A32" w:rsidRPr="00073280" w:rsidRDefault="00B57A32" w:rsidP="00073280">
      <w:pPr>
        <w:pStyle w:val="NoSpacing"/>
        <w:jc w:val="both"/>
        <w:rPr>
          <w:b/>
          <w:szCs w:val="24"/>
        </w:rPr>
      </w:pPr>
    </w:p>
    <w:p w:rsidR="00B57A32" w:rsidRPr="00073280" w:rsidRDefault="00B57A32" w:rsidP="00073280">
      <w:pPr>
        <w:pStyle w:val="NoSpacing"/>
        <w:jc w:val="both"/>
        <w:rPr>
          <w:b/>
          <w:szCs w:val="24"/>
        </w:rPr>
      </w:pPr>
      <w:r w:rsidRPr="00073280">
        <w:rPr>
          <w:b/>
          <w:szCs w:val="24"/>
        </w:rPr>
        <w:t>Versus</w:t>
      </w:r>
    </w:p>
    <w:p w:rsidR="00B57A32" w:rsidRPr="00073280" w:rsidRDefault="00B57A32" w:rsidP="00073280">
      <w:pPr>
        <w:pStyle w:val="NoSpacing"/>
        <w:jc w:val="both"/>
        <w:rPr>
          <w:b/>
          <w:szCs w:val="24"/>
        </w:rPr>
      </w:pPr>
    </w:p>
    <w:p w:rsidR="00B57A32" w:rsidRPr="00073280" w:rsidRDefault="00B57A32" w:rsidP="00073280">
      <w:pPr>
        <w:pStyle w:val="NoSpacing"/>
        <w:jc w:val="both"/>
        <w:rPr>
          <w:b/>
          <w:szCs w:val="24"/>
        </w:rPr>
      </w:pPr>
      <w:r w:rsidRPr="00073280">
        <w:rPr>
          <w:b/>
          <w:szCs w:val="24"/>
        </w:rPr>
        <w:t>THE STATE</w:t>
      </w:r>
    </w:p>
    <w:p w:rsidR="00B57A32" w:rsidRPr="00073280" w:rsidRDefault="00B57A32" w:rsidP="00073280">
      <w:pPr>
        <w:pStyle w:val="NoSpacing"/>
        <w:jc w:val="both"/>
        <w:rPr>
          <w:b/>
          <w:szCs w:val="24"/>
        </w:rPr>
      </w:pPr>
    </w:p>
    <w:p w:rsidR="00B57A32" w:rsidRPr="00073280" w:rsidRDefault="00B57A32" w:rsidP="00073280">
      <w:pPr>
        <w:pStyle w:val="NoSpacing"/>
        <w:jc w:val="both"/>
        <w:rPr>
          <w:szCs w:val="24"/>
        </w:rPr>
      </w:pPr>
      <w:r w:rsidRPr="00073280">
        <w:rPr>
          <w:szCs w:val="24"/>
        </w:rPr>
        <w:t>IN THE HIG</w:t>
      </w:r>
      <w:r w:rsidR="004A2EDF" w:rsidRPr="00073280">
        <w:rPr>
          <w:szCs w:val="24"/>
        </w:rPr>
        <w:t>H</w:t>
      </w:r>
      <w:r w:rsidRPr="00073280">
        <w:rPr>
          <w:szCs w:val="24"/>
        </w:rPr>
        <w:t xml:space="preserve"> COURT OF ZIMBABAWE</w:t>
      </w:r>
    </w:p>
    <w:p w:rsidR="00B57A32" w:rsidRPr="00073280" w:rsidRDefault="00B57A32" w:rsidP="00073280">
      <w:pPr>
        <w:pStyle w:val="NoSpacing"/>
        <w:jc w:val="both"/>
        <w:rPr>
          <w:szCs w:val="24"/>
        </w:rPr>
      </w:pPr>
      <w:r w:rsidRPr="00073280">
        <w:rPr>
          <w:szCs w:val="24"/>
        </w:rPr>
        <w:t>MAKONESE J</w:t>
      </w:r>
    </w:p>
    <w:p w:rsidR="00B57A32" w:rsidRPr="00073280" w:rsidRDefault="00B57A32" w:rsidP="00073280">
      <w:pPr>
        <w:pStyle w:val="NoSpacing"/>
        <w:jc w:val="both"/>
        <w:rPr>
          <w:szCs w:val="24"/>
        </w:rPr>
      </w:pPr>
      <w:r w:rsidRPr="00073280">
        <w:rPr>
          <w:szCs w:val="24"/>
        </w:rPr>
        <w:t>BULAWAYO 27 &amp; 30 MAY 2019</w:t>
      </w:r>
    </w:p>
    <w:p w:rsidR="00B57A32" w:rsidRPr="00073280" w:rsidRDefault="00B57A32" w:rsidP="00073280">
      <w:pPr>
        <w:pStyle w:val="NoSpacing"/>
        <w:jc w:val="both"/>
        <w:rPr>
          <w:b/>
          <w:szCs w:val="24"/>
        </w:rPr>
      </w:pPr>
    </w:p>
    <w:p w:rsidR="00B57A32" w:rsidRPr="00073280" w:rsidRDefault="00B57A32" w:rsidP="00073280">
      <w:pPr>
        <w:pStyle w:val="NoSpacing"/>
        <w:jc w:val="both"/>
        <w:rPr>
          <w:b/>
          <w:szCs w:val="24"/>
        </w:rPr>
      </w:pPr>
      <w:r w:rsidRPr="00073280">
        <w:rPr>
          <w:b/>
          <w:szCs w:val="24"/>
        </w:rPr>
        <w:t>Application for bail pending trial</w:t>
      </w:r>
    </w:p>
    <w:p w:rsidR="00B57A32" w:rsidRPr="00073280" w:rsidRDefault="00B57A32" w:rsidP="00073280">
      <w:pPr>
        <w:pStyle w:val="NoSpacing"/>
        <w:jc w:val="both"/>
        <w:rPr>
          <w:b/>
          <w:szCs w:val="24"/>
        </w:rPr>
      </w:pPr>
    </w:p>
    <w:p w:rsidR="00B57A32" w:rsidRPr="00073280" w:rsidRDefault="00B57A32" w:rsidP="00073280">
      <w:pPr>
        <w:pStyle w:val="NoSpacing"/>
        <w:jc w:val="both"/>
        <w:rPr>
          <w:szCs w:val="24"/>
        </w:rPr>
      </w:pPr>
      <w:r w:rsidRPr="00073280">
        <w:rPr>
          <w:i/>
          <w:szCs w:val="24"/>
        </w:rPr>
        <w:t xml:space="preserve">Ms T. </w:t>
      </w:r>
      <w:proofErr w:type="spellStart"/>
      <w:r w:rsidRPr="00073280">
        <w:rPr>
          <w:i/>
          <w:szCs w:val="24"/>
        </w:rPr>
        <w:t>Mazendeme</w:t>
      </w:r>
      <w:proofErr w:type="spellEnd"/>
      <w:r w:rsidRPr="00073280">
        <w:rPr>
          <w:szCs w:val="24"/>
        </w:rPr>
        <w:t xml:space="preserve"> for the applicants</w:t>
      </w:r>
    </w:p>
    <w:p w:rsidR="00B57A32" w:rsidRPr="00073280" w:rsidRDefault="00B57A32" w:rsidP="00073280">
      <w:pPr>
        <w:pStyle w:val="NoSpacing"/>
        <w:jc w:val="both"/>
        <w:rPr>
          <w:szCs w:val="24"/>
        </w:rPr>
      </w:pPr>
      <w:r w:rsidRPr="00073280">
        <w:rPr>
          <w:i/>
          <w:szCs w:val="24"/>
        </w:rPr>
        <w:t xml:space="preserve">Ms N. </w:t>
      </w:r>
      <w:proofErr w:type="spellStart"/>
      <w:r w:rsidRPr="00073280">
        <w:rPr>
          <w:i/>
          <w:szCs w:val="24"/>
        </w:rPr>
        <w:t>Ngwenya</w:t>
      </w:r>
      <w:proofErr w:type="spellEnd"/>
      <w:r w:rsidRPr="00073280">
        <w:rPr>
          <w:szCs w:val="24"/>
        </w:rPr>
        <w:t xml:space="preserve"> for the respondent</w:t>
      </w:r>
    </w:p>
    <w:p w:rsidR="00B57A32" w:rsidRPr="00073280" w:rsidRDefault="00B57A32" w:rsidP="00073280">
      <w:pPr>
        <w:jc w:val="both"/>
        <w:rPr>
          <w:szCs w:val="24"/>
        </w:rPr>
      </w:pPr>
      <w:r w:rsidRPr="00073280">
        <w:rPr>
          <w:b/>
          <w:szCs w:val="24"/>
        </w:rPr>
        <w:tab/>
        <w:t>MAKONESE J:</w:t>
      </w:r>
      <w:r w:rsidRPr="00073280">
        <w:rPr>
          <w:b/>
          <w:szCs w:val="24"/>
        </w:rPr>
        <w:tab/>
      </w:r>
      <w:r w:rsidRPr="00073280">
        <w:rPr>
          <w:szCs w:val="24"/>
        </w:rPr>
        <w:t>T</w:t>
      </w:r>
      <w:r w:rsidR="004A2EDF" w:rsidRPr="00073280">
        <w:rPr>
          <w:szCs w:val="24"/>
        </w:rPr>
        <w:t>h</w:t>
      </w:r>
      <w:r w:rsidRPr="00073280">
        <w:rPr>
          <w:szCs w:val="24"/>
        </w:rPr>
        <w:t xml:space="preserve">e applicants are game scouts at </w:t>
      </w:r>
      <w:proofErr w:type="spellStart"/>
      <w:r w:rsidRPr="00073280">
        <w:rPr>
          <w:szCs w:val="24"/>
        </w:rPr>
        <w:t>Bubiana</w:t>
      </w:r>
      <w:proofErr w:type="spellEnd"/>
      <w:r w:rsidRPr="00073280">
        <w:rPr>
          <w:szCs w:val="24"/>
        </w:rPr>
        <w:t xml:space="preserve"> Conservancy in </w:t>
      </w:r>
      <w:proofErr w:type="spellStart"/>
      <w:r w:rsidRPr="00073280">
        <w:rPr>
          <w:szCs w:val="24"/>
        </w:rPr>
        <w:t>Gwanda</w:t>
      </w:r>
      <w:proofErr w:type="spellEnd"/>
      <w:r w:rsidRPr="00073280">
        <w:rPr>
          <w:szCs w:val="24"/>
        </w:rPr>
        <w:t xml:space="preserve">.  They are facing a charge of murder as defined in section 77 of the Criminal Law (Codification and Reform) Act </w:t>
      </w:r>
      <w:r w:rsidR="004A2EDF" w:rsidRPr="00073280">
        <w:rPr>
          <w:szCs w:val="24"/>
        </w:rPr>
        <w:t>(C</w:t>
      </w:r>
      <w:r w:rsidR="00280CA9" w:rsidRPr="00073280">
        <w:rPr>
          <w:szCs w:val="24"/>
        </w:rPr>
        <w:t>hapter 9:22).  The applicants deny the charges.  T</w:t>
      </w:r>
      <w:r w:rsidR="004A2EDF" w:rsidRPr="00073280">
        <w:rPr>
          <w:szCs w:val="24"/>
        </w:rPr>
        <w:t>h</w:t>
      </w:r>
      <w:r w:rsidR="00280CA9" w:rsidRPr="00073280">
        <w:rPr>
          <w:szCs w:val="24"/>
        </w:rPr>
        <w:t xml:space="preserve">ey </w:t>
      </w:r>
      <w:r w:rsidR="004A2EDF" w:rsidRPr="00073280">
        <w:rPr>
          <w:szCs w:val="24"/>
        </w:rPr>
        <w:t>h</w:t>
      </w:r>
      <w:r w:rsidR="00280CA9" w:rsidRPr="00073280">
        <w:rPr>
          <w:szCs w:val="24"/>
        </w:rPr>
        <w:t>ave filed t</w:t>
      </w:r>
      <w:r w:rsidR="004A2EDF" w:rsidRPr="00073280">
        <w:rPr>
          <w:szCs w:val="24"/>
        </w:rPr>
        <w:t>h</w:t>
      </w:r>
      <w:r w:rsidR="00280CA9" w:rsidRPr="00073280">
        <w:rPr>
          <w:szCs w:val="24"/>
        </w:rPr>
        <w:t xml:space="preserve">is application seeking bail pending trial.  They aver that there are suitable candidates for bail and that there is no risk of </w:t>
      </w:r>
      <w:proofErr w:type="spellStart"/>
      <w:r w:rsidR="00280CA9" w:rsidRPr="00073280">
        <w:rPr>
          <w:szCs w:val="24"/>
        </w:rPr>
        <w:t>abscondment</w:t>
      </w:r>
      <w:proofErr w:type="spellEnd"/>
      <w:r w:rsidR="00280CA9" w:rsidRPr="00073280">
        <w:rPr>
          <w:szCs w:val="24"/>
        </w:rPr>
        <w:t>. The state has opposed the application. The state argues that the applicants have offered a bare denial and the eviden</w:t>
      </w:r>
      <w:r w:rsidR="003C404A">
        <w:rPr>
          <w:szCs w:val="24"/>
        </w:rPr>
        <w:t xml:space="preserve">ce against them is overwhelming as borne by the allegations in the Request </w:t>
      </w:r>
      <w:proofErr w:type="gramStart"/>
      <w:r w:rsidR="003C404A">
        <w:rPr>
          <w:szCs w:val="24"/>
        </w:rPr>
        <w:t>For</w:t>
      </w:r>
      <w:proofErr w:type="gramEnd"/>
      <w:r w:rsidR="003C404A">
        <w:rPr>
          <w:szCs w:val="24"/>
        </w:rPr>
        <w:t xml:space="preserve"> Remand Form 242.</w:t>
      </w:r>
      <w:r w:rsidR="00280CA9" w:rsidRPr="00073280">
        <w:rPr>
          <w:szCs w:val="24"/>
        </w:rPr>
        <w:t xml:space="preserve">  The likelihood of applicants absconding to avoid trial</w:t>
      </w:r>
      <w:r w:rsidR="003C404A">
        <w:rPr>
          <w:szCs w:val="24"/>
        </w:rPr>
        <w:t xml:space="preserve"> therefore</w:t>
      </w:r>
      <w:r w:rsidR="00280CA9" w:rsidRPr="00073280">
        <w:rPr>
          <w:szCs w:val="24"/>
        </w:rPr>
        <w:t xml:space="preserve"> is real.</w:t>
      </w:r>
    </w:p>
    <w:p w:rsidR="00280CA9" w:rsidRPr="00073280" w:rsidRDefault="00280CA9" w:rsidP="00073280">
      <w:pPr>
        <w:jc w:val="both"/>
        <w:rPr>
          <w:b/>
          <w:szCs w:val="24"/>
        </w:rPr>
      </w:pPr>
      <w:r w:rsidRPr="00073280">
        <w:rPr>
          <w:b/>
          <w:szCs w:val="24"/>
        </w:rPr>
        <w:t>Factu</w:t>
      </w:r>
      <w:r w:rsidR="004A2EDF" w:rsidRPr="00073280">
        <w:rPr>
          <w:b/>
          <w:szCs w:val="24"/>
        </w:rPr>
        <w:t>a</w:t>
      </w:r>
      <w:r w:rsidRPr="00073280">
        <w:rPr>
          <w:b/>
          <w:szCs w:val="24"/>
        </w:rPr>
        <w:t>l background</w:t>
      </w:r>
    </w:p>
    <w:p w:rsidR="00280CA9" w:rsidRPr="00073280" w:rsidRDefault="00280CA9" w:rsidP="00073280">
      <w:pPr>
        <w:ind w:firstLine="720"/>
        <w:jc w:val="both"/>
        <w:rPr>
          <w:szCs w:val="24"/>
        </w:rPr>
      </w:pPr>
      <w:r w:rsidRPr="00073280">
        <w:rPr>
          <w:szCs w:val="24"/>
        </w:rPr>
        <w:t>The allegations against the applicants are that on the 3</w:t>
      </w:r>
      <w:r w:rsidRPr="00073280">
        <w:rPr>
          <w:szCs w:val="24"/>
          <w:vertAlign w:val="superscript"/>
        </w:rPr>
        <w:t>rd</w:t>
      </w:r>
      <w:r w:rsidRPr="00073280">
        <w:rPr>
          <w:szCs w:val="24"/>
        </w:rPr>
        <w:t xml:space="preserve"> of April 2019 at Boulder Creek Dam, </w:t>
      </w:r>
      <w:proofErr w:type="spellStart"/>
      <w:r w:rsidRPr="00073280">
        <w:rPr>
          <w:szCs w:val="24"/>
        </w:rPr>
        <w:t>Bubiana</w:t>
      </w:r>
      <w:proofErr w:type="spellEnd"/>
      <w:r w:rsidRPr="00073280">
        <w:rPr>
          <w:szCs w:val="24"/>
        </w:rPr>
        <w:t xml:space="preserve"> Conservancy ranch, along </w:t>
      </w:r>
      <w:proofErr w:type="spellStart"/>
      <w:r w:rsidRPr="00073280">
        <w:rPr>
          <w:szCs w:val="24"/>
        </w:rPr>
        <w:t>Bubi</w:t>
      </w:r>
      <w:proofErr w:type="spellEnd"/>
      <w:r w:rsidRPr="00073280">
        <w:rPr>
          <w:szCs w:val="24"/>
        </w:rPr>
        <w:t xml:space="preserve"> River, </w:t>
      </w:r>
      <w:proofErr w:type="spellStart"/>
      <w:r w:rsidRPr="00073280">
        <w:rPr>
          <w:szCs w:val="24"/>
        </w:rPr>
        <w:t>Gwanda</w:t>
      </w:r>
      <w:proofErr w:type="spellEnd"/>
      <w:r w:rsidRPr="00073280">
        <w:rPr>
          <w:szCs w:val="24"/>
        </w:rPr>
        <w:t xml:space="preserve">, the three applicants </w:t>
      </w:r>
      <w:r w:rsidR="004A2EDF" w:rsidRPr="00073280">
        <w:rPr>
          <w:szCs w:val="24"/>
        </w:rPr>
        <w:t>a</w:t>
      </w:r>
      <w:r w:rsidRPr="00073280">
        <w:rPr>
          <w:szCs w:val="24"/>
        </w:rPr>
        <w:t>cting in concert ambus</w:t>
      </w:r>
      <w:r w:rsidR="004A2EDF" w:rsidRPr="00073280">
        <w:rPr>
          <w:szCs w:val="24"/>
        </w:rPr>
        <w:t>h</w:t>
      </w:r>
      <w:r w:rsidRPr="00073280">
        <w:rPr>
          <w:szCs w:val="24"/>
        </w:rPr>
        <w:t>ed the deceased who was in the c</w:t>
      </w:r>
      <w:r w:rsidR="00155867">
        <w:rPr>
          <w:szCs w:val="24"/>
        </w:rPr>
        <w:t>ompany of his two colleagues whilst they</w:t>
      </w:r>
      <w:r w:rsidRPr="00073280">
        <w:rPr>
          <w:szCs w:val="24"/>
        </w:rPr>
        <w:t xml:space="preserve"> were prepa</w:t>
      </w:r>
      <w:r w:rsidR="00155867">
        <w:rPr>
          <w:szCs w:val="24"/>
        </w:rPr>
        <w:t>ring to cast their nets into a</w:t>
      </w:r>
      <w:r w:rsidRPr="00073280">
        <w:rPr>
          <w:szCs w:val="24"/>
        </w:rPr>
        <w:t xml:space="preserve"> dam.  The deceased was a fisherman.  Two of the deceased’s </w:t>
      </w:r>
      <w:r w:rsidRPr="00073280">
        <w:rPr>
          <w:szCs w:val="24"/>
        </w:rPr>
        <w:lastRenderedPageBreak/>
        <w:t>colleagues managed to flee before</w:t>
      </w:r>
      <w:r w:rsidR="00384BDD">
        <w:rPr>
          <w:szCs w:val="24"/>
        </w:rPr>
        <w:t xml:space="preserve"> they could be</w:t>
      </w:r>
      <w:r w:rsidRPr="00073280">
        <w:rPr>
          <w:szCs w:val="24"/>
        </w:rPr>
        <w:t xml:space="preserve"> surrounded by the applicants.  The deceased was left at the mercy of the applicants who t</w:t>
      </w:r>
      <w:r w:rsidR="004A2EDF" w:rsidRPr="00073280">
        <w:rPr>
          <w:szCs w:val="24"/>
        </w:rPr>
        <w:t>h</w:t>
      </w:r>
      <w:r w:rsidRPr="00073280">
        <w:rPr>
          <w:szCs w:val="24"/>
        </w:rPr>
        <w:t>en took turns to</w:t>
      </w:r>
      <w:r w:rsidR="00442B79">
        <w:rPr>
          <w:szCs w:val="24"/>
        </w:rPr>
        <w:t xml:space="preserve"> brutally</w:t>
      </w:r>
      <w:r w:rsidRPr="00073280">
        <w:rPr>
          <w:szCs w:val="24"/>
        </w:rPr>
        <w:t xml:space="preserve"> assault the deceased all over the body.  The deceased sustained serious injuries leading to his death.  The applicants threw the body of the deceased into the river.  The deceased’s body was found floating in the river on the 5</w:t>
      </w:r>
      <w:r w:rsidRPr="00073280">
        <w:rPr>
          <w:szCs w:val="24"/>
          <w:vertAlign w:val="superscript"/>
        </w:rPr>
        <w:t>th</w:t>
      </w:r>
      <w:r w:rsidRPr="00073280">
        <w:rPr>
          <w:szCs w:val="24"/>
        </w:rPr>
        <w:t xml:space="preserve"> A</w:t>
      </w:r>
      <w:r w:rsidR="004A2EDF" w:rsidRPr="00073280">
        <w:rPr>
          <w:szCs w:val="24"/>
        </w:rPr>
        <w:t xml:space="preserve">pril 2019.  Upon its retrieval </w:t>
      </w:r>
      <w:r w:rsidRPr="00073280">
        <w:rPr>
          <w:szCs w:val="24"/>
        </w:rPr>
        <w:t>on the 6</w:t>
      </w:r>
      <w:r w:rsidRPr="00073280">
        <w:rPr>
          <w:szCs w:val="24"/>
          <w:vertAlign w:val="superscript"/>
        </w:rPr>
        <w:t>th</w:t>
      </w:r>
      <w:r w:rsidRPr="00073280">
        <w:rPr>
          <w:szCs w:val="24"/>
        </w:rPr>
        <w:t xml:space="preserve"> April 2019, it was observed t</w:t>
      </w:r>
      <w:r w:rsidR="004A2EDF" w:rsidRPr="00073280">
        <w:rPr>
          <w:szCs w:val="24"/>
        </w:rPr>
        <w:t>h</w:t>
      </w:r>
      <w:r w:rsidRPr="00073280">
        <w:rPr>
          <w:szCs w:val="24"/>
        </w:rPr>
        <w:t xml:space="preserve">at the deceased had sustained serious injuries and had a swollen right eye, swollen left pelvis, swollen </w:t>
      </w:r>
      <w:r w:rsidR="007053E0" w:rsidRPr="00073280">
        <w:rPr>
          <w:szCs w:val="24"/>
        </w:rPr>
        <w:t>testicles and penis.  The deceased was biting his tongue. In response to the allegations t</w:t>
      </w:r>
      <w:r w:rsidR="004A2EDF" w:rsidRPr="00073280">
        <w:rPr>
          <w:szCs w:val="24"/>
        </w:rPr>
        <w:t>h</w:t>
      </w:r>
      <w:r w:rsidR="007053E0" w:rsidRPr="00073280">
        <w:rPr>
          <w:szCs w:val="24"/>
        </w:rPr>
        <w:t>e applicants deny that they assaulted the deceased in the manner alleged.  Further, the applicants state that they did no</w:t>
      </w:r>
      <w:r w:rsidR="004A2EDF" w:rsidRPr="00073280">
        <w:rPr>
          <w:szCs w:val="24"/>
        </w:rPr>
        <w:t xml:space="preserve">t have any physical contact with </w:t>
      </w:r>
      <w:r w:rsidR="007053E0" w:rsidRPr="00073280">
        <w:rPr>
          <w:szCs w:val="24"/>
        </w:rPr>
        <w:t>t</w:t>
      </w:r>
      <w:r w:rsidR="004A2EDF" w:rsidRPr="00073280">
        <w:rPr>
          <w:szCs w:val="24"/>
        </w:rPr>
        <w:t>h</w:t>
      </w:r>
      <w:r w:rsidR="007053E0" w:rsidRPr="00073280">
        <w:rPr>
          <w:szCs w:val="24"/>
        </w:rPr>
        <w:t>e deceased person.  The applicants aver that t</w:t>
      </w:r>
      <w:r w:rsidR="004A2EDF" w:rsidRPr="00073280">
        <w:rPr>
          <w:szCs w:val="24"/>
        </w:rPr>
        <w:t>h</w:t>
      </w:r>
      <w:r w:rsidR="007053E0" w:rsidRPr="00073280">
        <w:rPr>
          <w:szCs w:val="24"/>
        </w:rPr>
        <w:t>e deceased, fearing apprehension for poaching, fled and jumped into the river regardless of having been vehemently warned against doing so.  The applicants further allege that</w:t>
      </w:r>
      <w:r w:rsidR="001B59D2">
        <w:rPr>
          <w:szCs w:val="24"/>
        </w:rPr>
        <w:t xml:space="preserve"> generally there is</w:t>
      </w:r>
      <w:r w:rsidR="007053E0" w:rsidRPr="00073280">
        <w:rPr>
          <w:szCs w:val="24"/>
        </w:rPr>
        <w:t xml:space="preserve"> friction between the settlers on the opposite bank of the river w</w:t>
      </w:r>
      <w:r w:rsidR="004A2EDF" w:rsidRPr="00073280">
        <w:rPr>
          <w:szCs w:val="24"/>
        </w:rPr>
        <w:t>h</w:t>
      </w:r>
      <w:r w:rsidR="007053E0" w:rsidRPr="00073280">
        <w:rPr>
          <w:szCs w:val="24"/>
        </w:rPr>
        <w:t>o are well known for poac</w:t>
      </w:r>
      <w:r w:rsidR="004A2EDF" w:rsidRPr="00073280">
        <w:rPr>
          <w:szCs w:val="24"/>
        </w:rPr>
        <w:t>h</w:t>
      </w:r>
      <w:r w:rsidR="007053E0" w:rsidRPr="00073280">
        <w:rPr>
          <w:szCs w:val="24"/>
        </w:rPr>
        <w:t>ing, and the game rangers, who are tasked with the duty of apprehending poachers.  The applicants allege t</w:t>
      </w:r>
      <w:r w:rsidR="004A2EDF" w:rsidRPr="00073280">
        <w:rPr>
          <w:szCs w:val="24"/>
        </w:rPr>
        <w:t>h</w:t>
      </w:r>
      <w:r w:rsidR="007053E0" w:rsidRPr="00073280">
        <w:rPr>
          <w:szCs w:val="24"/>
        </w:rPr>
        <w:t>at there is possibility t</w:t>
      </w:r>
      <w:r w:rsidR="004A2EDF" w:rsidRPr="00073280">
        <w:rPr>
          <w:szCs w:val="24"/>
        </w:rPr>
        <w:t>ha</w:t>
      </w:r>
      <w:r w:rsidR="007053E0" w:rsidRPr="00073280">
        <w:rPr>
          <w:szCs w:val="24"/>
        </w:rPr>
        <w:t>t the accused persons were framed by unknown persons as a matter of retaliation.</w:t>
      </w:r>
      <w:r w:rsidR="002E05CB">
        <w:rPr>
          <w:szCs w:val="24"/>
        </w:rPr>
        <w:t xml:space="preserve"> The </w:t>
      </w:r>
      <w:proofErr w:type="gramStart"/>
      <w:r w:rsidR="002E05CB">
        <w:rPr>
          <w:szCs w:val="24"/>
        </w:rPr>
        <w:t>applicant</w:t>
      </w:r>
      <w:r w:rsidR="00536B92">
        <w:rPr>
          <w:szCs w:val="24"/>
        </w:rPr>
        <w:t xml:space="preserve"> </w:t>
      </w:r>
      <w:r w:rsidR="002E05CB">
        <w:rPr>
          <w:szCs w:val="24"/>
        </w:rPr>
        <w:t xml:space="preserve"> </w:t>
      </w:r>
      <w:proofErr w:type="spellStart"/>
      <w:r w:rsidR="002E05CB">
        <w:rPr>
          <w:szCs w:val="24"/>
        </w:rPr>
        <w:t>potray</w:t>
      </w:r>
      <w:proofErr w:type="spellEnd"/>
      <w:proofErr w:type="gramEnd"/>
      <w:r w:rsidR="002E05CB">
        <w:rPr>
          <w:szCs w:val="24"/>
        </w:rPr>
        <w:t xml:space="preserve"> themselves as victims of circumstances.</w:t>
      </w:r>
    </w:p>
    <w:p w:rsidR="007053E0" w:rsidRPr="00073280" w:rsidRDefault="007053E0" w:rsidP="00073280">
      <w:pPr>
        <w:ind w:firstLine="720"/>
        <w:jc w:val="both"/>
        <w:rPr>
          <w:szCs w:val="24"/>
        </w:rPr>
      </w:pPr>
      <w:r w:rsidRPr="00073280">
        <w:rPr>
          <w:i/>
          <w:szCs w:val="24"/>
        </w:rPr>
        <w:t xml:space="preserve">Ms </w:t>
      </w:r>
      <w:proofErr w:type="spellStart"/>
      <w:r w:rsidRPr="00073280">
        <w:rPr>
          <w:i/>
          <w:szCs w:val="24"/>
        </w:rPr>
        <w:t>Mazendeme</w:t>
      </w:r>
      <w:proofErr w:type="spellEnd"/>
      <w:r w:rsidR="002E05CB">
        <w:rPr>
          <w:szCs w:val="24"/>
        </w:rPr>
        <w:t>, appearing</w:t>
      </w:r>
      <w:r w:rsidRPr="00073280">
        <w:rPr>
          <w:szCs w:val="24"/>
        </w:rPr>
        <w:t xml:space="preserve"> for the applicants did concede that the applicants did communicate with the deceased before he met his death.  She indicated that applicants did not, </w:t>
      </w:r>
      <w:r w:rsidR="004A2EDF" w:rsidRPr="00073280">
        <w:rPr>
          <w:szCs w:val="24"/>
        </w:rPr>
        <w:t>h</w:t>
      </w:r>
      <w:r w:rsidRPr="00073280">
        <w:rPr>
          <w:szCs w:val="24"/>
        </w:rPr>
        <w:t>owever, have any physical contact wit</w:t>
      </w:r>
      <w:r w:rsidR="004A2EDF" w:rsidRPr="00073280">
        <w:rPr>
          <w:szCs w:val="24"/>
        </w:rPr>
        <w:t>h</w:t>
      </w:r>
      <w:r w:rsidRPr="00073280">
        <w:rPr>
          <w:szCs w:val="24"/>
        </w:rPr>
        <w:t xml:space="preserve"> the deceased.  They did not assault him, but instead tried to dissuade him from jumping into the river.  State counsel </w:t>
      </w:r>
      <w:r w:rsidRPr="00073280">
        <w:rPr>
          <w:i/>
          <w:szCs w:val="24"/>
        </w:rPr>
        <w:t xml:space="preserve">Ms </w:t>
      </w:r>
      <w:proofErr w:type="spellStart"/>
      <w:r w:rsidRPr="00073280">
        <w:rPr>
          <w:i/>
          <w:szCs w:val="24"/>
        </w:rPr>
        <w:t>Ngwenya</w:t>
      </w:r>
      <w:proofErr w:type="spellEnd"/>
      <w:r w:rsidRPr="00073280">
        <w:rPr>
          <w:szCs w:val="24"/>
        </w:rPr>
        <w:t xml:space="preserve"> indicated t</w:t>
      </w:r>
      <w:r w:rsidR="004A2EDF" w:rsidRPr="00073280">
        <w:rPr>
          <w:szCs w:val="24"/>
        </w:rPr>
        <w:t>h</w:t>
      </w:r>
      <w:r w:rsidR="00073280" w:rsidRPr="00073280">
        <w:rPr>
          <w:szCs w:val="24"/>
        </w:rPr>
        <w:t>at the applican</w:t>
      </w:r>
      <w:r w:rsidRPr="00073280">
        <w:rPr>
          <w:szCs w:val="24"/>
        </w:rPr>
        <w:t>ts could not be trusted to stand trial if granted bail pending trial.  She indicated</w:t>
      </w:r>
      <w:proofErr w:type="gramStart"/>
      <w:r w:rsidRPr="00073280">
        <w:rPr>
          <w:szCs w:val="24"/>
        </w:rPr>
        <w:t>,</w:t>
      </w:r>
      <w:proofErr w:type="gramEnd"/>
      <w:r w:rsidRPr="00073280">
        <w:rPr>
          <w:szCs w:val="24"/>
        </w:rPr>
        <w:t xml:space="preserve"> further that they were eye</w:t>
      </w:r>
      <w:r w:rsidR="00073280" w:rsidRPr="00073280">
        <w:rPr>
          <w:szCs w:val="24"/>
        </w:rPr>
        <w:t>-</w:t>
      </w:r>
      <w:r w:rsidRPr="00073280">
        <w:rPr>
          <w:szCs w:val="24"/>
        </w:rPr>
        <w:t xml:space="preserve">witnesses whose evidence presented a </w:t>
      </w:r>
      <w:r w:rsidRPr="00073280">
        <w:rPr>
          <w:i/>
          <w:szCs w:val="24"/>
        </w:rPr>
        <w:t>prima facie</w:t>
      </w:r>
      <w:r w:rsidRPr="00073280">
        <w:rPr>
          <w:szCs w:val="24"/>
        </w:rPr>
        <w:t xml:space="preserve"> case</w:t>
      </w:r>
      <w:r w:rsidR="00073280" w:rsidRPr="00073280">
        <w:rPr>
          <w:szCs w:val="24"/>
        </w:rPr>
        <w:t>.</w:t>
      </w:r>
      <w:r w:rsidR="00536B92">
        <w:rPr>
          <w:szCs w:val="24"/>
        </w:rPr>
        <w:t xml:space="preserve"> In </w:t>
      </w:r>
      <w:proofErr w:type="spellStart"/>
      <w:r w:rsidR="00536B92">
        <w:rPr>
          <w:szCs w:val="24"/>
        </w:rPr>
        <w:t>otherwords</w:t>
      </w:r>
      <w:proofErr w:type="spellEnd"/>
      <w:r w:rsidR="00536B92">
        <w:rPr>
          <w:szCs w:val="24"/>
        </w:rPr>
        <w:t xml:space="preserve">, the </w:t>
      </w:r>
      <w:proofErr w:type="spellStart"/>
      <w:r w:rsidR="00536B92">
        <w:rPr>
          <w:szCs w:val="24"/>
        </w:rPr>
        <w:t>applicants”s</w:t>
      </w:r>
      <w:proofErr w:type="spellEnd"/>
      <w:r w:rsidR="00536B92">
        <w:rPr>
          <w:szCs w:val="24"/>
        </w:rPr>
        <w:t xml:space="preserve"> story does not add up. </w:t>
      </w:r>
    </w:p>
    <w:p w:rsidR="007053E0" w:rsidRPr="00073280" w:rsidRDefault="007053E0" w:rsidP="00073280">
      <w:pPr>
        <w:jc w:val="both"/>
        <w:rPr>
          <w:b/>
          <w:szCs w:val="24"/>
        </w:rPr>
      </w:pPr>
      <w:r w:rsidRPr="00073280">
        <w:rPr>
          <w:b/>
          <w:szCs w:val="24"/>
        </w:rPr>
        <w:t>Whether applicants are suitable candidates for trial</w:t>
      </w:r>
    </w:p>
    <w:p w:rsidR="007053E0" w:rsidRPr="00073280" w:rsidRDefault="007053E0" w:rsidP="00073280">
      <w:pPr>
        <w:jc w:val="both"/>
        <w:rPr>
          <w:szCs w:val="24"/>
        </w:rPr>
      </w:pPr>
      <w:r w:rsidRPr="00073280">
        <w:rPr>
          <w:szCs w:val="24"/>
        </w:rPr>
        <w:tab/>
        <w:t>The primary consideration</w:t>
      </w:r>
      <w:r w:rsidR="00380496">
        <w:rPr>
          <w:szCs w:val="24"/>
        </w:rPr>
        <w:t>s</w:t>
      </w:r>
      <w:r w:rsidRPr="00073280">
        <w:rPr>
          <w:szCs w:val="24"/>
        </w:rPr>
        <w:t xml:space="preserve"> in assessing whether or not an applicant is a suitable candidate for bail pending trial are now established </w:t>
      </w:r>
      <w:r w:rsidR="00880B7D" w:rsidRPr="00073280">
        <w:rPr>
          <w:szCs w:val="24"/>
        </w:rPr>
        <w:t xml:space="preserve">in our law.  </w:t>
      </w:r>
      <w:proofErr w:type="gramStart"/>
      <w:r w:rsidR="00880B7D" w:rsidRPr="00073280">
        <w:rPr>
          <w:szCs w:val="24"/>
        </w:rPr>
        <w:t>The</w:t>
      </w:r>
      <w:r w:rsidR="00380496">
        <w:rPr>
          <w:szCs w:val="24"/>
        </w:rPr>
        <w:t xml:space="preserve"> </w:t>
      </w:r>
      <w:r w:rsidR="00880B7D" w:rsidRPr="00073280">
        <w:rPr>
          <w:szCs w:val="24"/>
        </w:rPr>
        <w:t xml:space="preserve"> applicant’s</w:t>
      </w:r>
      <w:proofErr w:type="gramEnd"/>
      <w:r w:rsidR="00880B7D" w:rsidRPr="00073280">
        <w:rPr>
          <w:szCs w:val="24"/>
        </w:rPr>
        <w:t xml:space="preserve"> assurance t</w:t>
      </w:r>
      <w:r w:rsidR="00073280" w:rsidRPr="00073280">
        <w:rPr>
          <w:szCs w:val="24"/>
        </w:rPr>
        <w:t>h</w:t>
      </w:r>
      <w:r w:rsidR="00880B7D" w:rsidRPr="00073280">
        <w:rPr>
          <w:szCs w:val="24"/>
        </w:rPr>
        <w:t>at he will stand tr</w:t>
      </w:r>
      <w:r w:rsidR="00073280" w:rsidRPr="00073280">
        <w:rPr>
          <w:szCs w:val="24"/>
        </w:rPr>
        <w:t>ia</w:t>
      </w:r>
      <w:r w:rsidR="00880B7D" w:rsidRPr="00073280">
        <w:rPr>
          <w:szCs w:val="24"/>
        </w:rPr>
        <w:t xml:space="preserve">l if granted bail is assessed objectively.  See </w:t>
      </w:r>
      <w:r w:rsidR="00880B7D" w:rsidRPr="00073280">
        <w:rPr>
          <w:i/>
          <w:szCs w:val="24"/>
        </w:rPr>
        <w:t>S</w:t>
      </w:r>
      <w:r w:rsidR="00880B7D" w:rsidRPr="00073280">
        <w:rPr>
          <w:szCs w:val="24"/>
        </w:rPr>
        <w:t xml:space="preserve"> v </w:t>
      </w:r>
      <w:proofErr w:type="spellStart"/>
      <w:r w:rsidR="00380496">
        <w:rPr>
          <w:i/>
          <w:szCs w:val="24"/>
        </w:rPr>
        <w:t>Kurun</w:t>
      </w:r>
      <w:r w:rsidR="00880B7D" w:rsidRPr="00073280">
        <w:rPr>
          <w:i/>
          <w:szCs w:val="24"/>
        </w:rPr>
        <w:t>er</w:t>
      </w:r>
      <w:r w:rsidR="00380496">
        <w:rPr>
          <w:i/>
          <w:szCs w:val="24"/>
        </w:rPr>
        <w:t>i</w:t>
      </w:r>
      <w:proofErr w:type="spellEnd"/>
      <w:r w:rsidR="00880B7D" w:rsidRPr="00073280">
        <w:rPr>
          <w:szCs w:val="24"/>
        </w:rPr>
        <w:t xml:space="preserve"> HH-11-04.  In that matter it was held that there is a constitutionally guaranteed presumption of innocence that </w:t>
      </w:r>
      <w:r w:rsidR="00F821D4">
        <w:rPr>
          <w:szCs w:val="24"/>
        </w:rPr>
        <w:lastRenderedPageBreak/>
        <w:t xml:space="preserve">operates in </w:t>
      </w:r>
      <w:proofErr w:type="spellStart"/>
      <w:r w:rsidR="00F821D4">
        <w:rPr>
          <w:szCs w:val="24"/>
        </w:rPr>
        <w:t>favour</w:t>
      </w:r>
      <w:proofErr w:type="spellEnd"/>
      <w:r w:rsidR="00F821D4">
        <w:rPr>
          <w:szCs w:val="24"/>
        </w:rPr>
        <w:t xml:space="preserve"> of an</w:t>
      </w:r>
      <w:r w:rsidR="00880B7D" w:rsidRPr="00073280">
        <w:rPr>
          <w:szCs w:val="24"/>
        </w:rPr>
        <w:t xml:space="preserve"> accused person.  Th</w:t>
      </w:r>
      <w:r w:rsidR="00D81B57">
        <w:rPr>
          <w:szCs w:val="24"/>
        </w:rPr>
        <w:t>e court must assess those factors</w:t>
      </w:r>
      <w:r w:rsidR="00880B7D" w:rsidRPr="00073280">
        <w:rPr>
          <w:szCs w:val="24"/>
        </w:rPr>
        <w:t xml:space="preserve"> indicated in t</w:t>
      </w:r>
      <w:r w:rsidR="00073280" w:rsidRPr="00073280">
        <w:rPr>
          <w:szCs w:val="24"/>
        </w:rPr>
        <w:t>h</w:t>
      </w:r>
      <w:r w:rsidR="00880B7D" w:rsidRPr="00073280">
        <w:rPr>
          <w:szCs w:val="24"/>
        </w:rPr>
        <w:t>e Criminal Procedure and Evidence Act, under section116 (7) and if the state case and applicant’s case are equally balanced, the accused should be granted bail.</w:t>
      </w:r>
    </w:p>
    <w:p w:rsidR="00880B7D" w:rsidRPr="00073280" w:rsidRDefault="00880B7D" w:rsidP="00073280">
      <w:pPr>
        <w:jc w:val="both"/>
        <w:rPr>
          <w:szCs w:val="24"/>
        </w:rPr>
      </w:pPr>
      <w:r w:rsidRPr="00073280">
        <w:rPr>
          <w:szCs w:val="24"/>
        </w:rPr>
        <w:tab/>
        <w:t>It is now settled that if the state opposes bail, it must prove that justice will be served by denying bail.  In this matter t</w:t>
      </w:r>
      <w:r w:rsidR="00073280" w:rsidRPr="00073280">
        <w:rPr>
          <w:szCs w:val="24"/>
        </w:rPr>
        <w:t>h</w:t>
      </w:r>
      <w:r w:rsidRPr="00073280">
        <w:rPr>
          <w:szCs w:val="24"/>
        </w:rPr>
        <w:t xml:space="preserve">e applicants have not been </w:t>
      </w:r>
      <w:r w:rsidR="00073280" w:rsidRPr="00073280">
        <w:rPr>
          <w:szCs w:val="24"/>
        </w:rPr>
        <w:t>candid with the court.</w:t>
      </w:r>
      <w:r w:rsidRPr="00073280">
        <w:rPr>
          <w:szCs w:val="24"/>
        </w:rPr>
        <w:t xml:space="preserve">  Incidentally</w:t>
      </w:r>
      <w:r w:rsidR="00561FFD">
        <w:rPr>
          <w:szCs w:val="24"/>
        </w:rPr>
        <w:t>,</w:t>
      </w:r>
      <w:r w:rsidRPr="00073280">
        <w:rPr>
          <w:szCs w:val="24"/>
        </w:rPr>
        <w:t xml:space="preserve"> prior to the deceased’s death the applicants had encountered the deceased.  The deceased’s colleagues positively identified the applicants.  There w</w:t>
      </w:r>
      <w:r w:rsidR="00073280" w:rsidRPr="00073280">
        <w:rPr>
          <w:szCs w:val="24"/>
        </w:rPr>
        <w:t>a</w:t>
      </w:r>
      <w:r w:rsidRPr="00073280">
        <w:rPr>
          <w:szCs w:val="24"/>
        </w:rPr>
        <w:t>s evidence of an assault having been perpetrated upon the deceased prior to him being dumped into the river.</w:t>
      </w:r>
    </w:p>
    <w:p w:rsidR="00880B7D" w:rsidRPr="00073280" w:rsidRDefault="00880B7D" w:rsidP="00073280">
      <w:pPr>
        <w:jc w:val="both"/>
        <w:rPr>
          <w:szCs w:val="24"/>
        </w:rPr>
      </w:pPr>
      <w:r w:rsidRPr="00073280">
        <w:rPr>
          <w:szCs w:val="24"/>
        </w:rPr>
        <w:tab/>
        <w:t xml:space="preserve">The bail principles were aptly </w:t>
      </w:r>
      <w:proofErr w:type="spellStart"/>
      <w:r w:rsidRPr="00073280">
        <w:rPr>
          <w:szCs w:val="24"/>
        </w:rPr>
        <w:t>summerised</w:t>
      </w:r>
      <w:proofErr w:type="spellEnd"/>
      <w:r w:rsidRPr="00073280">
        <w:rPr>
          <w:szCs w:val="24"/>
        </w:rPr>
        <w:t xml:space="preserve"> by Z</w:t>
      </w:r>
      <w:r w:rsidRPr="00073280">
        <w:rPr>
          <w:sz w:val="20"/>
          <w:szCs w:val="20"/>
        </w:rPr>
        <w:t>IYAMB</w:t>
      </w:r>
      <w:r w:rsidR="00561FFD">
        <w:rPr>
          <w:sz w:val="20"/>
          <w:szCs w:val="20"/>
        </w:rPr>
        <w:t>I</w:t>
      </w:r>
      <w:r w:rsidRPr="00073280">
        <w:rPr>
          <w:szCs w:val="24"/>
        </w:rPr>
        <w:t xml:space="preserve"> JA in </w:t>
      </w:r>
      <w:r w:rsidRPr="00073280">
        <w:rPr>
          <w:i/>
          <w:szCs w:val="24"/>
        </w:rPr>
        <w:t xml:space="preserve">James </w:t>
      </w:r>
      <w:proofErr w:type="spellStart"/>
      <w:r w:rsidRPr="00073280">
        <w:rPr>
          <w:i/>
          <w:szCs w:val="24"/>
        </w:rPr>
        <w:t>Makamba</w:t>
      </w:r>
      <w:proofErr w:type="spellEnd"/>
      <w:r w:rsidRPr="00073280">
        <w:rPr>
          <w:szCs w:val="24"/>
        </w:rPr>
        <w:t xml:space="preserve"> v </w:t>
      </w:r>
      <w:r w:rsidRPr="00073280">
        <w:rPr>
          <w:i/>
          <w:szCs w:val="24"/>
        </w:rPr>
        <w:t>The St</w:t>
      </w:r>
      <w:r w:rsidR="00073280" w:rsidRPr="00073280">
        <w:rPr>
          <w:i/>
          <w:szCs w:val="24"/>
        </w:rPr>
        <w:t>a</w:t>
      </w:r>
      <w:r w:rsidRPr="00073280">
        <w:rPr>
          <w:i/>
          <w:szCs w:val="24"/>
        </w:rPr>
        <w:t>te</w:t>
      </w:r>
      <w:r w:rsidRPr="00073280">
        <w:rPr>
          <w:szCs w:val="24"/>
        </w:rPr>
        <w:t xml:space="preserve"> SC-30-04.  The primary considerations are:</w:t>
      </w:r>
    </w:p>
    <w:p w:rsidR="00880B7D" w:rsidRPr="00073280" w:rsidRDefault="00880B7D" w:rsidP="00073280">
      <w:pPr>
        <w:pStyle w:val="ListParagraph"/>
        <w:numPr>
          <w:ilvl w:val="0"/>
          <w:numId w:val="1"/>
        </w:numPr>
        <w:jc w:val="both"/>
        <w:rPr>
          <w:szCs w:val="24"/>
        </w:rPr>
      </w:pPr>
      <w:r w:rsidRPr="00073280">
        <w:rPr>
          <w:szCs w:val="24"/>
        </w:rPr>
        <w:t>W</w:t>
      </w:r>
      <w:r w:rsidR="00073280" w:rsidRPr="00073280">
        <w:rPr>
          <w:szCs w:val="24"/>
        </w:rPr>
        <w:t>h</w:t>
      </w:r>
      <w:r w:rsidRPr="00073280">
        <w:rPr>
          <w:szCs w:val="24"/>
        </w:rPr>
        <w:t>et</w:t>
      </w:r>
      <w:r w:rsidR="00073280" w:rsidRPr="00073280">
        <w:rPr>
          <w:szCs w:val="24"/>
        </w:rPr>
        <w:t>h</w:t>
      </w:r>
      <w:r w:rsidRPr="00073280">
        <w:rPr>
          <w:szCs w:val="24"/>
        </w:rPr>
        <w:t>er the applicant will stand trial in due course.</w:t>
      </w:r>
    </w:p>
    <w:p w:rsidR="00880B7D" w:rsidRPr="00073280" w:rsidRDefault="00880B7D" w:rsidP="00073280">
      <w:pPr>
        <w:pStyle w:val="ListParagraph"/>
        <w:numPr>
          <w:ilvl w:val="0"/>
          <w:numId w:val="1"/>
        </w:numPr>
        <w:jc w:val="both"/>
        <w:rPr>
          <w:szCs w:val="24"/>
        </w:rPr>
      </w:pPr>
      <w:r w:rsidRPr="00073280">
        <w:rPr>
          <w:szCs w:val="24"/>
        </w:rPr>
        <w:t>Whether the applicant will interfere with the investigations.</w:t>
      </w:r>
    </w:p>
    <w:p w:rsidR="00880B7D" w:rsidRPr="00073280" w:rsidRDefault="00880B7D" w:rsidP="00073280">
      <w:pPr>
        <w:pStyle w:val="ListParagraph"/>
        <w:numPr>
          <w:ilvl w:val="0"/>
          <w:numId w:val="1"/>
        </w:numPr>
        <w:jc w:val="both"/>
        <w:rPr>
          <w:szCs w:val="24"/>
        </w:rPr>
      </w:pPr>
      <w:r w:rsidRPr="00073280">
        <w:rPr>
          <w:szCs w:val="24"/>
        </w:rPr>
        <w:t>Whether the applicant will commit ot</w:t>
      </w:r>
      <w:r w:rsidR="00073280" w:rsidRPr="00073280">
        <w:rPr>
          <w:szCs w:val="24"/>
        </w:rPr>
        <w:t>h</w:t>
      </w:r>
      <w:r w:rsidRPr="00073280">
        <w:rPr>
          <w:szCs w:val="24"/>
        </w:rPr>
        <w:t>er offences w</w:t>
      </w:r>
      <w:r w:rsidR="00073280" w:rsidRPr="00073280">
        <w:rPr>
          <w:szCs w:val="24"/>
        </w:rPr>
        <w:t>h</w:t>
      </w:r>
      <w:r w:rsidRPr="00073280">
        <w:rPr>
          <w:szCs w:val="24"/>
        </w:rPr>
        <w:t>en on bail.</w:t>
      </w:r>
    </w:p>
    <w:p w:rsidR="00880B7D" w:rsidRPr="00073280" w:rsidRDefault="00880B7D" w:rsidP="00073280">
      <w:pPr>
        <w:pStyle w:val="ListParagraph"/>
        <w:numPr>
          <w:ilvl w:val="0"/>
          <w:numId w:val="1"/>
        </w:numPr>
        <w:jc w:val="both"/>
        <w:rPr>
          <w:szCs w:val="24"/>
        </w:rPr>
      </w:pPr>
      <w:r w:rsidRPr="00073280">
        <w:rPr>
          <w:szCs w:val="24"/>
        </w:rPr>
        <w:t>Other considerations the court may deem good and sufficient.</w:t>
      </w:r>
    </w:p>
    <w:p w:rsidR="00880B7D" w:rsidRPr="00073280" w:rsidRDefault="00B2627F" w:rsidP="00073280">
      <w:pPr>
        <w:ind w:firstLine="720"/>
        <w:jc w:val="both"/>
        <w:rPr>
          <w:szCs w:val="24"/>
        </w:rPr>
      </w:pPr>
      <w:r w:rsidRPr="00073280">
        <w:rPr>
          <w:szCs w:val="24"/>
        </w:rPr>
        <w:t>It seems to me, that where an applicant in a bail application seeks to mislead the court by removing himself from t</w:t>
      </w:r>
      <w:r w:rsidR="00073280" w:rsidRPr="00073280">
        <w:rPr>
          <w:szCs w:val="24"/>
        </w:rPr>
        <w:t>h</w:t>
      </w:r>
      <w:r w:rsidRPr="00073280">
        <w:rPr>
          <w:szCs w:val="24"/>
        </w:rPr>
        <w:t>e scene of the crime and tell a lie about the cause of death, he is not a suitable candidate for bail.  T</w:t>
      </w:r>
      <w:r w:rsidR="00073280" w:rsidRPr="00073280">
        <w:rPr>
          <w:szCs w:val="24"/>
        </w:rPr>
        <w:t>h</w:t>
      </w:r>
      <w:r w:rsidRPr="00073280">
        <w:rPr>
          <w:szCs w:val="24"/>
        </w:rPr>
        <w:t>e presumption of innocence does not operate in a vacuum as it were.  The applicant who is dishonest cannot be trusted to stand</w:t>
      </w:r>
      <w:r w:rsidR="00D60A8C">
        <w:rPr>
          <w:szCs w:val="24"/>
        </w:rPr>
        <w:t xml:space="preserve"> trial if granted bail.  </w:t>
      </w:r>
      <w:proofErr w:type="gramStart"/>
      <w:r w:rsidR="00D60A8C">
        <w:rPr>
          <w:szCs w:val="24"/>
        </w:rPr>
        <w:t>See;</w:t>
      </w:r>
      <w:r w:rsidRPr="00073280">
        <w:rPr>
          <w:i/>
          <w:szCs w:val="24"/>
        </w:rPr>
        <w:t xml:space="preserve"> </w:t>
      </w:r>
      <w:proofErr w:type="spellStart"/>
      <w:r w:rsidRPr="00073280">
        <w:rPr>
          <w:i/>
          <w:szCs w:val="24"/>
        </w:rPr>
        <w:t>Musonza</w:t>
      </w:r>
      <w:proofErr w:type="spellEnd"/>
      <w:r w:rsidRPr="00073280">
        <w:rPr>
          <w:szCs w:val="24"/>
        </w:rPr>
        <w:t xml:space="preserve"> v </w:t>
      </w:r>
      <w:r w:rsidRPr="00073280">
        <w:rPr>
          <w:i/>
          <w:szCs w:val="24"/>
        </w:rPr>
        <w:t>The State</w:t>
      </w:r>
      <w:r w:rsidRPr="00073280">
        <w:rPr>
          <w:szCs w:val="24"/>
        </w:rPr>
        <w:t xml:space="preserve"> HB-43-19.</w:t>
      </w:r>
      <w:proofErr w:type="gramEnd"/>
    </w:p>
    <w:p w:rsidR="00B2627F" w:rsidRPr="00073280" w:rsidRDefault="00B2627F" w:rsidP="00073280">
      <w:pPr>
        <w:jc w:val="both"/>
        <w:rPr>
          <w:b/>
          <w:szCs w:val="24"/>
        </w:rPr>
      </w:pPr>
      <w:r w:rsidRPr="00073280">
        <w:rPr>
          <w:b/>
          <w:szCs w:val="24"/>
        </w:rPr>
        <w:t>Disposition</w:t>
      </w:r>
    </w:p>
    <w:p w:rsidR="00B2627F" w:rsidRPr="00073280" w:rsidRDefault="00B2627F" w:rsidP="00073280">
      <w:pPr>
        <w:ind w:firstLine="720"/>
        <w:jc w:val="both"/>
        <w:rPr>
          <w:szCs w:val="24"/>
        </w:rPr>
      </w:pPr>
      <w:r w:rsidRPr="00073280">
        <w:rPr>
          <w:szCs w:val="24"/>
        </w:rPr>
        <w:t>In this matter, the applicants seek to mislead the court as to how the deceased met his demise.  There are eye-witnesses who saw the applicants prior to the commission of the offence.  These eye-witnesses were present at the scene and the last time t</w:t>
      </w:r>
      <w:r w:rsidR="00073280" w:rsidRPr="00073280">
        <w:rPr>
          <w:szCs w:val="24"/>
        </w:rPr>
        <w:t>h</w:t>
      </w:r>
      <w:r w:rsidRPr="00073280">
        <w:rPr>
          <w:szCs w:val="24"/>
        </w:rPr>
        <w:t>ey saw the deceased he was being surrounded by t</w:t>
      </w:r>
      <w:r w:rsidR="00073280" w:rsidRPr="00073280">
        <w:rPr>
          <w:szCs w:val="24"/>
        </w:rPr>
        <w:t>h</w:t>
      </w:r>
      <w:r w:rsidRPr="00073280">
        <w:rPr>
          <w:szCs w:val="24"/>
        </w:rPr>
        <w:t xml:space="preserve">e applicants.  Regard being had to the strength of the state case and the </w:t>
      </w:r>
      <w:proofErr w:type="spellStart"/>
      <w:r w:rsidRPr="00073280">
        <w:rPr>
          <w:szCs w:val="24"/>
        </w:rPr>
        <w:t>defence</w:t>
      </w:r>
      <w:proofErr w:type="spellEnd"/>
      <w:r w:rsidRPr="00073280">
        <w:rPr>
          <w:szCs w:val="24"/>
        </w:rPr>
        <w:t xml:space="preserve"> proffered by the applicants there is a likelihood that the applicants may</w:t>
      </w:r>
      <w:r w:rsidR="00073280" w:rsidRPr="00073280">
        <w:rPr>
          <w:szCs w:val="24"/>
        </w:rPr>
        <w:t xml:space="preserve"> </w:t>
      </w:r>
      <w:r w:rsidRPr="00073280">
        <w:rPr>
          <w:szCs w:val="24"/>
        </w:rPr>
        <w:t xml:space="preserve">very well </w:t>
      </w:r>
      <w:r w:rsidRPr="00073280">
        <w:rPr>
          <w:szCs w:val="24"/>
        </w:rPr>
        <w:lastRenderedPageBreak/>
        <w:t>abscond if granted bail pending trial.  In the event of a conviction the applicants are most likely to face a lengthy custodial sentence whi</w:t>
      </w:r>
      <w:r w:rsidR="00B74C6D">
        <w:rPr>
          <w:szCs w:val="24"/>
        </w:rPr>
        <w:t xml:space="preserve">ch could induce them to abscond  </w:t>
      </w:r>
      <w:r w:rsidRPr="00073280">
        <w:rPr>
          <w:szCs w:val="24"/>
        </w:rPr>
        <w:t>once granted bail.</w:t>
      </w:r>
    </w:p>
    <w:p w:rsidR="00B2627F" w:rsidRPr="00073280" w:rsidRDefault="00B2627F" w:rsidP="00073280">
      <w:pPr>
        <w:ind w:firstLine="720"/>
        <w:jc w:val="both"/>
        <w:rPr>
          <w:szCs w:val="24"/>
        </w:rPr>
      </w:pPr>
      <w:r w:rsidRPr="00073280">
        <w:rPr>
          <w:szCs w:val="24"/>
        </w:rPr>
        <w:t>In the result, the applicants are not suitable candidates for bail pending bail.</w:t>
      </w:r>
    </w:p>
    <w:p w:rsidR="00B2627F" w:rsidRPr="00073280" w:rsidRDefault="00B2627F" w:rsidP="00073280">
      <w:pPr>
        <w:ind w:firstLine="720"/>
        <w:jc w:val="both"/>
        <w:rPr>
          <w:szCs w:val="24"/>
        </w:rPr>
      </w:pPr>
      <w:r w:rsidRPr="00073280">
        <w:rPr>
          <w:szCs w:val="24"/>
        </w:rPr>
        <w:t>The application for bail is hereby dismissed.</w:t>
      </w:r>
    </w:p>
    <w:p w:rsidR="004A2EDF" w:rsidRPr="00073280" w:rsidRDefault="004A2EDF" w:rsidP="00073280">
      <w:pPr>
        <w:jc w:val="both"/>
        <w:rPr>
          <w:szCs w:val="24"/>
        </w:rPr>
      </w:pPr>
    </w:p>
    <w:p w:rsidR="004A2EDF" w:rsidRPr="00073280" w:rsidRDefault="004A2EDF" w:rsidP="00073280">
      <w:pPr>
        <w:pStyle w:val="NoSpacing"/>
        <w:jc w:val="both"/>
        <w:rPr>
          <w:szCs w:val="24"/>
        </w:rPr>
      </w:pPr>
      <w:r w:rsidRPr="00073280">
        <w:rPr>
          <w:i/>
          <w:szCs w:val="24"/>
        </w:rPr>
        <w:t>Titan Law Chambers,</w:t>
      </w:r>
      <w:r w:rsidRPr="00073280">
        <w:rPr>
          <w:szCs w:val="24"/>
        </w:rPr>
        <w:t xml:space="preserve"> applicants’ legal practitioners</w:t>
      </w:r>
    </w:p>
    <w:p w:rsidR="004A2EDF" w:rsidRPr="00073280" w:rsidRDefault="004A2EDF" w:rsidP="00073280">
      <w:pPr>
        <w:pStyle w:val="NoSpacing"/>
        <w:jc w:val="both"/>
        <w:rPr>
          <w:szCs w:val="24"/>
        </w:rPr>
      </w:pPr>
      <w:r w:rsidRPr="00073280">
        <w:rPr>
          <w:i/>
          <w:szCs w:val="24"/>
        </w:rPr>
        <w:t>National Prosecuting Authority</w:t>
      </w:r>
      <w:r w:rsidRPr="00073280">
        <w:rPr>
          <w:szCs w:val="24"/>
        </w:rPr>
        <w:t>, respondent’s legal practitioners</w:t>
      </w:r>
    </w:p>
    <w:p w:rsidR="004A2EDF" w:rsidRPr="00073280" w:rsidRDefault="004A2EDF" w:rsidP="00073280">
      <w:pPr>
        <w:pStyle w:val="NoSpacing"/>
        <w:jc w:val="both"/>
        <w:rPr>
          <w:szCs w:val="24"/>
        </w:rPr>
      </w:pPr>
    </w:p>
    <w:sectPr w:rsidR="004A2EDF" w:rsidRPr="00073280"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27D" w:rsidRDefault="0015327D" w:rsidP="004A2EDF">
      <w:pPr>
        <w:spacing w:before="0" w:after="0" w:line="240" w:lineRule="auto"/>
      </w:pPr>
      <w:r>
        <w:separator/>
      </w:r>
    </w:p>
  </w:endnote>
  <w:endnote w:type="continuationSeparator" w:id="0">
    <w:p w:rsidR="0015327D" w:rsidRDefault="0015327D" w:rsidP="004A2EDF">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27D" w:rsidRDefault="0015327D" w:rsidP="004A2EDF">
      <w:pPr>
        <w:spacing w:before="0" w:after="0" w:line="240" w:lineRule="auto"/>
      </w:pPr>
      <w:r>
        <w:separator/>
      </w:r>
    </w:p>
  </w:footnote>
  <w:footnote w:type="continuationSeparator" w:id="0">
    <w:p w:rsidR="0015327D" w:rsidRDefault="0015327D" w:rsidP="004A2EDF">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61727"/>
      <w:docPartObj>
        <w:docPartGallery w:val="Page Numbers (Top of Page)"/>
        <w:docPartUnique/>
      </w:docPartObj>
    </w:sdtPr>
    <w:sdtContent>
      <w:p w:rsidR="004A2EDF" w:rsidRDefault="00A14E74">
        <w:pPr>
          <w:pStyle w:val="Header"/>
          <w:jc w:val="right"/>
        </w:pPr>
        <w:fldSimple w:instr=" PAGE   \* MERGEFORMAT ">
          <w:r w:rsidR="00B74C6D">
            <w:rPr>
              <w:noProof/>
            </w:rPr>
            <w:t>4</w:t>
          </w:r>
        </w:fldSimple>
      </w:p>
      <w:p w:rsidR="004A2EDF" w:rsidRDefault="004A2EDF" w:rsidP="004A2EDF">
        <w:pPr>
          <w:pStyle w:val="NoSpacing"/>
          <w:ind w:left="7920"/>
        </w:pPr>
        <w:r>
          <w:t xml:space="preserve">        HB 82/19</w:t>
        </w:r>
      </w:p>
      <w:p w:rsidR="004A2EDF" w:rsidRDefault="004A2EDF" w:rsidP="004A2EDF">
        <w:pPr>
          <w:pStyle w:val="NoSpacing"/>
          <w:ind w:left="7920"/>
        </w:pPr>
        <w:r>
          <w:t xml:space="preserve">   HCA 151/19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F5070"/>
    <w:multiLevelType w:val="hybridMultilevel"/>
    <w:tmpl w:val="1BE45436"/>
    <w:lvl w:ilvl="0" w:tplc="71C2A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57A32"/>
    <w:rsid w:val="00073280"/>
    <w:rsid w:val="0015327D"/>
    <w:rsid w:val="00155867"/>
    <w:rsid w:val="001B59D2"/>
    <w:rsid w:val="001D126B"/>
    <w:rsid w:val="00280CA9"/>
    <w:rsid w:val="002C7F8A"/>
    <w:rsid w:val="002E05CB"/>
    <w:rsid w:val="00380496"/>
    <w:rsid w:val="00384BDD"/>
    <w:rsid w:val="003A3365"/>
    <w:rsid w:val="003C404A"/>
    <w:rsid w:val="003E5BAA"/>
    <w:rsid w:val="00442B79"/>
    <w:rsid w:val="00477B02"/>
    <w:rsid w:val="004A2EDF"/>
    <w:rsid w:val="00516B9C"/>
    <w:rsid w:val="00536B92"/>
    <w:rsid w:val="0054317D"/>
    <w:rsid w:val="00561FFD"/>
    <w:rsid w:val="0068662E"/>
    <w:rsid w:val="006A03C9"/>
    <w:rsid w:val="00701C30"/>
    <w:rsid w:val="007053E0"/>
    <w:rsid w:val="00750E38"/>
    <w:rsid w:val="007B49A6"/>
    <w:rsid w:val="007D0B26"/>
    <w:rsid w:val="007D2790"/>
    <w:rsid w:val="00880B7D"/>
    <w:rsid w:val="008A7672"/>
    <w:rsid w:val="008C3209"/>
    <w:rsid w:val="009E5C1A"/>
    <w:rsid w:val="00A14E74"/>
    <w:rsid w:val="00A50BC8"/>
    <w:rsid w:val="00AA101F"/>
    <w:rsid w:val="00B2627F"/>
    <w:rsid w:val="00B57A32"/>
    <w:rsid w:val="00B74C6D"/>
    <w:rsid w:val="00C61900"/>
    <w:rsid w:val="00C62CCF"/>
    <w:rsid w:val="00D20B4C"/>
    <w:rsid w:val="00D60A8C"/>
    <w:rsid w:val="00D81B57"/>
    <w:rsid w:val="00E10C27"/>
    <w:rsid w:val="00F821D4"/>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880B7D"/>
    <w:pPr>
      <w:ind w:left="720"/>
      <w:contextualSpacing/>
    </w:pPr>
  </w:style>
  <w:style w:type="paragraph" w:styleId="Header">
    <w:name w:val="header"/>
    <w:basedOn w:val="Normal"/>
    <w:link w:val="HeaderChar"/>
    <w:uiPriority w:val="99"/>
    <w:unhideWhenUsed/>
    <w:rsid w:val="004A2ED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A2EDF"/>
    <w:rPr>
      <w:rFonts w:ascii="Times New Roman" w:hAnsi="Times New Roman"/>
      <w:sz w:val="24"/>
    </w:rPr>
  </w:style>
  <w:style w:type="paragraph" w:styleId="Footer">
    <w:name w:val="footer"/>
    <w:basedOn w:val="Normal"/>
    <w:link w:val="FooterChar"/>
    <w:uiPriority w:val="99"/>
    <w:semiHidden/>
    <w:unhideWhenUsed/>
    <w:rsid w:val="004A2EDF"/>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4A2EDF"/>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4</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User</cp:lastModifiedBy>
  <cp:revision>17</cp:revision>
  <cp:lastPrinted>2019-05-29T07:46:00Z</cp:lastPrinted>
  <dcterms:created xsi:type="dcterms:W3CDTF">2019-05-28T12:31:00Z</dcterms:created>
  <dcterms:modified xsi:type="dcterms:W3CDTF">2019-05-29T08:09:00Z</dcterms:modified>
</cp:coreProperties>
</file>