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85" w:rsidRPr="00047C13" w:rsidRDefault="00475D85" w:rsidP="00475D85">
      <w:pPr>
        <w:spacing w:line="360" w:lineRule="auto"/>
        <w:jc w:val="both"/>
        <w:rPr>
          <w:b/>
        </w:rPr>
      </w:pPr>
      <w:bookmarkStart w:id="0" w:name="_GoBack"/>
      <w:bookmarkEnd w:id="0"/>
      <w:proofErr w:type="gramStart"/>
      <w:r w:rsidRPr="00047C13">
        <w:rPr>
          <w:b/>
        </w:rPr>
        <w:t>IN T</w:t>
      </w:r>
      <w:r>
        <w:rPr>
          <w:b/>
        </w:rPr>
        <w:t>HE LABOUR COURT OF ZIMBABWE      JUDGMENT NO.</w:t>
      </w:r>
      <w:proofErr w:type="gramEnd"/>
      <w:r>
        <w:rPr>
          <w:b/>
        </w:rPr>
        <w:t xml:space="preserve"> LC/H/</w:t>
      </w:r>
      <w:r w:rsidR="00040155">
        <w:rPr>
          <w:b/>
        </w:rPr>
        <w:t>329</w:t>
      </w:r>
      <w:r>
        <w:rPr>
          <w:b/>
        </w:rPr>
        <w:t>/2014</w:t>
      </w:r>
    </w:p>
    <w:p w:rsidR="00475D85" w:rsidRDefault="00475D85" w:rsidP="00475D85">
      <w:pPr>
        <w:spacing w:line="360" w:lineRule="auto"/>
        <w:jc w:val="both"/>
        <w:rPr>
          <w:b/>
        </w:rPr>
      </w:pPr>
      <w:r w:rsidRPr="00047C13">
        <w:rPr>
          <w:b/>
        </w:rPr>
        <w:t xml:space="preserve">HARARE, </w:t>
      </w:r>
      <w:r>
        <w:rPr>
          <w:b/>
        </w:rPr>
        <w:t>29 MAY 2014</w:t>
      </w:r>
      <w:r w:rsidRPr="00047C13">
        <w:rPr>
          <w:b/>
        </w:rPr>
        <w:tab/>
      </w:r>
      <w:r w:rsidR="00040155">
        <w:rPr>
          <w:b/>
        </w:rPr>
        <w:t>&amp; 6 JUNE 2014</w:t>
      </w:r>
      <w:r w:rsidRPr="00047C13">
        <w:rPr>
          <w:b/>
        </w:rPr>
        <w:t xml:space="preserve">    </w:t>
      </w:r>
      <w:r w:rsidRPr="00047C13">
        <w:rPr>
          <w:b/>
        </w:rPr>
        <w:tab/>
      </w:r>
      <w:r w:rsidRPr="00047C13">
        <w:rPr>
          <w:b/>
        </w:rPr>
        <w:tab/>
      </w:r>
      <w:r w:rsidR="00040155">
        <w:rPr>
          <w:b/>
        </w:rPr>
        <w:t xml:space="preserve">     </w:t>
      </w:r>
      <w:r w:rsidRPr="00047C13">
        <w:rPr>
          <w:b/>
        </w:rPr>
        <w:t>CASE NO. LC/H/</w:t>
      </w:r>
      <w:r>
        <w:rPr>
          <w:b/>
        </w:rPr>
        <w:t>524/13</w:t>
      </w:r>
    </w:p>
    <w:p w:rsidR="00475D85" w:rsidRPr="00047C13" w:rsidRDefault="00475D85" w:rsidP="00475D85">
      <w:pPr>
        <w:spacing w:line="360" w:lineRule="auto"/>
        <w:jc w:val="both"/>
      </w:pPr>
      <w:r w:rsidRPr="00047C13">
        <w:t>In the matter between</w:t>
      </w:r>
      <w:r>
        <w:t>:-</w:t>
      </w:r>
    </w:p>
    <w:p w:rsidR="00475D85" w:rsidRPr="00047C13" w:rsidRDefault="00475D85" w:rsidP="00475D85">
      <w:pPr>
        <w:spacing w:line="360" w:lineRule="auto"/>
        <w:jc w:val="both"/>
      </w:pPr>
    </w:p>
    <w:p w:rsidR="00475D85" w:rsidRPr="00047C13" w:rsidRDefault="00475D85" w:rsidP="00475D85">
      <w:pPr>
        <w:spacing w:line="360" w:lineRule="auto"/>
        <w:jc w:val="both"/>
        <w:rPr>
          <w:b/>
        </w:rPr>
      </w:pPr>
      <w:r>
        <w:rPr>
          <w:b/>
        </w:rPr>
        <w:t>PHINEAS RANJI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</w:t>
      </w:r>
      <w:r>
        <w:rPr>
          <w:b/>
        </w:rPr>
        <w:tab/>
      </w:r>
      <w:r>
        <w:rPr>
          <w:b/>
        </w:rPr>
        <w:tab/>
        <w:t>Appellant</w:t>
      </w:r>
    </w:p>
    <w:p w:rsidR="00475D85" w:rsidRPr="00047C13" w:rsidRDefault="00475D85" w:rsidP="00475D85">
      <w:pPr>
        <w:tabs>
          <w:tab w:val="left" w:pos="1995"/>
        </w:tabs>
        <w:spacing w:line="360" w:lineRule="auto"/>
        <w:jc w:val="both"/>
        <w:outlineLvl w:val="0"/>
      </w:pPr>
      <w:r w:rsidRPr="00047C13">
        <w:t>And</w:t>
      </w:r>
      <w:r w:rsidRPr="00047C13">
        <w:tab/>
      </w:r>
    </w:p>
    <w:p w:rsidR="00475D85" w:rsidRPr="00047C13" w:rsidRDefault="00475D85" w:rsidP="00475D85">
      <w:pPr>
        <w:spacing w:line="360" w:lineRule="auto"/>
        <w:jc w:val="both"/>
        <w:rPr>
          <w:b/>
        </w:rPr>
      </w:pPr>
      <w:r>
        <w:rPr>
          <w:b/>
        </w:rPr>
        <w:t>HEALTH SERVICES BOARD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</w:t>
      </w:r>
      <w:r>
        <w:rPr>
          <w:b/>
        </w:rPr>
        <w:tab/>
      </w:r>
      <w:r>
        <w:rPr>
          <w:b/>
        </w:rPr>
        <w:tab/>
        <w:t>Respondent</w:t>
      </w:r>
    </w:p>
    <w:p w:rsidR="00475D85" w:rsidRPr="00047C13" w:rsidRDefault="00475D85" w:rsidP="00475D85">
      <w:pPr>
        <w:spacing w:line="360" w:lineRule="auto"/>
        <w:jc w:val="both"/>
        <w:rPr>
          <w:b/>
        </w:rPr>
      </w:pPr>
    </w:p>
    <w:p w:rsidR="00475D85" w:rsidRDefault="00475D85" w:rsidP="00475D85">
      <w:pPr>
        <w:spacing w:line="360" w:lineRule="auto"/>
        <w:jc w:val="both"/>
        <w:outlineLvl w:val="0"/>
      </w:pPr>
      <w:r>
        <w:t xml:space="preserve">Before Honourable L.M. </w:t>
      </w:r>
      <w:proofErr w:type="spellStart"/>
      <w:r>
        <w:t>Murasi</w:t>
      </w:r>
      <w:proofErr w:type="spellEnd"/>
      <w:r>
        <w:t xml:space="preserve">, Judge                             </w:t>
      </w:r>
    </w:p>
    <w:p w:rsidR="00475D85" w:rsidRDefault="00475D85" w:rsidP="00475D85">
      <w:pPr>
        <w:spacing w:line="360" w:lineRule="auto"/>
        <w:jc w:val="both"/>
      </w:pPr>
      <w:r w:rsidRPr="00047C13">
        <w:tab/>
      </w:r>
      <w:r w:rsidRPr="00047C13">
        <w:tab/>
      </w:r>
      <w:r w:rsidRPr="00047C13">
        <w:tab/>
      </w:r>
    </w:p>
    <w:p w:rsidR="00475D85" w:rsidRPr="00FA759F" w:rsidRDefault="00475D85" w:rsidP="00475D85">
      <w:pPr>
        <w:spacing w:line="360" w:lineRule="auto"/>
        <w:jc w:val="both"/>
      </w:pPr>
      <w:r w:rsidRPr="00047C13">
        <w:rPr>
          <w:b/>
        </w:rPr>
        <w:t>App</w:t>
      </w:r>
      <w:r>
        <w:rPr>
          <w:b/>
        </w:rPr>
        <w:t>ellant</w:t>
      </w:r>
      <w:r>
        <w:rPr>
          <w:b/>
        </w:rPr>
        <w:tab/>
      </w:r>
      <w:r w:rsidRPr="00047C13">
        <w:rPr>
          <w:b/>
        </w:rPr>
        <w:tab/>
      </w:r>
      <w:r>
        <w:rPr>
          <w:b/>
        </w:rPr>
        <w:tab/>
      </w:r>
      <w:r w:rsidRPr="00047C13">
        <w:rPr>
          <w:b/>
        </w:rPr>
        <w:t>-</w:t>
      </w:r>
      <w:r w:rsidRPr="00047C13">
        <w:rPr>
          <w:b/>
        </w:rPr>
        <w:tab/>
      </w:r>
      <w:r>
        <w:rPr>
          <w:b/>
        </w:rPr>
        <w:t>In person</w:t>
      </w:r>
    </w:p>
    <w:p w:rsidR="00475D85" w:rsidRDefault="00475D85" w:rsidP="00475D85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  <w:t>-</w:t>
      </w:r>
      <w:r>
        <w:rPr>
          <w:b/>
        </w:rPr>
        <w:tab/>
        <w:t xml:space="preserve">Mr. C. </w:t>
      </w:r>
      <w:proofErr w:type="spellStart"/>
      <w:r>
        <w:rPr>
          <w:b/>
        </w:rPr>
        <w:t>Gutu</w:t>
      </w:r>
      <w:proofErr w:type="spellEnd"/>
      <w:r>
        <w:rPr>
          <w:b/>
        </w:rPr>
        <w:t xml:space="preserve"> (Legal Advisor)</w:t>
      </w:r>
    </w:p>
    <w:p w:rsidR="00475D85" w:rsidRPr="00047C13" w:rsidRDefault="00475D85" w:rsidP="00475D85">
      <w:pPr>
        <w:spacing w:line="360" w:lineRule="auto"/>
        <w:jc w:val="both"/>
        <w:rPr>
          <w:b/>
        </w:rPr>
      </w:pPr>
    </w:p>
    <w:p w:rsidR="00475D85" w:rsidRDefault="00475D85" w:rsidP="00475D85">
      <w:pPr>
        <w:spacing w:line="360" w:lineRule="auto"/>
        <w:jc w:val="both"/>
        <w:outlineLvl w:val="0"/>
        <w:rPr>
          <w:b/>
        </w:rPr>
      </w:pPr>
      <w:r>
        <w:rPr>
          <w:b/>
        </w:rPr>
        <w:t>MURASI J:</w:t>
      </w:r>
    </w:p>
    <w:p w:rsidR="00475D85" w:rsidRDefault="00475D85" w:rsidP="00475D85">
      <w:pPr>
        <w:spacing w:line="276" w:lineRule="auto"/>
      </w:pPr>
    </w:p>
    <w:p w:rsidR="00475D85" w:rsidRDefault="00475D85" w:rsidP="00475D85">
      <w:pPr>
        <w:spacing w:line="360" w:lineRule="auto"/>
        <w:jc w:val="both"/>
      </w:pPr>
      <w:r>
        <w:tab/>
        <w:t xml:space="preserve">Appellant was employed by the Respondent as a Mortuary Assistant.  He is alleged to have received money and application forms from one Mrs. </w:t>
      </w:r>
      <w:proofErr w:type="spellStart"/>
      <w:r>
        <w:t>Mtandwa</w:t>
      </w:r>
      <w:proofErr w:type="spellEnd"/>
      <w:r>
        <w:t xml:space="preserve">.  These forms were for Mrs. </w:t>
      </w:r>
      <w:proofErr w:type="spellStart"/>
      <w:r>
        <w:t>Mtandwa’s</w:t>
      </w:r>
      <w:proofErr w:type="spellEnd"/>
      <w:r>
        <w:t xml:space="preserve"> relative who wanted to secure a vacancy as a student nurse.  Appellant is alleged to have given the application forms and $200</w:t>
      </w:r>
      <w:proofErr w:type="gramStart"/>
      <w:r>
        <w:t>,00</w:t>
      </w:r>
      <w:proofErr w:type="gramEnd"/>
      <w:r>
        <w:t xml:space="preserve"> to Mrs. </w:t>
      </w:r>
      <w:proofErr w:type="spellStart"/>
      <w:r>
        <w:t>Mokina</w:t>
      </w:r>
      <w:proofErr w:type="spellEnd"/>
      <w:r>
        <w:t xml:space="preserve"> for processing.  Matters came to a head when this vacancy did not materialize and Mrs. </w:t>
      </w:r>
      <w:proofErr w:type="spellStart"/>
      <w:r>
        <w:t>Mtandwa</w:t>
      </w:r>
      <w:proofErr w:type="spellEnd"/>
      <w:r>
        <w:t xml:space="preserve"> made a report to the police.  Appellant was brought before a Disciplinary Committee which recommended his dismissal.  Appellant appealed to the Health Services Board which confirmed his dismissal.  Appellant is dissatisfied and has appealed to this court.</w:t>
      </w:r>
    </w:p>
    <w:p w:rsidR="00475D85" w:rsidRDefault="00475D85" w:rsidP="00475D85">
      <w:pPr>
        <w:spacing w:line="276" w:lineRule="auto"/>
        <w:jc w:val="both"/>
      </w:pPr>
    </w:p>
    <w:p w:rsidR="00475D85" w:rsidRDefault="00475D85" w:rsidP="00475D85">
      <w:pPr>
        <w:spacing w:line="360" w:lineRule="auto"/>
        <w:jc w:val="both"/>
      </w:pPr>
      <w:r>
        <w:tab/>
        <w:t>Appellant’s main ground of appeal is that he was subsequently found not guilty by the criminal court and therefore the decision to dismiss him should be quashed.</w:t>
      </w:r>
    </w:p>
    <w:p w:rsidR="00475D85" w:rsidRDefault="00475D85" w:rsidP="00475D85">
      <w:pPr>
        <w:spacing w:line="276" w:lineRule="auto"/>
        <w:jc w:val="both"/>
      </w:pPr>
    </w:p>
    <w:p w:rsidR="00475D85" w:rsidRDefault="00475D85" w:rsidP="00475D85">
      <w:pPr>
        <w:spacing w:line="360" w:lineRule="auto"/>
        <w:jc w:val="both"/>
      </w:pPr>
      <w:r>
        <w:tab/>
        <w:t xml:space="preserve">Respondent submitted that the evidence that was given at the hearing, coupled with Appellant’s own admissions, would lead anyone to conclude that this was a corrupt practice.  Respondent further submitted that Appellant’s statement </w:t>
      </w:r>
      <w:r>
        <w:lastRenderedPageBreak/>
        <w:t>that he was going to return the money was fallacious given the circumstances of the case.</w:t>
      </w:r>
    </w:p>
    <w:p w:rsidR="00475D85" w:rsidRDefault="00475D85" w:rsidP="00475D85">
      <w:pPr>
        <w:spacing w:line="276" w:lineRule="auto"/>
        <w:jc w:val="both"/>
      </w:pPr>
    </w:p>
    <w:p w:rsidR="00475D85" w:rsidRDefault="00475D85" w:rsidP="00475D85">
      <w:pPr>
        <w:spacing w:line="360" w:lineRule="auto"/>
        <w:jc w:val="both"/>
      </w:pPr>
      <w:r>
        <w:tab/>
        <w:t xml:space="preserve">The Court notes from the record that Appellant relies on an extract from the Clerk of Court at </w:t>
      </w:r>
      <w:proofErr w:type="spellStart"/>
      <w:r>
        <w:t>Mbare</w:t>
      </w:r>
      <w:proofErr w:type="spellEnd"/>
      <w:r>
        <w:t xml:space="preserve"> Magistrates Court.  The extract reads: </w:t>
      </w:r>
    </w:p>
    <w:p w:rsidR="00475D85" w:rsidRDefault="00475D85" w:rsidP="00475D85">
      <w:pPr>
        <w:spacing w:line="276" w:lineRule="auto"/>
        <w:jc w:val="both"/>
      </w:pPr>
    </w:p>
    <w:p w:rsidR="00475D85" w:rsidRPr="009B0EA0" w:rsidRDefault="00475D85" w:rsidP="00475D85">
      <w:pPr>
        <w:spacing w:line="276" w:lineRule="auto"/>
        <w:ind w:left="720"/>
        <w:jc w:val="both"/>
        <w:rPr>
          <w:i/>
        </w:rPr>
      </w:pPr>
      <w:r w:rsidRPr="009B0EA0">
        <w:rPr>
          <w:i/>
        </w:rPr>
        <w:t>“</w:t>
      </w:r>
      <w:proofErr w:type="gramStart"/>
      <w:r w:rsidRPr="009B0EA0">
        <w:rPr>
          <w:i/>
        </w:rPr>
        <w:t>FRR(</w:t>
      </w:r>
      <w:proofErr w:type="gramEnd"/>
      <w:r w:rsidRPr="009B0EA0">
        <w:rPr>
          <w:i/>
        </w:rPr>
        <w:t>Further Remand Refused).  The State papers are not in order.  The essential elements highlighted on the charge sheet do not make up the charge of extortion.”</w:t>
      </w:r>
    </w:p>
    <w:p w:rsidR="00475D85" w:rsidRDefault="00475D85" w:rsidP="00475D85">
      <w:pPr>
        <w:spacing w:line="276" w:lineRule="auto"/>
        <w:jc w:val="both"/>
      </w:pPr>
    </w:p>
    <w:p w:rsidR="00475D85" w:rsidRDefault="00475D85" w:rsidP="00475D85">
      <w:pPr>
        <w:spacing w:line="360" w:lineRule="auto"/>
        <w:jc w:val="both"/>
      </w:pPr>
      <w:r>
        <w:tab/>
        <w:t xml:space="preserve">A reading of the extract clearly shows that Appellant was not acquitted.  The criminal court merely removed him from the remand system.  That ground of appeal therefore fails.  Even if </w:t>
      </w:r>
      <w:r w:rsidR="000D59C2">
        <w:t xml:space="preserve">Appellant had been acquitted at </w:t>
      </w:r>
      <w:r>
        <w:t>the criminal court, it would not automatically mean that the proceedings at the workplace would be nullified.  I say this for two reasons.  Firstly, it is clear that the standard of proof required by a criminal court and that required in civil proceedings are quite different.  Secondly, an acquittal in a criminal trial does not bar an employer from instituting disciplinary hearings against the employee.</w:t>
      </w:r>
    </w:p>
    <w:p w:rsidR="00475D85" w:rsidRDefault="00475D85" w:rsidP="00475D85">
      <w:pPr>
        <w:spacing w:line="276" w:lineRule="auto"/>
        <w:jc w:val="both"/>
      </w:pPr>
    </w:p>
    <w:p w:rsidR="00475D85" w:rsidRDefault="00475D85" w:rsidP="00475D85">
      <w:pPr>
        <w:spacing w:line="360" w:lineRule="auto"/>
        <w:jc w:val="both"/>
      </w:pPr>
      <w:r>
        <w:tab/>
        <w:t xml:space="preserve">An analysis of the evidence in the record shows that Appellant is the one who received the money and the application forms from Mrs. </w:t>
      </w:r>
      <w:proofErr w:type="spellStart"/>
      <w:r>
        <w:t>Mtandwa</w:t>
      </w:r>
      <w:proofErr w:type="spellEnd"/>
      <w:r>
        <w:t>.  Appellant is the one who forwarded</w:t>
      </w:r>
      <w:r w:rsidR="000D59C2">
        <w:t xml:space="preserve"> them</w:t>
      </w:r>
      <w:r>
        <w:t xml:space="preserve"> to Mrs. </w:t>
      </w:r>
      <w:proofErr w:type="spellStart"/>
      <w:r>
        <w:t>Mokina</w:t>
      </w:r>
      <w:proofErr w:type="spellEnd"/>
      <w:r>
        <w:t>.  The purpose was to facilitate Mrs.</w:t>
      </w:r>
      <w:r w:rsidR="000D59C2">
        <w:t xml:space="preserve"> </w:t>
      </w:r>
      <w:proofErr w:type="spellStart"/>
      <w:r>
        <w:t>Mtandwa’s</w:t>
      </w:r>
      <w:proofErr w:type="spellEnd"/>
      <w:r>
        <w:t xml:space="preserve"> relative obtain a vacancy as a student nurse.  This </w:t>
      </w:r>
      <w:r w:rsidR="000D59C2">
        <w:t xml:space="preserve">is </w:t>
      </w:r>
      <w:r>
        <w:t>outside Appellant’s duties as a Mortuary Assistant.  These facts are admitted by the Appellant</w:t>
      </w:r>
      <w:r w:rsidR="000D59C2">
        <w:t>.   W</w:t>
      </w:r>
      <w:r>
        <w:t xml:space="preserve">as the Respondent wrong in dismissing the Appellant?  I think </w:t>
      </w:r>
      <w:r w:rsidR="000D59C2">
        <w:t xml:space="preserve">not. </w:t>
      </w:r>
      <w:r w:rsidRPr="00554404">
        <w:t>SANDURA JA</w:t>
      </w:r>
      <w:r>
        <w:t xml:space="preserve"> had this to say in </w:t>
      </w:r>
      <w:r w:rsidRPr="009B0EA0">
        <w:rPr>
          <w:i/>
        </w:rPr>
        <w:t>JAMES KANDONE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r w:rsidRPr="009B0EA0">
        <w:rPr>
          <w:i/>
        </w:rPr>
        <w:t>SHADES OF BLACK COSMETICS (PVT) LTD</w:t>
      </w:r>
      <w:r>
        <w:t xml:space="preserve"> SC 115/04:</w:t>
      </w:r>
    </w:p>
    <w:p w:rsidR="00475D85" w:rsidRDefault="00475D85" w:rsidP="00475D85">
      <w:pPr>
        <w:spacing w:line="276" w:lineRule="auto"/>
        <w:jc w:val="both"/>
      </w:pPr>
    </w:p>
    <w:p w:rsidR="00475D85" w:rsidRDefault="00475D85" w:rsidP="00475D85">
      <w:pPr>
        <w:spacing w:line="276" w:lineRule="auto"/>
        <w:ind w:left="720"/>
        <w:jc w:val="both"/>
      </w:pPr>
      <w:r>
        <w:t>“</w:t>
      </w:r>
      <w:r w:rsidRPr="009B0EA0">
        <w:rPr>
          <w:i/>
        </w:rPr>
        <w:t xml:space="preserve">It must be borne in mind that by entering into a contract of employment the employee subjects himself to the employer’s control and should behave accordingly.  </w:t>
      </w:r>
      <w:proofErr w:type="gramStart"/>
      <w:r w:rsidRPr="009B0EA0">
        <w:rPr>
          <w:i/>
        </w:rPr>
        <w:t>Any behaviour on the part of the employee which is wholly inconsistent with that relationship would render the continuation of that relationship untenable and would undoubtedly constitute a repudiation of the contract of employment.”</w:t>
      </w:r>
      <w:proofErr w:type="gramEnd"/>
      <w:r>
        <w:t xml:space="preserve"> </w:t>
      </w:r>
    </w:p>
    <w:p w:rsidR="00475D85" w:rsidRDefault="00475D85" w:rsidP="00475D85">
      <w:pPr>
        <w:spacing w:line="360" w:lineRule="auto"/>
        <w:jc w:val="both"/>
      </w:pPr>
    </w:p>
    <w:p w:rsidR="00475D85" w:rsidRDefault="00475D85" w:rsidP="00475D85">
      <w:pPr>
        <w:spacing w:line="360" w:lineRule="auto"/>
        <w:jc w:val="both"/>
      </w:pPr>
      <w:r>
        <w:lastRenderedPageBreak/>
        <w:tab/>
        <w:t>It is evident that Appellant’s conduct was inconsistent with the relationship between him and the employer.  It is a case in which a reasonable employer would be entitled to dismiss.</w:t>
      </w:r>
    </w:p>
    <w:p w:rsidR="00475D85" w:rsidRDefault="00475D85" w:rsidP="00475D85">
      <w:pPr>
        <w:spacing w:line="276" w:lineRule="auto"/>
        <w:jc w:val="both"/>
      </w:pPr>
    </w:p>
    <w:p w:rsidR="00475D85" w:rsidRDefault="00475D85" w:rsidP="00475D85">
      <w:pPr>
        <w:spacing w:line="360" w:lineRule="auto"/>
        <w:jc w:val="both"/>
      </w:pPr>
      <w:r>
        <w:tab/>
        <w:t>In the result the Court finds that there is no merit in the appeal and it is accordingly dismissed.</w:t>
      </w:r>
    </w:p>
    <w:p w:rsidR="00475D85" w:rsidRDefault="00475D85" w:rsidP="00475D85">
      <w:pPr>
        <w:spacing w:line="276" w:lineRule="auto"/>
        <w:jc w:val="both"/>
      </w:pPr>
    </w:p>
    <w:p w:rsidR="00475D85" w:rsidRDefault="00475D85" w:rsidP="00475D85">
      <w:pPr>
        <w:spacing w:line="360" w:lineRule="auto"/>
        <w:jc w:val="both"/>
      </w:pPr>
      <w:r>
        <w:t>There is no order as to costs.</w:t>
      </w:r>
    </w:p>
    <w:p w:rsidR="0035672E" w:rsidRDefault="001E0849"/>
    <w:sectPr w:rsidR="0035672E" w:rsidSect="00962DC6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49" w:rsidRDefault="001E0849" w:rsidP="00DE105C">
      <w:r>
        <w:separator/>
      </w:r>
    </w:p>
  </w:endnote>
  <w:endnote w:type="continuationSeparator" w:id="0">
    <w:p w:rsidR="001E0849" w:rsidRDefault="001E0849" w:rsidP="00DE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3515"/>
      <w:docPartObj>
        <w:docPartGallery w:val="Page Numbers (Bottom of Page)"/>
        <w:docPartUnique/>
      </w:docPartObj>
    </w:sdtPr>
    <w:sdtEndPr/>
    <w:sdtContent>
      <w:p w:rsidR="00DA0FA6" w:rsidRDefault="007279E1">
        <w:pPr>
          <w:pStyle w:val="Footer"/>
          <w:jc w:val="center"/>
        </w:pPr>
        <w:r>
          <w:fldChar w:fldCharType="begin"/>
        </w:r>
        <w:r w:rsidR="00475D85">
          <w:instrText xml:space="preserve"> PAGE   \* MERGEFORMAT </w:instrText>
        </w:r>
        <w:r>
          <w:fldChar w:fldCharType="separate"/>
        </w:r>
        <w:r w:rsidR="00CE6DB3">
          <w:rPr>
            <w:noProof/>
          </w:rPr>
          <w:t>3</w:t>
        </w:r>
        <w:r>
          <w:fldChar w:fldCharType="end"/>
        </w:r>
      </w:p>
    </w:sdtContent>
  </w:sdt>
  <w:p w:rsidR="00DA0FA6" w:rsidRDefault="001E08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49" w:rsidRDefault="001E0849" w:rsidP="00DE105C">
      <w:r>
        <w:separator/>
      </w:r>
    </w:p>
  </w:footnote>
  <w:footnote w:type="continuationSeparator" w:id="0">
    <w:p w:rsidR="001E0849" w:rsidRDefault="001E0849" w:rsidP="00DE1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FA6" w:rsidRPr="00962DC6" w:rsidRDefault="00040155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LC/H/329</w:t>
    </w:r>
    <w:r w:rsidR="00475D85">
      <w:rPr>
        <w:lang w:val="en-ZW"/>
      </w:rPr>
      <w:t>/2014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85"/>
    <w:rsid w:val="00040155"/>
    <w:rsid w:val="0009259B"/>
    <w:rsid w:val="000D59C2"/>
    <w:rsid w:val="00126B09"/>
    <w:rsid w:val="00127A69"/>
    <w:rsid w:val="001E0849"/>
    <w:rsid w:val="00287F23"/>
    <w:rsid w:val="00475D85"/>
    <w:rsid w:val="00481E23"/>
    <w:rsid w:val="00512077"/>
    <w:rsid w:val="00660624"/>
    <w:rsid w:val="007279E1"/>
    <w:rsid w:val="007B73A5"/>
    <w:rsid w:val="008074C6"/>
    <w:rsid w:val="00847CDC"/>
    <w:rsid w:val="009E2BCB"/>
    <w:rsid w:val="00B04B81"/>
    <w:rsid w:val="00C04471"/>
    <w:rsid w:val="00CE6DB3"/>
    <w:rsid w:val="00D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D85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5D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5D85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5D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D85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D85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5D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5D85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5D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D85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</dc:creator>
  <cp:lastModifiedBy>HP</cp:lastModifiedBy>
  <cp:revision>2</cp:revision>
  <cp:lastPrinted>2014-06-03T10:10:00Z</cp:lastPrinted>
  <dcterms:created xsi:type="dcterms:W3CDTF">2017-04-06T08:00:00Z</dcterms:created>
  <dcterms:modified xsi:type="dcterms:W3CDTF">2017-04-06T08:00:00Z</dcterms:modified>
</cp:coreProperties>
</file>