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D5" w:rsidRDefault="002A2301">
      <w:pPr>
        <w:pStyle w:val="Heading1"/>
        <w:spacing w:before="61" w:line="496" w:lineRule="auto"/>
        <w:ind w:right="38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HELD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HARARE</w:t>
      </w:r>
      <w:r>
        <w:rPr>
          <w:spacing w:val="7"/>
        </w:rPr>
        <w:t xml:space="preserve"> </w:t>
      </w:r>
      <w:r>
        <w:t>27</w:t>
      </w:r>
      <w:r>
        <w:rPr>
          <w:position w:val="8"/>
          <w:sz w:val="16"/>
        </w:rPr>
        <w:t>TH</w:t>
      </w:r>
      <w:r>
        <w:rPr>
          <w:spacing w:val="26"/>
          <w:position w:val="8"/>
          <w:sz w:val="16"/>
        </w:rPr>
        <w:t xml:space="preserve"> </w:t>
      </w:r>
      <w:r>
        <w:t>JUNE</w:t>
      </w:r>
      <w:r>
        <w:rPr>
          <w:spacing w:val="7"/>
        </w:rPr>
        <w:t xml:space="preserve"> </w:t>
      </w:r>
      <w:r>
        <w:t>2023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2023</w:t>
      </w:r>
    </w:p>
    <w:p w:rsidR="00F338D5" w:rsidRDefault="002A2301">
      <w:pPr>
        <w:pStyle w:val="BodyText"/>
        <w:spacing w:before="3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:rsidR="00F338D5" w:rsidRDefault="00F338D5">
      <w:pPr>
        <w:pStyle w:val="BodyText"/>
        <w:spacing w:before="10"/>
        <w:rPr>
          <w:sz w:val="25"/>
        </w:rPr>
      </w:pPr>
    </w:p>
    <w:p w:rsidR="00F338D5" w:rsidRDefault="002A2301">
      <w:pPr>
        <w:pStyle w:val="Heading1"/>
        <w:spacing w:before="1"/>
      </w:pPr>
      <w:r>
        <w:t>PHILLIP</w:t>
      </w:r>
      <w:r>
        <w:rPr>
          <w:spacing w:val="-3"/>
        </w:rPr>
        <w:t xml:space="preserve"> </w:t>
      </w:r>
      <w:r>
        <w:t>ZVOSE</w:t>
      </w:r>
      <w:r>
        <w:rPr>
          <w:spacing w:val="-1"/>
        </w:rPr>
        <w:t xml:space="preserve"> </w:t>
      </w:r>
      <w:r>
        <w:t>MUCHERI</w:t>
      </w:r>
    </w:p>
    <w:p w:rsidR="00F338D5" w:rsidRDefault="00F338D5">
      <w:pPr>
        <w:pStyle w:val="BodyText"/>
        <w:spacing w:before="10"/>
        <w:rPr>
          <w:b/>
          <w:sz w:val="25"/>
        </w:rPr>
      </w:pPr>
    </w:p>
    <w:p w:rsidR="00F338D5" w:rsidRDefault="002A2301">
      <w:pPr>
        <w:pStyle w:val="BodyText"/>
        <w:ind w:left="100"/>
      </w:pPr>
      <w:r>
        <w:t>And</w:t>
      </w:r>
    </w:p>
    <w:p w:rsidR="00F338D5" w:rsidRDefault="002A2301">
      <w:pPr>
        <w:pStyle w:val="Heading1"/>
        <w:spacing w:before="62" w:line="499" w:lineRule="auto"/>
        <w:ind w:right="172"/>
      </w:pPr>
      <w:r>
        <w:rPr>
          <w:b w:val="0"/>
        </w:rPr>
        <w:br w:type="column"/>
      </w:r>
      <w:r>
        <w:t>JUDGMENT NO LC/H/255/23</w:t>
      </w:r>
      <w:r>
        <w:rPr>
          <w:spacing w:val="-57"/>
        </w:rPr>
        <w:t xml:space="preserve"> </w:t>
      </w:r>
      <w:r>
        <w:t>CASE NO.LC/H/240/23</w:t>
      </w: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spacing w:before="9"/>
        <w:rPr>
          <w:b/>
          <w:sz w:val="21"/>
        </w:rPr>
      </w:pPr>
    </w:p>
    <w:p w:rsidR="00F338D5" w:rsidRDefault="002A2301">
      <w:pPr>
        <w:ind w:left="203"/>
        <w:rPr>
          <w:b/>
          <w:sz w:val="24"/>
        </w:rPr>
      </w:pPr>
      <w:r>
        <w:rPr>
          <w:b/>
          <w:sz w:val="24"/>
        </w:rPr>
        <w:t>APPLICANT</w:t>
      </w:r>
    </w:p>
    <w:p w:rsidR="00F338D5" w:rsidRDefault="00F338D5">
      <w:pPr>
        <w:rPr>
          <w:sz w:val="24"/>
        </w:rPr>
        <w:sectPr w:rsidR="00F338D5">
          <w:type w:val="continuous"/>
          <w:pgSz w:w="11910" w:h="16840"/>
          <w:pgMar w:top="1360" w:right="1340" w:bottom="280" w:left="1340" w:header="720" w:footer="720" w:gutter="0"/>
          <w:cols w:num="2" w:space="720" w:equalWidth="0">
            <w:col w:w="4811" w:space="953"/>
            <w:col w:w="3466"/>
          </w:cols>
        </w:sectPr>
      </w:pPr>
    </w:p>
    <w:p w:rsidR="00F338D5" w:rsidRDefault="00F338D5">
      <w:pPr>
        <w:pStyle w:val="BodyText"/>
        <w:spacing w:before="1"/>
        <w:rPr>
          <w:b/>
          <w:sz w:val="18"/>
        </w:rPr>
      </w:pPr>
    </w:p>
    <w:p w:rsidR="00F338D5" w:rsidRDefault="002A2301">
      <w:pPr>
        <w:pStyle w:val="Heading1"/>
        <w:tabs>
          <w:tab w:val="left" w:pos="5981"/>
        </w:tabs>
        <w:spacing w:before="90"/>
      </w:pPr>
      <w:r>
        <w:t>CITY OF</w:t>
      </w:r>
      <w:r>
        <w:rPr>
          <w:spacing w:val="-3"/>
        </w:rPr>
        <w:t xml:space="preserve"> </w:t>
      </w:r>
      <w:r>
        <w:t>HARARE</w:t>
      </w:r>
      <w:r>
        <w:tab/>
        <w:t>RESPONDENT</w:t>
      </w: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spacing w:before="9"/>
        <w:rPr>
          <w:b/>
          <w:sz w:val="23"/>
        </w:rPr>
      </w:pPr>
    </w:p>
    <w:p w:rsidR="00F338D5" w:rsidRDefault="002A2301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JUDGE.</w:t>
      </w: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rPr>
          <w:b/>
        </w:rPr>
      </w:pPr>
    </w:p>
    <w:p w:rsidR="00F338D5" w:rsidRDefault="002A2301">
      <w:pPr>
        <w:pStyle w:val="Heading1"/>
        <w:tabs>
          <w:tab w:val="left" w:pos="3040"/>
        </w:tabs>
        <w:spacing w:line="499" w:lineRule="auto"/>
        <w:ind w:right="2087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tab/>
        <w:t xml:space="preserve">: </w:t>
      </w:r>
      <w:proofErr w:type="spellStart"/>
      <w:r>
        <w:t>Ms</w:t>
      </w:r>
      <w:proofErr w:type="spellEnd"/>
      <w:r>
        <w:t xml:space="preserve"> K </w:t>
      </w:r>
      <w:proofErr w:type="spellStart"/>
      <w:r>
        <w:t>Munyewede</w:t>
      </w:r>
      <w:proofErr w:type="spellEnd"/>
      <w:r>
        <w:t xml:space="preserve"> (Legal Practitioner)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RESPONDENT</w:t>
      </w:r>
      <w:r>
        <w:rPr>
          <w:spacing w:val="58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rPr>
          <w:spacing w:val="-2"/>
        </w:rPr>
        <w:t xml:space="preserve"> </w:t>
      </w:r>
      <w:r>
        <w:t xml:space="preserve">C </w:t>
      </w:r>
      <w:proofErr w:type="spellStart"/>
      <w:r>
        <w:t>Kwaramba</w:t>
      </w:r>
      <w:proofErr w:type="spellEnd"/>
      <w:r>
        <w:t>(Legal</w:t>
      </w:r>
      <w:r>
        <w:rPr>
          <w:spacing w:val="-1"/>
        </w:rPr>
        <w:t xml:space="preserve"> </w:t>
      </w:r>
      <w:proofErr w:type="spellStart"/>
      <w:r>
        <w:t>Practtioner</w:t>
      </w:r>
      <w:proofErr w:type="spellEnd"/>
      <w:r>
        <w:t>)</w:t>
      </w:r>
    </w:p>
    <w:p w:rsidR="00F338D5" w:rsidRDefault="00F338D5">
      <w:pPr>
        <w:pStyle w:val="BodyText"/>
        <w:rPr>
          <w:b/>
          <w:sz w:val="26"/>
        </w:rPr>
      </w:pPr>
    </w:p>
    <w:p w:rsidR="00F338D5" w:rsidRDefault="00F338D5">
      <w:pPr>
        <w:pStyle w:val="BodyText"/>
        <w:spacing w:before="9"/>
        <w:rPr>
          <w:b/>
          <w:sz w:val="23"/>
        </w:rPr>
      </w:pPr>
    </w:p>
    <w:p w:rsidR="00F338D5" w:rsidRDefault="002A2301">
      <w:pPr>
        <w:spacing w:before="1"/>
        <w:ind w:left="100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J.</w:t>
      </w:r>
    </w:p>
    <w:p w:rsidR="00F338D5" w:rsidRDefault="00F338D5">
      <w:pPr>
        <w:pStyle w:val="BodyText"/>
        <w:spacing w:before="10"/>
        <w:rPr>
          <w:b/>
          <w:sz w:val="25"/>
        </w:rPr>
      </w:pPr>
    </w:p>
    <w:p w:rsidR="00F338D5" w:rsidRDefault="002A2301">
      <w:pPr>
        <w:pStyle w:val="Heading1"/>
      </w:pPr>
      <w:r>
        <w:t>Introduction</w:t>
      </w:r>
    </w:p>
    <w:p w:rsidR="00F338D5" w:rsidRDefault="00F338D5">
      <w:pPr>
        <w:pStyle w:val="BodyText"/>
        <w:spacing w:before="10"/>
        <w:rPr>
          <w:b/>
          <w:sz w:val="25"/>
        </w:rPr>
      </w:pPr>
    </w:p>
    <w:p w:rsidR="00F338D5" w:rsidRDefault="002A2301">
      <w:pPr>
        <w:pStyle w:val="BodyText"/>
        <w:ind w:left="10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condonation</w:t>
      </w:r>
      <w:r>
        <w:rPr>
          <w:spacing w:val="-1"/>
        </w:rPr>
        <w:t xml:space="preserve"> </w:t>
      </w:r>
      <w:r>
        <w:t>for late noting</w:t>
      </w:r>
      <w:r>
        <w:rPr>
          <w:spacing w:val="-4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appeal.</w:t>
      </w:r>
      <w:r>
        <w:rPr>
          <w:spacing w:val="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opposed.</w:t>
      </w:r>
    </w:p>
    <w:p w:rsidR="00F338D5" w:rsidRDefault="00F338D5">
      <w:pPr>
        <w:pStyle w:val="BodyText"/>
        <w:spacing w:before="10"/>
        <w:rPr>
          <w:sz w:val="25"/>
        </w:rPr>
      </w:pPr>
    </w:p>
    <w:p w:rsidR="00F338D5" w:rsidRDefault="002A2301">
      <w:pPr>
        <w:pStyle w:val="BodyText"/>
        <w:spacing w:line="360" w:lineRule="auto"/>
        <w:ind w:left="100" w:right="111"/>
      </w:pPr>
      <w:r>
        <w:t>At the commencement of the hearing</w:t>
      </w:r>
      <w:r>
        <w:rPr>
          <w:spacing w:val="1"/>
        </w:rPr>
        <w:t xml:space="preserve"> </w:t>
      </w:r>
      <w:r>
        <w:t>a preliminary issue was raised on behalf of the</w:t>
      </w:r>
      <w:r>
        <w:rPr>
          <w:spacing w:val="1"/>
        </w:rPr>
        <w:t xml:space="preserve"> </w:t>
      </w:r>
      <w:r>
        <w:t>applicant. The issue was that the respondent filed the notice of opposition three days</w:t>
      </w:r>
      <w:r>
        <w:rPr>
          <w:spacing w:val="1"/>
        </w:rPr>
        <w:t xml:space="preserve"> </w:t>
      </w:r>
      <w:r>
        <w:t>out of</w:t>
      </w:r>
      <w:r>
        <w:rPr>
          <w:spacing w:val="1"/>
        </w:rPr>
        <w:t xml:space="preserve"> </w:t>
      </w:r>
      <w:r>
        <w:t>time and was therefore not properly before the Court. It turned out that the main reason why</w:t>
      </w:r>
      <w:r>
        <w:rPr>
          <w:spacing w:val="1"/>
        </w:rPr>
        <w:t xml:space="preserve"> </w:t>
      </w:r>
      <w:r>
        <w:t>that happened was the connectivity problems with the IECMS. After considering submissions</w:t>
      </w:r>
      <w:r>
        <w:rPr>
          <w:spacing w:val="-58"/>
        </w:rPr>
        <w:t xml:space="preserve"> </w:t>
      </w:r>
      <w:r>
        <w:t xml:space="preserve">by the parties, the preliminary issue was dismissed. I then proceeded to </w:t>
      </w:r>
      <w:r>
        <w:t>hear the application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condonation.</w:t>
      </w:r>
    </w:p>
    <w:p w:rsidR="00F338D5" w:rsidRDefault="002A2301">
      <w:pPr>
        <w:spacing w:before="162" w:line="360" w:lineRule="auto"/>
        <w:ind w:left="100" w:right="117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trite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succeed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satisfy the necessary requirements. In </w:t>
      </w:r>
      <w:r>
        <w:rPr>
          <w:b/>
          <w:sz w:val="24"/>
        </w:rPr>
        <w:t xml:space="preserve">Ismail </w:t>
      </w:r>
      <w:proofErr w:type="spellStart"/>
      <w:r>
        <w:rPr>
          <w:b/>
          <w:sz w:val="24"/>
        </w:rPr>
        <w:t>Moosa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Lunat</w:t>
      </w:r>
      <w:proofErr w:type="spellEnd"/>
      <w:r>
        <w:rPr>
          <w:b/>
          <w:sz w:val="24"/>
        </w:rPr>
        <w:t xml:space="preserve"> v Mohammed Patel SC 47 /22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Supreme Court held that:</w:t>
      </w:r>
    </w:p>
    <w:p w:rsidR="00F338D5" w:rsidRDefault="002A2301">
      <w:pPr>
        <w:spacing w:before="160" w:line="360" w:lineRule="auto"/>
        <w:ind w:left="460" w:right="157" w:firstLine="60"/>
        <w:rPr>
          <w:i/>
          <w:sz w:val="24"/>
        </w:rPr>
      </w:pPr>
      <w:r>
        <w:rPr>
          <w:i/>
          <w:sz w:val="24"/>
        </w:rPr>
        <w:t>‘Th</w:t>
      </w:r>
      <w:r>
        <w:rPr>
          <w:i/>
          <w:sz w:val="24"/>
        </w:rPr>
        <w:t>e requirements for an application of this nature to succeed are well established. They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are:</w:t>
      </w:r>
    </w:p>
    <w:p w:rsidR="00F338D5" w:rsidRDefault="00F338D5">
      <w:pPr>
        <w:spacing w:line="360" w:lineRule="auto"/>
        <w:rPr>
          <w:sz w:val="24"/>
        </w:rPr>
        <w:sectPr w:rsidR="00F338D5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:rsidR="00F338D5" w:rsidRDefault="002A2301">
      <w:pPr>
        <w:pStyle w:val="ListParagraph"/>
        <w:numPr>
          <w:ilvl w:val="0"/>
          <w:numId w:val="1"/>
        </w:numPr>
        <w:tabs>
          <w:tab w:val="left" w:pos="821"/>
        </w:tabs>
        <w:spacing w:before="61"/>
        <w:ind w:hanging="361"/>
        <w:rPr>
          <w:i/>
          <w:sz w:val="24"/>
        </w:rPr>
      </w:pPr>
      <w:r>
        <w:rPr>
          <w:i/>
          <w:sz w:val="24"/>
        </w:rPr>
        <w:lastRenderedPageBreak/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extent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delay;</w:t>
      </w:r>
    </w:p>
    <w:p w:rsidR="00F338D5" w:rsidRDefault="002A230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reasonableness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explanation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delay;</w:t>
      </w:r>
    </w:p>
    <w:p w:rsidR="00F338D5" w:rsidRDefault="002A2301">
      <w:pPr>
        <w:pStyle w:val="ListParagraph"/>
        <w:numPr>
          <w:ilvl w:val="0"/>
          <w:numId w:val="1"/>
        </w:numPr>
        <w:tabs>
          <w:tab w:val="left" w:pos="821"/>
        </w:tabs>
        <w:spacing w:before="139"/>
        <w:ind w:hanging="36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prospects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success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appeal;</w:t>
      </w:r>
    </w:p>
    <w:p w:rsidR="00F338D5" w:rsidRDefault="002A230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i/>
          <w:sz w:val="24"/>
        </w:rPr>
      </w:pPr>
      <w:r>
        <w:rPr>
          <w:i/>
          <w:sz w:val="24"/>
        </w:rPr>
        <w:t>Respondent’s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judgment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his/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her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favour</w:t>
      </w:r>
      <w:proofErr w:type="spellEnd"/>
      <w:r>
        <w:rPr>
          <w:i/>
          <w:sz w:val="24"/>
        </w:rPr>
        <w:t>;</w:t>
      </w:r>
    </w:p>
    <w:p w:rsidR="00F338D5" w:rsidRDefault="002A2301">
      <w:pPr>
        <w:pStyle w:val="ListParagraph"/>
        <w:numPr>
          <w:ilvl w:val="0"/>
          <w:numId w:val="1"/>
        </w:numPr>
        <w:tabs>
          <w:tab w:val="left" w:pos="821"/>
        </w:tabs>
        <w:spacing w:before="139"/>
        <w:ind w:hanging="36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convenience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 court; and</w:t>
      </w:r>
    </w:p>
    <w:p w:rsidR="00F338D5" w:rsidRDefault="002A230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i/>
          <w:sz w:val="24"/>
        </w:rPr>
      </w:pPr>
      <w:r>
        <w:rPr>
          <w:i/>
          <w:sz w:val="24"/>
        </w:rPr>
        <w:t>Avoidance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unnecessary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justice.’</w:t>
      </w:r>
    </w:p>
    <w:p w:rsidR="00F338D5" w:rsidRDefault="00F338D5">
      <w:pPr>
        <w:pStyle w:val="BodyText"/>
        <w:spacing w:before="1"/>
        <w:rPr>
          <w:i/>
          <w:sz w:val="26"/>
        </w:rPr>
      </w:pPr>
    </w:p>
    <w:p w:rsidR="00F338D5" w:rsidRDefault="002A2301">
      <w:pPr>
        <w:pStyle w:val="BodyText"/>
        <w:spacing w:line="360" w:lineRule="auto"/>
        <w:ind w:left="100" w:right="106"/>
      </w:pPr>
      <w:r>
        <w:t>The applicant was employed by the respondent as the City Architect, for the city of</w:t>
      </w:r>
      <w:r>
        <w:rPr>
          <w:spacing w:val="1"/>
        </w:rPr>
        <w:t xml:space="preserve"> </w:t>
      </w:r>
      <w:r>
        <w:t>Harare.</w:t>
      </w:r>
      <w:r>
        <w:rPr>
          <w:spacing w:val="1"/>
        </w:rPr>
        <w:t xml:space="preserve"> </w:t>
      </w:r>
      <w:r>
        <w:t>As part of his duties there were at least twelve projects which required his expertise,</w:t>
      </w:r>
      <w:r>
        <w:rPr>
          <w:spacing w:val="1"/>
        </w:rPr>
        <w:t xml:space="preserve"> </w:t>
      </w:r>
      <w:r>
        <w:t>supervision and leadership. Targets were set following agreement between him and his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.The targets</w:t>
      </w:r>
      <w:r>
        <w:rPr>
          <w:spacing w:val="3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met.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resulted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facing disciplinary</w:t>
      </w:r>
      <w:r>
        <w:rPr>
          <w:spacing w:val="-1"/>
        </w:rPr>
        <w:t xml:space="preserve"> </w:t>
      </w:r>
      <w:proofErr w:type="spellStart"/>
      <w:r>
        <w:t>procee</w:t>
      </w:r>
      <w:r>
        <w:t>dings.At</w:t>
      </w:r>
      <w:proofErr w:type="spellEnd"/>
      <w:r>
        <w:rPr>
          <w:spacing w:val="1"/>
        </w:rPr>
        <w:t xml:space="preserve"> </w:t>
      </w:r>
      <w:r>
        <w:t>the conclusion of the disciplinary proceedings he was dismissed from the respondent’s</w:t>
      </w:r>
      <w:r>
        <w:rPr>
          <w:spacing w:val="1"/>
        </w:rPr>
        <w:t xml:space="preserve"> </w:t>
      </w:r>
      <w:r>
        <w:t>employ on 3 July 2019 for ‘gross incompetency or inefficiency</w:t>
      </w:r>
      <w:r>
        <w:rPr>
          <w:spacing w:val="1"/>
        </w:rPr>
        <w:t xml:space="preserve"> </w:t>
      </w:r>
      <w:r>
        <w:t>in the performance of his</w:t>
      </w:r>
      <w:r>
        <w:rPr>
          <w:spacing w:val="1"/>
        </w:rPr>
        <w:t xml:space="preserve"> </w:t>
      </w:r>
      <w:r>
        <w:t>work’</w:t>
      </w:r>
      <w:r>
        <w:rPr>
          <w:spacing w:val="1"/>
        </w:rPr>
        <w:t xml:space="preserve"> </w:t>
      </w:r>
      <w:r>
        <w:t>in violation of s4(f)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t xml:space="preserve"> (National Employment Code of Co</w:t>
      </w:r>
      <w:r>
        <w:t>nduct) ,</w:t>
      </w:r>
      <w:r>
        <w:rPr>
          <w:spacing w:val="1"/>
        </w:rPr>
        <w:t xml:space="preserve"> </w:t>
      </w:r>
      <w:r>
        <w:t>Statutory Instrument 15 of 2006 (S.I.15/06). He was aggrieved</w:t>
      </w:r>
      <w:r>
        <w:rPr>
          <w:spacing w:val="1"/>
        </w:rPr>
        <w:t xml:space="preserve"> </w:t>
      </w:r>
      <w:r>
        <w:t>by the outcome. However,</w:t>
      </w:r>
      <w:r>
        <w:rPr>
          <w:spacing w:val="1"/>
        </w:rPr>
        <w:t xml:space="preserve"> </w:t>
      </w:r>
      <w:r>
        <w:t>there was no appeal structure within the respondent organization .In the result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challenged the</w:t>
      </w:r>
      <w:r>
        <w:rPr>
          <w:spacing w:val="-1"/>
        </w:rPr>
        <w:t xml:space="preserve"> </w:t>
      </w:r>
      <w:r>
        <w:t>dismissal</w:t>
      </w:r>
      <w:r>
        <w:rPr>
          <w:spacing w:val="4"/>
        </w:rPr>
        <w:t xml:space="preserve"> </w:t>
      </w:r>
      <w:r>
        <w:t>through the</w:t>
      </w:r>
      <w:r>
        <w:rPr>
          <w:spacing w:val="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t xml:space="preserve"> officer. The</w:t>
      </w:r>
      <w:r>
        <w:rPr>
          <w:spacing w:val="-1"/>
        </w:rPr>
        <w:t xml:space="preserve"> </w:t>
      </w:r>
      <w:proofErr w:type="spellStart"/>
      <w:r>
        <w:t>l</w:t>
      </w:r>
      <w:r>
        <w:t>abour</w:t>
      </w:r>
      <w:proofErr w:type="spellEnd"/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proceeded</w:t>
      </w:r>
      <w:r>
        <w:rPr>
          <w:spacing w:val="1"/>
        </w:rPr>
        <w:t xml:space="preserve"> </w:t>
      </w:r>
      <w:r>
        <w:t xml:space="preserve">to deal with the matter in terms of s93(5a)(a) and (b) of the </w:t>
      </w:r>
      <w:proofErr w:type="spellStart"/>
      <w:r>
        <w:t>Labour</w:t>
      </w:r>
      <w:proofErr w:type="spellEnd"/>
      <w:r>
        <w:t xml:space="preserve"> Act , Chapter 28:01 (the</w:t>
      </w:r>
      <w:r>
        <w:rPr>
          <w:spacing w:val="1"/>
        </w:rPr>
        <w:t xml:space="preserve"> </w:t>
      </w:r>
      <w:r>
        <w:t xml:space="preserve">Act ).This procedure required the </w:t>
      </w:r>
      <w:proofErr w:type="spellStart"/>
      <w:r>
        <w:t>labour</w:t>
      </w:r>
      <w:proofErr w:type="spellEnd"/>
      <w:r>
        <w:t xml:space="preserve"> officer concerned to conciliate the matter and then in</w:t>
      </w:r>
      <w:r>
        <w:rPr>
          <w:spacing w:val="-57"/>
        </w:rPr>
        <w:t xml:space="preserve"> </w:t>
      </w:r>
      <w:r>
        <w:t>the event of parties failing to settle the</w:t>
      </w:r>
      <w:r>
        <w:t xml:space="preserve"> dispute between them, make a draft ruling. That draft</w:t>
      </w:r>
      <w:r>
        <w:rPr>
          <w:spacing w:val="1"/>
        </w:rPr>
        <w:t xml:space="preserve"> </w:t>
      </w:r>
      <w:r>
        <w:t>ruling would then be brought to this Court by way of application so that it could be confirmed</w:t>
      </w:r>
      <w:r>
        <w:rPr>
          <w:spacing w:val="-57"/>
        </w:rPr>
        <w:t xml:space="preserve"> </w:t>
      </w:r>
      <w:r>
        <w:t>as an order of this Court. On 29 July 2019 parties appeared</w:t>
      </w:r>
      <w:r>
        <w:rPr>
          <w:spacing w:val="1"/>
        </w:rPr>
        <w:t xml:space="preserve"> </w:t>
      </w:r>
      <w:r>
        <w:t xml:space="preserve">before a </w:t>
      </w:r>
      <w:proofErr w:type="spellStart"/>
      <w:r>
        <w:t>labour</w:t>
      </w:r>
      <w:proofErr w:type="spellEnd"/>
      <w:r>
        <w:t xml:space="preserve"> officer. They</w:t>
      </w:r>
      <w:r>
        <w:rPr>
          <w:spacing w:val="1"/>
        </w:rPr>
        <w:t xml:space="preserve"> </w:t>
      </w:r>
      <w:r>
        <w:t>failed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agree.</w:t>
      </w:r>
      <w:r>
        <w:rPr>
          <w:spacing w:val="3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rPr>
          <w:spacing w:val="3"/>
        </w:rPr>
        <w:t xml:space="preserve"> </w:t>
      </w:r>
      <w:proofErr w:type="gramStart"/>
      <w:r>
        <w:t>officer</w:t>
      </w:r>
      <w:r>
        <w:rPr>
          <w:spacing w:val="3"/>
        </w:rPr>
        <w:t xml:space="preserve"> </w:t>
      </w:r>
      <w:r>
        <w:t>,after</w:t>
      </w:r>
      <w:proofErr w:type="gramEnd"/>
      <w:r>
        <w:rPr>
          <w:spacing w:val="3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representations</w:t>
      </w:r>
      <w:r>
        <w:rPr>
          <w:spacing w:val="2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made a draft ruling and then proceeded to make an application for its confirmation before this</w:t>
      </w:r>
      <w:r>
        <w:rPr>
          <w:spacing w:val="-57"/>
        </w:rPr>
        <w:t xml:space="preserve"> </w:t>
      </w:r>
      <w:r>
        <w:t>Court. On</w:t>
      </w:r>
      <w:r>
        <w:rPr>
          <w:spacing w:val="1"/>
        </w:rPr>
        <w:t xml:space="preserve"> </w:t>
      </w:r>
      <w:r>
        <w:t>25 October 2022 this Court heard the matter and on</w:t>
      </w:r>
      <w:r>
        <w:rPr>
          <w:spacing w:val="1"/>
        </w:rPr>
        <w:t xml:space="preserve"> </w:t>
      </w:r>
      <w:r>
        <w:t>7 November 2022 an Order</w:t>
      </w:r>
      <w:r>
        <w:rPr>
          <w:spacing w:val="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was handed down:</w:t>
      </w:r>
    </w:p>
    <w:p w:rsidR="00F338D5" w:rsidRDefault="002A2301">
      <w:pPr>
        <w:spacing w:before="159" w:line="360" w:lineRule="auto"/>
        <w:ind w:left="100" w:right="203"/>
        <w:rPr>
          <w:i/>
          <w:sz w:val="24"/>
        </w:rPr>
      </w:pPr>
      <w:r>
        <w:rPr>
          <w:i/>
          <w:sz w:val="24"/>
        </w:rPr>
        <w:t>‘The application for confirmation of the draft ruling is hereby struck off the roll by reason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being improperly before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Court as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tribunal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a quo lacked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jurisdiction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.’</w:t>
      </w:r>
      <w:proofErr w:type="gramEnd"/>
    </w:p>
    <w:p w:rsidR="00F338D5" w:rsidRDefault="002A2301">
      <w:pPr>
        <w:pStyle w:val="BodyText"/>
        <w:spacing w:before="161" w:line="360" w:lineRule="auto"/>
        <w:ind w:left="100" w:right="419"/>
      </w:pPr>
      <w:r>
        <w:t>The present application was filed</w:t>
      </w:r>
      <w:r>
        <w:t xml:space="preserve"> on 30 March 2023.This is more than three years after his</w:t>
      </w:r>
      <w:r>
        <w:rPr>
          <w:spacing w:val="-57"/>
        </w:rPr>
        <w:t xml:space="preserve"> </w:t>
      </w:r>
      <w:r>
        <w:t>dismissal.</w:t>
      </w:r>
    </w:p>
    <w:p w:rsidR="00F338D5" w:rsidRDefault="002A2301">
      <w:pPr>
        <w:pStyle w:val="Heading1"/>
        <w:spacing w:before="161"/>
      </w:pPr>
      <w:r>
        <w:t>Applicant’s</w:t>
      </w:r>
      <w:r>
        <w:rPr>
          <w:spacing w:val="-4"/>
        </w:rPr>
        <w:t xml:space="preserve"> </w:t>
      </w:r>
      <w:r>
        <w:t>case</w:t>
      </w:r>
    </w:p>
    <w:p w:rsidR="00F338D5" w:rsidRDefault="00F338D5">
      <w:pPr>
        <w:pStyle w:val="BodyText"/>
        <w:spacing w:before="10"/>
        <w:rPr>
          <w:b/>
          <w:sz w:val="25"/>
        </w:rPr>
      </w:pPr>
    </w:p>
    <w:p w:rsidR="00F338D5" w:rsidRDefault="002A2301">
      <w:pPr>
        <w:pStyle w:val="BodyText"/>
        <w:spacing w:before="1" w:line="360" w:lineRule="auto"/>
        <w:ind w:left="100" w:right="1272"/>
      </w:pPr>
      <w:r>
        <w:t>The applicant admits that the delay is inordinate but asks the court to consider the</w:t>
      </w:r>
      <w:r>
        <w:rPr>
          <w:spacing w:val="-57"/>
        </w:rPr>
        <w:t xml:space="preserve"> </w:t>
      </w:r>
      <w:r>
        <w:t>interruption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activities which</w:t>
      </w:r>
      <w:r>
        <w:rPr>
          <w:spacing w:val="-1"/>
        </w:rPr>
        <w:t xml:space="preserve"> </w:t>
      </w:r>
      <w:r>
        <w:t>was caused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Covid</w:t>
      </w:r>
      <w:proofErr w:type="spellEnd"/>
      <w:r>
        <w:rPr>
          <w:spacing w:val="3"/>
        </w:rPr>
        <w:t xml:space="preserve"> </w:t>
      </w:r>
      <w:r>
        <w:t>-19</w:t>
      </w:r>
      <w:r>
        <w:rPr>
          <w:spacing w:val="-1"/>
        </w:rPr>
        <w:t xml:space="preserve"> </w:t>
      </w:r>
      <w:r>
        <w:t>pandemic.</w:t>
      </w:r>
    </w:p>
    <w:p w:rsidR="00F338D5" w:rsidRDefault="00F338D5">
      <w:pPr>
        <w:spacing w:line="360" w:lineRule="auto"/>
        <w:sectPr w:rsidR="00F338D5">
          <w:pgSz w:w="11910" w:h="16840"/>
          <w:pgMar w:top="1360" w:right="1340" w:bottom="280" w:left="1340" w:header="720" w:footer="720" w:gutter="0"/>
          <w:cols w:space="720"/>
        </w:sectPr>
      </w:pPr>
    </w:p>
    <w:p w:rsidR="00F338D5" w:rsidRDefault="002A2301">
      <w:pPr>
        <w:pStyle w:val="BodyText"/>
        <w:spacing w:before="61" w:line="360" w:lineRule="auto"/>
        <w:ind w:left="100" w:right="117"/>
      </w:pPr>
      <w:r>
        <w:lastRenderedPageBreak/>
        <w:t>The applicant says he enjoys good prospects of success on appeal. He alleges that his</w:t>
      </w:r>
      <w:r>
        <w:rPr>
          <w:spacing w:val="1"/>
        </w:rPr>
        <w:t xml:space="preserve"> </w:t>
      </w:r>
      <w:r>
        <w:t>dismissal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irregular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sanctioned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respondent’s</w:t>
      </w:r>
    </w:p>
    <w:p w:rsidR="00F338D5" w:rsidRDefault="002A2301">
      <w:pPr>
        <w:pStyle w:val="BodyText"/>
        <w:spacing w:line="360" w:lineRule="auto"/>
        <w:ind w:left="100" w:right="285"/>
      </w:pPr>
      <w:r>
        <w:t>General Purposes and Human Resources Committee or any of the respondent’s committees.</w:t>
      </w:r>
      <w:r>
        <w:rPr>
          <w:spacing w:val="-57"/>
        </w:rPr>
        <w:t xml:space="preserve"> </w:t>
      </w:r>
      <w:r>
        <w:t>Applicant also argues that there is evidence to the effect that he failed to achieve the targets</w:t>
      </w:r>
      <w:r>
        <w:rPr>
          <w:spacing w:val="-57"/>
        </w:rPr>
        <w:t xml:space="preserve"> </w:t>
      </w:r>
      <w:r>
        <w:t>which were set for him because the respondent did not provide him with th</w:t>
      </w:r>
      <w:r>
        <w:t>e requisite</w:t>
      </w:r>
      <w:r>
        <w:rPr>
          <w:spacing w:val="1"/>
        </w:rPr>
        <w:t xml:space="preserve"> </w:t>
      </w:r>
      <w:r>
        <w:t>resources.</w:t>
      </w:r>
    </w:p>
    <w:p w:rsidR="00F338D5" w:rsidRDefault="002A2301">
      <w:pPr>
        <w:pStyle w:val="BodyText"/>
        <w:spacing w:before="161" w:line="360" w:lineRule="auto"/>
        <w:ind w:left="100" w:right="145"/>
      </w:pPr>
      <w:r>
        <w:t>The applicant argues that the respondent will suffer no prejudice if the application is granted</w:t>
      </w:r>
      <w:r>
        <w:rPr>
          <w:spacing w:val="1"/>
        </w:rPr>
        <w:t xml:space="preserve"> </w:t>
      </w:r>
      <w:r>
        <w:t>and that in fact it is him who stands to suffer if the application is declined as this would mean</w:t>
      </w:r>
      <w:r>
        <w:rPr>
          <w:spacing w:val="-58"/>
        </w:rPr>
        <w:t xml:space="preserve"> </w:t>
      </w:r>
      <w:r>
        <w:t xml:space="preserve">that he would not be able to challenge </w:t>
      </w:r>
      <w:r>
        <w:t>the dismissal as he has always been keen to prosecute</w:t>
      </w:r>
      <w:r>
        <w:rPr>
          <w:spacing w:val="1"/>
        </w:rPr>
        <w:t xml:space="preserve"> </w:t>
      </w:r>
      <w:r>
        <w:t>the matter even though he started off in the wrong forum. For these reasons it was submitted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 should</w:t>
      </w:r>
      <w:r>
        <w:rPr>
          <w:spacing w:val="-1"/>
        </w:rPr>
        <w:t xml:space="preserve"> </w:t>
      </w:r>
      <w:r>
        <w:t>succeed. Some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relied upon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are</w:t>
      </w:r>
    </w:p>
    <w:p w:rsidR="00F338D5" w:rsidRDefault="002A2301">
      <w:pPr>
        <w:pStyle w:val="Heading1"/>
        <w:spacing w:line="360" w:lineRule="auto"/>
        <w:ind w:right="124"/>
      </w:pPr>
      <w:r>
        <w:rPr>
          <w:b w:val="0"/>
        </w:rPr>
        <w:t>:</w:t>
      </w:r>
      <w:r>
        <w:t xml:space="preserve">Florence </w:t>
      </w:r>
      <w:proofErr w:type="spellStart"/>
      <w:r>
        <w:t>Chimu</w:t>
      </w:r>
      <w:r>
        <w:t>nda</w:t>
      </w:r>
      <w:proofErr w:type="spellEnd"/>
      <w:r>
        <w:t xml:space="preserve"> v Arnold </w:t>
      </w:r>
      <w:proofErr w:type="spellStart"/>
      <w:r>
        <w:t>Zimuto</w:t>
      </w:r>
      <w:proofErr w:type="spellEnd"/>
      <w:r>
        <w:t xml:space="preserve"> SC 76/14; Ganda v First Mutual Life Assurance</w:t>
      </w:r>
      <w:r>
        <w:rPr>
          <w:spacing w:val="1"/>
        </w:rPr>
        <w:t xml:space="preserve"> </w:t>
      </w:r>
      <w:r>
        <w:t>Society SC01/05; Friendship v Cargo Carriers Ltd &amp; Anor SC1/13;Isoquant</w:t>
      </w:r>
      <w:r>
        <w:rPr>
          <w:spacing w:val="1"/>
        </w:rPr>
        <w:t xml:space="preserve"> </w:t>
      </w:r>
      <w:r>
        <w:t xml:space="preserve">Investments (Private ) Limited t/a ZIMOCO v Memory </w:t>
      </w:r>
      <w:proofErr w:type="spellStart"/>
      <w:r>
        <w:t>Darikwa</w:t>
      </w:r>
      <w:proofErr w:type="spellEnd"/>
      <w:r>
        <w:t xml:space="preserve"> CCZ 6/20; </w:t>
      </w:r>
      <w:proofErr w:type="spellStart"/>
      <w:r>
        <w:t>Ngazimbi</w:t>
      </w:r>
      <w:proofErr w:type="spellEnd"/>
      <w:r>
        <w:t xml:space="preserve"> v</w:t>
      </w:r>
      <w:r>
        <w:rPr>
          <w:spacing w:val="-57"/>
        </w:rPr>
        <w:t xml:space="preserve"> </w:t>
      </w:r>
      <w:proofErr w:type="spellStart"/>
      <w:r>
        <w:t>Murowa</w:t>
      </w:r>
      <w:proofErr w:type="spellEnd"/>
      <w:r>
        <w:rPr>
          <w:spacing w:val="-1"/>
        </w:rPr>
        <w:t xml:space="preserve"> </w:t>
      </w:r>
      <w:r>
        <w:t>Diamonds (</w:t>
      </w:r>
      <w:proofErr w:type="spellStart"/>
      <w:r>
        <w:t>Pvt</w:t>
      </w:r>
      <w:proofErr w:type="spellEnd"/>
      <w:r>
        <w:t>)</w:t>
      </w:r>
      <w:r>
        <w:rPr>
          <w:spacing w:val="-2"/>
        </w:rPr>
        <w:t xml:space="preserve"> </w:t>
      </w:r>
      <w:r>
        <w:t>Ltd 2013 (1) ZLR 569.</w:t>
      </w:r>
    </w:p>
    <w:p w:rsidR="00F338D5" w:rsidRDefault="002A2301">
      <w:pPr>
        <w:spacing w:before="161"/>
        <w:ind w:left="100"/>
        <w:rPr>
          <w:b/>
          <w:sz w:val="24"/>
        </w:rPr>
      </w:pPr>
      <w:r>
        <w:rPr>
          <w:b/>
          <w:sz w:val="24"/>
        </w:rPr>
        <w:t>Respondent’s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case</w:t>
      </w:r>
    </w:p>
    <w:p w:rsidR="00F338D5" w:rsidRDefault="00F338D5">
      <w:pPr>
        <w:pStyle w:val="BodyText"/>
        <w:spacing w:before="10"/>
        <w:rPr>
          <w:b/>
          <w:sz w:val="25"/>
        </w:rPr>
      </w:pPr>
    </w:p>
    <w:p w:rsidR="00F338D5" w:rsidRDefault="002A2301">
      <w:pPr>
        <w:pStyle w:val="BodyText"/>
        <w:spacing w:line="360" w:lineRule="auto"/>
        <w:ind w:left="124" w:right="127" w:hanging="2"/>
        <w:jc w:val="center"/>
      </w:pPr>
      <w:r>
        <w:t>The application is vehemently opposed. In both the papers and argument before the Court it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argued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59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would have been agreed to</w:t>
      </w:r>
      <w:r>
        <w:rPr>
          <w:spacing w:val="60"/>
        </w:rPr>
        <w:t xml:space="preserve"> </w:t>
      </w:r>
      <w:r>
        <w:t>be</w:t>
      </w:r>
      <w:r>
        <w:t>tween himself and his superior. While there may have been</w:t>
      </w:r>
      <w:r>
        <w:rPr>
          <w:spacing w:val="1"/>
        </w:rPr>
        <w:t xml:space="preserve"> </w:t>
      </w:r>
      <w:r>
        <w:t>lack of resources in some instances, there were other duties which did not require the</w:t>
      </w:r>
      <w:r>
        <w:rPr>
          <w:spacing w:val="1"/>
        </w:rPr>
        <w:t xml:space="preserve"> </w:t>
      </w:r>
      <w:r>
        <w:t xml:space="preserve">provision of resources. Such duties included supervision of his </w:t>
      </w:r>
      <w:proofErr w:type="gramStart"/>
      <w:r>
        <w:t>subordinates ,</w:t>
      </w:r>
      <w:proofErr w:type="gramEnd"/>
      <w:r>
        <w:t xml:space="preserve"> holding</w:t>
      </w:r>
      <w:r>
        <w:rPr>
          <w:spacing w:val="1"/>
        </w:rPr>
        <w:t xml:space="preserve"> </w:t>
      </w:r>
      <w:r>
        <w:t>meetings, providing budg</w:t>
      </w:r>
      <w:r>
        <w:t>ets. As such the applicant cannot fault the dismissal and therefore</w:t>
      </w:r>
      <w:r>
        <w:rPr>
          <w:spacing w:val="1"/>
        </w:rPr>
        <w:t xml:space="preserve"> </w:t>
      </w:r>
      <w:r>
        <w:t>there are no prospects of success.</w:t>
      </w:r>
      <w:r>
        <w:rPr>
          <w:spacing w:val="1"/>
        </w:rPr>
        <w:t xml:space="preserve"> </w:t>
      </w:r>
      <w:r>
        <w:t xml:space="preserve">Further the applicant has always been </w:t>
      </w:r>
      <w:proofErr w:type="gramStart"/>
      <w:r>
        <w:t>represented .</w:t>
      </w:r>
      <w:proofErr w:type="gramEnd"/>
      <w:r>
        <w:t xml:space="preserve"> He</w:t>
      </w:r>
      <w:r>
        <w:rPr>
          <w:spacing w:val="1"/>
        </w:rPr>
        <w:t xml:space="preserve"> </w:t>
      </w:r>
      <w:r>
        <w:t>spent time pursuing a remedy the wrong forum. That is clearly ignorance of the law. It was</w:t>
      </w:r>
      <w:r>
        <w:rPr>
          <w:spacing w:val="1"/>
        </w:rPr>
        <w:t xml:space="preserve"> </w:t>
      </w:r>
      <w:r>
        <w:t xml:space="preserve">argued </w:t>
      </w:r>
      <w:r>
        <w:t>that ignorance of the law is no excuse. It was also argued that the applicant placed</w:t>
      </w:r>
      <w:r>
        <w:rPr>
          <w:spacing w:val="1"/>
        </w:rPr>
        <w:t xml:space="preserve"> </w:t>
      </w:r>
      <w:r>
        <w:t xml:space="preserve">blame on the </w:t>
      </w:r>
      <w:proofErr w:type="spellStart"/>
      <w:r>
        <w:t>Covid</w:t>
      </w:r>
      <w:proofErr w:type="spellEnd"/>
      <w:r>
        <w:t xml:space="preserve"> -19 pandemic for his failure to timeously approach the court. It was</w:t>
      </w:r>
      <w:r>
        <w:rPr>
          <w:spacing w:val="1"/>
        </w:rPr>
        <w:t xml:space="preserve"> </w:t>
      </w:r>
      <w:r>
        <w:t>argued that even during those periods when movement was restricted, there was acces</w:t>
      </w:r>
      <w:r>
        <w:t>s to the</w:t>
      </w:r>
      <w:r>
        <w:rPr>
          <w:spacing w:val="-57"/>
        </w:rPr>
        <w:t xml:space="preserve"> </w:t>
      </w:r>
      <w:r>
        <w:t>courts</w:t>
      </w:r>
      <w:r>
        <w:rPr>
          <w:spacing w:val="1"/>
        </w:rPr>
        <w:t xml:space="preserve"> </w:t>
      </w:r>
      <w:r>
        <w:t>in view of Directions which were periodically issued from the office of the Chief</w:t>
      </w:r>
      <w:r>
        <w:rPr>
          <w:spacing w:val="1"/>
        </w:rPr>
        <w:t xml:space="preserve"> </w:t>
      </w:r>
      <w:r>
        <w:t xml:space="preserve">Justice. Further even if it were accepted that the </w:t>
      </w:r>
      <w:proofErr w:type="spellStart"/>
      <w:r>
        <w:t>Covid</w:t>
      </w:r>
      <w:proofErr w:type="spellEnd"/>
      <w:r>
        <w:t xml:space="preserve"> -19 pandemic interrupted the ordinary</w:t>
      </w:r>
      <w:r>
        <w:rPr>
          <w:spacing w:val="-57"/>
        </w:rPr>
        <w:t xml:space="preserve"> </w:t>
      </w:r>
      <w:r>
        <w:t>operations of the courts, the applicant had knowledge of the or</w:t>
      </w:r>
      <w:r>
        <w:t>der of this Court striking the</w:t>
      </w:r>
      <w:r>
        <w:rPr>
          <w:spacing w:val="1"/>
        </w:rPr>
        <w:t xml:space="preserve"> </w:t>
      </w:r>
      <w:r>
        <w:t>matter off the roll in November 2022. Even with that knowledge,</w:t>
      </w:r>
      <w:r>
        <w:rPr>
          <w:spacing w:val="1"/>
        </w:rPr>
        <w:t xml:space="preserve"> </w:t>
      </w:r>
      <w:r>
        <w:t>he took over three months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seek condonation.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 xml:space="preserve">was </w:t>
      </w:r>
      <w:proofErr w:type="gramStart"/>
      <w:r>
        <w:t>argued</w:t>
      </w:r>
      <w:r>
        <w:rPr>
          <w:spacing w:val="-1"/>
        </w:rPr>
        <w:t xml:space="preserve"> </w:t>
      </w:r>
      <w:r>
        <w:t>,constituted</w:t>
      </w:r>
      <w:proofErr w:type="gramEnd"/>
      <w:r>
        <w:rPr>
          <w:spacing w:val="-1"/>
        </w:rPr>
        <w:t xml:space="preserve"> </w:t>
      </w:r>
      <w:r>
        <w:t>inordinate</w:t>
      </w:r>
      <w:r>
        <w:rPr>
          <w:spacing w:val="-2"/>
        </w:rPr>
        <w:t xml:space="preserve"> </w:t>
      </w:r>
      <w:r>
        <w:t>delay.</w:t>
      </w:r>
      <w:r>
        <w:rPr>
          <w:spacing w:val="4"/>
        </w:rPr>
        <w:t xml:space="preserve"> </w:t>
      </w:r>
      <w:r>
        <w:t>In 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</w:p>
    <w:p w:rsidR="00F338D5" w:rsidRDefault="00F338D5">
      <w:pPr>
        <w:spacing w:line="360" w:lineRule="auto"/>
        <w:jc w:val="center"/>
        <w:sectPr w:rsidR="00F338D5">
          <w:pgSz w:w="11910" w:h="16840"/>
          <w:pgMar w:top="1360" w:right="1340" w:bottom="280" w:left="1340" w:header="720" w:footer="720" w:gutter="0"/>
          <w:cols w:space="720"/>
        </w:sectPr>
      </w:pPr>
    </w:p>
    <w:p w:rsidR="00F338D5" w:rsidRDefault="002A2301">
      <w:pPr>
        <w:pStyle w:val="BodyText"/>
        <w:spacing w:before="61" w:line="360" w:lineRule="auto"/>
        <w:ind w:left="2166" w:right="109" w:hanging="2043"/>
      </w:pPr>
      <w:proofErr w:type="gramStart"/>
      <w:r>
        <w:lastRenderedPageBreak/>
        <w:t>arguments</w:t>
      </w:r>
      <w:proofErr w:type="gramEnd"/>
      <w:r>
        <w:t xml:space="preserve"> it was submitted that the applicant has failed to discharge the onus required of him</w:t>
      </w:r>
      <w:r>
        <w:rPr>
          <w:spacing w:val="-57"/>
        </w:rPr>
        <w:t xml:space="preserve"> </w:t>
      </w:r>
      <w:r>
        <w:t>in order for the</w:t>
      </w:r>
      <w:r>
        <w:rPr>
          <w:spacing w:val="-1"/>
        </w:rPr>
        <w:t xml:space="preserve"> </w:t>
      </w:r>
      <w:r>
        <w:t>relief of</w:t>
      </w:r>
      <w:r>
        <w:rPr>
          <w:spacing w:val="-2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to be granted.</w:t>
      </w:r>
    </w:p>
    <w:p w:rsidR="00F338D5" w:rsidRDefault="002A2301">
      <w:pPr>
        <w:pStyle w:val="Heading1"/>
        <w:spacing w:before="161" w:line="360" w:lineRule="auto"/>
        <w:ind w:right="143"/>
        <w:rPr>
          <w:b w:val="0"/>
        </w:rPr>
      </w:pPr>
      <w:r>
        <w:rPr>
          <w:b w:val="0"/>
        </w:rPr>
        <w:t xml:space="preserve">The following are some of the authorities relied on behalf of the respondent : </w:t>
      </w:r>
      <w:r>
        <w:t>United Plant</w:t>
      </w:r>
      <w:r>
        <w:rPr>
          <w:spacing w:val="1"/>
        </w:rPr>
        <w:t xml:space="preserve"> </w:t>
      </w:r>
      <w:r>
        <w:t>Hire (</w:t>
      </w:r>
      <w:proofErr w:type="spellStart"/>
      <w:r>
        <w:t>Pvt</w:t>
      </w:r>
      <w:proofErr w:type="spellEnd"/>
      <w:r>
        <w:t xml:space="preserve">) Ltd </w:t>
      </w:r>
      <w:r>
        <w:t>v Hills and Others 1976 (1)SA717 ;</w:t>
      </w:r>
      <w:proofErr w:type="spellStart"/>
      <w:r>
        <w:t>Mutizhe</w:t>
      </w:r>
      <w:proofErr w:type="spellEnd"/>
      <w:r>
        <w:t xml:space="preserve"> v Ganda and Others 2009 (1)</w:t>
      </w:r>
      <w:r>
        <w:rPr>
          <w:spacing w:val="-57"/>
        </w:rPr>
        <w:t xml:space="preserve"> </w:t>
      </w:r>
      <w:r>
        <w:t xml:space="preserve">ZLR 241 (S); </w:t>
      </w:r>
      <w:proofErr w:type="spellStart"/>
      <w:r>
        <w:t>Maheya</w:t>
      </w:r>
      <w:proofErr w:type="spellEnd"/>
      <w:r>
        <w:t xml:space="preserve"> v Independent African Church 2007 (2) ZLR 319(S);</w:t>
      </w:r>
      <w:r>
        <w:rPr>
          <w:spacing w:val="1"/>
        </w:rPr>
        <w:t xml:space="preserve"> </w:t>
      </w:r>
      <w:proofErr w:type="spellStart"/>
      <w:r>
        <w:t>Nyakabangwe</w:t>
      </w:r>
      <w:proofErr w:type="spellEnd"/>
      <w:r>
        <w:t xml:space="preserve"> v </w:t>
      </w:r>
      <w:proofErr w:type="spellStart"/>
      <w:r>
        <w:t>Jaggers</w:t>
      </w:r>
      <w:proofErr w:type="spellEnd"/>
      <w:r>
        <w:t xml:space="preserve"> </w:t>
      </w:r>
      <w:proofErr w:type="spellStart"/>
      <w:r>
        <w:t>Trador</w:t>
      </w:r>
      <w:proofErr w:type="spellEnd"/>
      <w:r>
        <w:t xml:space="preserve"> (</w:t>
      </w:r>
      <w:proofErr w:type="spellStart"/>
      <w:r>
        <w:t>Pvt</w:t>
      </w:r>
      <w:proofErr w:type="spellEnd"/>
      <w:r>
        <w:t>)Ltd HH-146-03; Viking Woodwork (</w:t>
      </w:r>
      <w:proofErr w:type="spellStart"/>
      <w:r>
        <w:t>Pvt</w:t>
      </w:r>
      <w:proofErr w:type="spellEnd"/>
      <w:r>
        <w:t>) Ltd v</w:t>
      </w:r>
      <w:r>
        <w:rPr>
          <w:spacing w:val="1"/>
        </w:rPr>
        <w:t xml:space="preserve"> </w:t>
      </w:r>
      <w:r>
        <w:t>Bluebells Enterprises (</w:t>
      </w:r>
      <w:proofErr w:type="spellStart"/>
      <w:r>
        <w:t>Pvt</w:t>
      </w:r>
      <w:proofErr w:type="spellEnd"/>
      <w:r>
        <w:t>) Ltd 1998 (2</w:t>
      </w:r>
      <w:r>
        <w:t xml:space="preserve">) ZLR 249 (S); </w:t>
      </w:r>
      <w:proofErr w:type="spellStart"/>
      <w:r>
        <w:t>Kodzwa</w:t>
      </w:r>
      <w:proofErr w:type="spellEnd"/>
      <w:r>
        <w:t xml:space="preserve"> v Secretary for Health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Anor 1999(1)313</w:t>
      </w:r>
      <w:r>
        <w:rPr>
          <w:spacing w:val="-1"/>
        </w:rPr>
        <w:t xml:space="preserve"> </w:t>
      </w:r>
      <w:r>
        <w:t>(S)</w:t>
      </w:r>
      <w:r>
        <w:rPr>
          <w:b w:val="0"/>
        </w:rPr>
        <w:t>.</w:t>
      </w:r>
    </w:p>
    <w:p w:rsidR="00F338D5" w:rsidRDefault="002A2301">
      <w:pPr>
        <w:spacing w:before="159"/>
        <w:ind w:left="100"/>
        <w:rPr>
          <w:b/>
          <w:sz w:val="24"/>
        </w:rPr>
      </w:pPr>
      <w:r>
        <w:rPr>
          <w:b/>
          <w:sz w:val="24"/>
        </w:rPr>
        <w:t>Analysis</w:t>
      </w:r>
    </w:p>
    <w:p w:rsidR="00F338D5" w:rsidRDefault="00F338D5">
      <w:pPr>
        <w:pStyle w:val="BodyText"/>
        <w:spacing w:before="10"/>
        <w:rPr>
          <w:b/>
          <w:sz w:val="25"/>
        </w:rPr>
      </w:pPr>
    </w:p>
    <w:p w:rsidR="00F338D5" w:rsidRDefault="002A2301">
      <w:pPr>
        <w:pStyle w:val="BodyText"/>
        <w:spacing w:line="360" w:lineRule="auto"/>
        <w:ind w:left="100" w:right="104"/>
      </w:pPr>
      <w:r>
        <w:t>Condonation is a relief which is not to be lightly viewed. It should only be granted where and</w:t>
      </w:r>
      <w:r>
        <w:rPr>
          <w:spacing w:val="-57"/>
        </w:rPr>
        <w:t xml:space="preserve"> </w:t>
      </w:r>
      <w:r>
        <w:t>when it is necessary and most importantly in order to ensure that justice is done</w:t>
      </w:r>
      <w:r>
        <w:t>. This is why</w:t>
      </w:r>
      <w:r>
        <w:rPr>
          <w:spacing w:val="1"/>
        </w:rPr>
        <w:t xml:space="preserve"> </w:t>
      </w:r>
      <w:r>
        <w:t>the courts have over time insisted that certain requirements be met. If there were no such</w:t>
      </w:r>
      <w:r>
        <w:rPr>
          <w:spacing w:val="1"/>
        </w:rPr>
        <w:t xml:space="preserve"> </w:t>
      </w:r>
      <w:r>
        <w:t>requirements the courts would be inundated with applications for condonation and there</w:t>
      </w:r>
      <w:r>
        <w:rPr>
          <w:spacing w:val="1"/>
        </w:rPr>
        <w:t xml:space="preserve"> </w:t>
      </w:r>
      <w:r>
        <w:t>would never be</w:t>
      </w:r>
      <w:r>
        <w:rPr>
          <w:spacing w:val="1"/>
        </w:rPr>
        <w:t xml:space="preserve"> </w:t>
      </w:r>
      <w:r>
        <w:t xml:space="preserve">finality to litigation. In </w:t>
      </w:r>
      <w:proofErr w:type="spellStart"/>
      <w:r>
        <w:rPr>
          <w:b/>
        </w:rPr>
        <w:t>Rinos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Terera</w:t>
      </w:r>
      <w:proofErr w:type="spellEnd"/>
      <w:r>
        <w:rPr>
          <w:b/>
        </w:rPr>
        <w:t xml:space="preserve"> v 1) Geor</w:t>
      </w:r>
      <w:r>
        <w:rPr>
          <w:b/>
        </w:rPr>
        <w:t xml:space="preserve">ge </w:t>
      </w:r>
      <w:proofErr w:type="spellStart"/>
      <w:r>
        <w:rPr>
          <w:b/>
        </w:rPr>
        <w:t>Lentaigne</w:t>
      </w:r>
      <w:proofErr w:type="spellEnd"/>
      <w:r>
        <w:rPr>
          <w:b/>
        </w:rPr>
        <w:t xml:space="preserve"> Ingram Lock</w:t>
      </w:r>
      <w:r>
        <w:rPr>
          <w:b/>
          <w:spacing w:val="1"/>
        </w:rPr>
        <w:t xml:space="preserve"> </w:t>
      </w:r>
      <w:r>
        <w:rPr>
          <w:b/>
        </w:rPr>
        <w:t xml:space="preserve">and Three Others SC 93/21 </w:t>
      </w:r>
      <w:r>
        <w:t>the Supreme Court stated that the applicant must be candid with</w:t>
      </w:r>
      <w:r>
        <w:rPr>
          <w:spacing w:val="-57"/>
        </w:rPr>
        <w:t xml:space="preserve"> </w:t>
      </w:r>
      <w:r>
        <w:t>the court in their explanation</w:t>
      </w:r>
      <w:r>
        <w:rPr>
          <w:spacing w:val="1"/>
        </w:rPr>
        <w:t xml:space="preserve"> </w:t>
      </w:r>
      <w:r>
        <w:t>in order to satisfy the court that their explanation is reasonable</w:t>
      </w:r>
      <w:r>
        <w:rPr>
          <w:spacing w:val="1"/>
        </w:rPr>
        <w:t xml:space="preserve"> </w:t>
      </w:r>
      <w:r>
        <w:t>and deserves the empathy of the court and t</w:t>
      </w:r>
      <w:r>
        <w:t>hat there are prospects of success should the</w:t>
      </w:r>
      <w:r>
        <w:rPr>
          <w:spacing w:val="1"/>
        </w:rPr>
        <w:t xml:space="preserve"> </w:t>
      </w:r>
      <w:r>
        <w:t xml:space="preserve">indulgence be granted. The Supreme Court proceeded to refer to the case of </w:t>
      </w:r>
      <w:r>
        <w:rPr>
          <w:b/>
        </w:rPr>
        <w:t>Viking</w:t>
      </w:r>
      <w:r>
        <w:rPr>
          <w:b/>
          <w:spacing w:val="1"/>
        </w:rPr>
        <w:t xml:space="preserve"> </w:t>
      </w:r>
      <w:r>
        <w:rPr>
          <w:b/>
        </w:rPr>
        <w:t>Woodwork</w:t>
      </w:r>
      <w:r>
        <w:rPr>
          <w:b/>
          <w:spacing w:val="-1"/>
        </w:rPr>
        <w:t xml:space="preserve"> </w:t>
      </w:r>
      <w:r>
        <w:rPr>
          <w:b/>
        </w:rPr>
        <w:t xml:space="preserve">(supra) </w:t>
      </w:r>
      <w:r>
        <w:t>where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was stated:</w:t>
      </w:r>
    </w:p>
    <w:p w:rsidR="00F338D5" w:rsidRDefault="002A2301">
      <w:pPr>
        <w:spacing w:before="162" w:line="360" w:lineRule="auto"/>
        <w:ind w:left="820" w:right="117" w:firstLine="60"/>
        <w:rPr>
          <w:i/>
          <w:sz w:val="24"/>
        </w:rPr>
      </w:pPr>
      <w:r>
        <w:rPr>
          <w:i/>
          <w:sz w:val="24"/>
        </w:rPr>
        <w:t>‘In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Kodzwa</w:t>
      </w:r>
      <w:proofErr w:type="spellEnd"/>
      <w:r>
        <w:rPr>
          <w:i/>
          <w:sz w:val="24"/>
        </w:rPr>
        <w:t xml:space="preserve"> v Secretary for Health and Anor 1999(1) ZLR 313 (S) at 315 B-E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aptly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indicated that:</w:t>
      </w:r>
    </w:p>
    <w:p w:rsidR="00F338D5" w:rsidRDefault="002A2301">
      <w:pPr>
        <w:spacing w:before="160" w:line="360" w:lineRule="auto"/>
        <w:ind w:left="820" w:right="124"/>
        <w:rPr>
          <w:i/>
          <w:sz w:val="24"/>
        </w:rPr>
      </w:pPr>
      <w:r>
        <w:rPr>
          <w:i/>
          <w:sz w:val="24"/>
        </w:rPr>
        <w:t>‘The factors which the court should consider in determining an application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condonation are clearly set out in </w:t>
      </w:r>
      <w:proofErr w:type="spellStart"/>
      <w:r>
        <w:rPr>
          <w:i/>
          <w:sz w:val="24"/>
        </w:rPr>
        <w:t>Herbstein</w:t>
      </w:r>
      <w:proofErr w:type="spellEnd"/>
      <w:r>
        <w:rPr>
          <w:i/>
          <w:sz w:val="24"/>
        </w:rPr>
        <w:t xml:space="preserve"> &amp; van </w:t>
      </w:r>
      <w:proofErr w:type="spellStart"/>
      <w:r>
        <w:rPr>
          <w:i/>
          <w:sz w:val="24"/>
        </w:rPr>
        <w:t>Winsen’s</w:t>
      </w:r>
      <w:proofErr w:type="spellEnd"/>
      <w:r>
        <w:rPr>
          <w:i/>
          <w:sz w:val="24"/>
        </w:rPr>
        <w:t xml:space="preserve"> The Civil Practice of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Supreme Court of South Africa 4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ed</w:t>
      </w:r>
      <w:proofErr w:type="spellEnd"/>
      <w:r>
        <w:rPr>
          <w:i/>
          <w:sz w:val="24"/>
        </w:rPr>
        <w:t xml:space="preserve"> by van </w:t>
      </w:r>
      <w:proofErr w:type="spellStart"/>
      <w:r>
        <w:rPr>
          <w:i/>
          <w:sz w:val="24"/>
        </w:rPr>
        <w:t>Winsen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Cilliers</w:t>
      </w:r>
      <w:proofErr w:type="spellEnd"/>
      <w:r>
        <w:rPr>
          <w:i/>
          <w:sz w:val="24"/>
        </w:rPr>
        <w:t xml:space="preserve"> and Loot</w:t>
      </w:r>
      <w:r>
        <w:rPr>
          <w:i/>
          <w:sz w:val="24"/>
        </w:rPr>
        <w:t>s at pp897-898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as follows:</w:t>
      </w:r>
    </w:p>
    <w:p w:rsidR="00F338D5" w:rsidRDefault="002A2301">
      <w:pPr>
        <w:spacing w:before="160" w:line="360" w:lineRule="auto"/>
        <w:ind w:left="820"/>
        <w:rPr>
          <w:i/>
          <w:sz w:val="24"/>
        </w:rPr>
      </w:pPr>
      <w:r>
        <w:rPr>
          <w:i/>
          <w:sz w:val="24"/>
        </w:rPr>
        <w:t>Condonation of non-observance of the rules is by no means a mere formality. It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applicant to satisfy the court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 there is sufficient cause to excuse him 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compliance…</w:t>
      </w:r>
    </w:p>
    <w:p w:rsidR="00F338D5" w:rsidRDefault="002A2301">
      <w:pPr>
        <w:spacing w:before="159" w:line="360" w:lineRule="auto"/>
        <w:ind w:left="820" w:right="117"/>
        <w:rPr>
          <w:i/>
          <w:sz w:val="24"/>
        </w:rPr>
      </w:pPr>
      <w:r>
        <w:rPr>
          <w:i/>
          <w:sz w:val="24"/>
        </w:rPr>
        <w:t>The court’s power to grant relief should not b</w:t>
      </w:r>
      <w:r>
        <w:rPr>
          <w:i/>
          <w:sz w:val="24"/>
        </w:rPr>
        <w:t>e exercised arbitrarily and upon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 asking, but with proper judicial discretion and upon sufficient and satisfactory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grounds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applicant.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determination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sufficient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cause</w:t>
      </w:r>
    </w:p>
    <w:p w:rsidR="00F338D5" w:rsidRDefault="00F338D5">
      <w:pPr>
        <w:spacing w:line="360" w:lineRule="auto"/>
        <w:rPr>
          <w:sz w:val="24"/>
        </w:rPr>
        <w:sectPr w:rsidR="00F338D5">
          <w:pgSz w:w="11910" w:h="16840"/>
          <w:pgMar w:top="1360" w:right="1340" w:bottom="280" w:left="1340" w:header="720" w:footer="720" w:gutter="0"/>
          <w:cols w:space="720"/>
        </w:sectPr>
      </w:pPr>
    </w:p>
    <w:p w:rsidR="00F338D5" w:rsidRDefault="002A2301">
      <w:pPr>
        <w:spacing w:before="61" w:line="360" w:lineRule="auto"/>
        <w:ind w:left="820" w:right="197"/>
        <w:rPr>
          <w:i/>
          <w:sz w:val="24"/>
        </w:rPr>
      </w:pPr>
      <w:proofErr w:type="gramStart"/>
      <w:r>
        <w:rPr>
          <w:i/>
          <w:sz w:val="24"/>
        </w:rPr>
        <w:lastRenderedPageBreak/>
        <w:t>has</w:t>
      </w:r>
      <w:proofErr w:type="gramEnd"/>
      <w:r>
        <w:rPr>
          <w:i/>
          <w:sz w:val="24"/>
        </w:rPr>
        <w:t xml:space="preserve"> been shown, the basic principle</w:t>
      </w:r>
      <w:r>
        <w:rPr>
          <w:i/>
          <w:sz w:val="24"/>
        </w:rPr>
        <w:t xml:space="preserve"> is that the court has a discretion, to be exercised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judicially upon a consideration of all facts and in essence, it is a matter of fairness 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both sides in which the court will endeavor to reach a conclusion that will be 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best interests of justice. The factors usually weighed by the court in considering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applications for condonation… include the degree of non- compliance,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explanation for it, the importance of the case, the prospects of success,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respondent’s interest </w:t>
      </w:r>
      <w:r>
        <w:rPr>
          <w:i/>
          <w:sz w:val="24"/>
        </w:rPr>
        <w:t>in the finality of his judgment, the convenience of the court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avoidance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unnecessary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delay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administration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justice.”</w:t>
      </w:r>
    </w:p>
    <w:p w:rsidR="00F338D5" w:rsidRDefault="002A2301">
      <w:pPr>
        <w:pStyle w:val="BodyText"/>
        <w:spacing w:before="162" w:line="360" w:lineRule="auto"/>
        <w:ind w:left="820" w:right="93"/>
      </w:pPr>
      <w:r>
        <w:t>In the present matter the delay is inordinate. However, if, the explanation for the delay</w:t>
      </w:r>
      <w:r>
        <w:rPr>
          <w:spacing w:val="-57"/>
        </w:rPr>
        <w:t xml:space="preserve"> </w:t>
      </w:r>
      <w:r>
        <w:t>is satisfactory, the cumulativ</w:t>
      </w:r>
      <w:r>
        <w:t xml:space="preserve">e effect of the requirements may tilt the balance in </w:t>
      </w:r>
      <w:proofErr w:type="spellStart"/>
      <w:r>
        <w:t>favour</w:t>
      </w:r>
      <w:proofErr w:type="spellEnd"/>
      <w:r>
        <w:rPr>
          <w:spacing w:val="-57"/>
        </w:rPr>
        <w:t xml:space="preserve"> </w:t>
      </w:r>
      <w:r>
        <w:t>of the applicant. The applicant pleaded ignorance of the law. He was represented and</w:t>
      </w:r>
      <w:r>
        <w:rPr>
          <w:spacing w:val="1"/>
        </w:rPr>
        <w:t xml:space="preserve"> </w:t>
      </w:r>
      <w:r>
        <w:t xml:space="preserve">yet he pursued the wrong remedy. As is trite </w:t>
      </w:r>
      <w:proofErr w:type="gramStart"/>
      <w:r>
        <w:t>that ,</w:t>
      </w:r>
      <w:proofErr w:type="gramEnd"/>
      <w:r>
        <w:t xml:space="preserve"> even had he been a self-actor,</w:t>
      </w:r>
      <w:r>
        <w:rPr>
          <w:spacing w:val="1"/>
        </w:rPr>
        <w:t xml:space="preserve"> </w:t>
      </w:r>
      <w:r>
        <w:t xml:space="preserve">ignorance of the law is not </w:t>
      </w:r>
      <w:r>
        <w:t xml:space="preserve">a </w:t>
      </w:r>
      <w:proofErr w:type="spellStart"/>
      <w:r>
        <w:t>defence</w:t>
      </w:r>
      <w:proofErr w:type="spellEnd"/>
      <w:r>
        <w:t>. Therefore, the delay is both inordinate and</w:t>
      </w:r>
      <w:r>
        <w:rPr>
          <w:spacing w:val="1"/>
        </w:rPr>
        <w:t xml:space="preserve"> </w:t>
      </w:r>
      <w:r>
        <w:t>inexcusable. The applicant submitted that he has always been keen to prosecute his</w:t>
      </w:r>
      <w:r>
        <w:rPr>
          <w:spacing w:val="1"/>
        </w:rPr>
        <w:t xml:space="preserve"> </w:t>
      </w:r>
      <w:r>
        <w:t xml:space="preserve">matter. That is </w:t>
      </w:r>
      <w:proofErr w:type="gramStart"/>
      <w:r>
        <w:t>commendable .</w:t>
      </w:r>
      <w:proofErr w:type="gramEnd"/>
      <w:r>
        <w:t xml:space="preserve"> Unfortunately, no matter how deep the desire to</w:t>
      </w:r>
      <w:r>
        <w:rPr>
          <w:spacing w:val="1"/>
        </w:rPr>
        <w:t xml:space="preserve"> </w:t>
      </w:r>
      <w:r>
        <w:t>prosecute the matter is or may be, still</w:t>
      </w:r>
      <w:r>
        <w:t xml:space="preserve"> the applicant must meet the necessary</w:t>
      </w:r>
      <w:r>
        <w:rPr>
          <w:spacing w:val="1"/>
        </w:rPr>
        <w:t xml:space="preserve"> </w:t>
      </w:r>
      <w:r>
        <w:t>requirements.</w:t>
      </w:r>
    </w:p>
    <w:p w:rsidR="00F338D5" w:rsidRDefault="002A2301">
      <w:pPr>
        <w:pStyle w:val="BodyText"/>
        <w:spacing w:before="160" w:line="360" w:lineRule="auto"/>
        <w:ind w:left="820" w:right="101"/>
      </w:pPr>
      <w:r>
        <w:t>The record confirms that indeed there were circumstances where</w:t>
      </w:r>
      <w:r>
        <w:rPr>
          <w:spacing w:val="1"/>
        </w:rPr>
        <w:t xml:space="preserve"> </w:t>
      </w:r>
      <w:r>
        <w:t>lack of resources</w:t>
      </w:r>
      <w:r>
        <w:rPr>
          <w:spacing w:val="1"/>
        </w:rPr>
        <w:t xml:space="preserve"> </w:t>
      </w:r>
      <w:r>
        <w:t>affected his performance. However, there were other duties which did not require</w:t>
      </w:r>
      <w:r>
        <w:rPr>
          <w:spacing w:val="1"/>
        </w:rPr>
        <w:t xml:space="preserve"> </w:t>
      </w:r>
      <w:r>
        <w:t>‘resources’.</w:t>
      </w:r>
      <w:r>
        <w:rPr>
          <w:spacing w:val="1"/>
        </w:rPr>
        <w:t xml:space="preserve"> </w:t>
      </w:r>
      <w:r>
        <w:t>There are a few examples whi</w:t>
      </w:r>
      <w:r>
        <w:t>ch are on record. His duties included</w:t>
      </w:r>
      <w:r>
        <w:rPr>
          <w:spacing w:val="1"/>
        </w:rPr>
        <w:t xml:space="preserve"> </w:t>
      </w:r>
      <w:r>
        <w:t>holding departmental meetings. In order for him to hold departmental meetings, all he</w:t>
      </w:r>
      <w:r>
        <w:rPr>
          <w:spacing w:val="-57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persons</w:t>
      </w:r>
      <w:r>
        <w:rPr>
          <w:spacing w:val="1"/>
        </w:rPr>
        <w:t xml:space="preserve"> </w:t>
      </w:r>
      <w:r>
        <w:t>concerned, i.e., the ‘resources’ would avail themselves.</w:t>
      </w:r>
      <w:r>
        <w:t xml:space="preserve"> It would then be a different</w:t>
      </w:r>
      <w:r>
        <w:rPr>
          <w:spacing w:val="1"/>
        </w:rPr>
        <w:t xml:space="preserve"> </w:t>
      </w:r>
      <w:r>
        <w:t>situation if his subordinates were uncooperative. Further, he was required to do</w:t>
      </w:r>
      <w:r>
        <w:rPr>
          <w:spacing w:val="1"/>
        </w:rPr>
        <w:t xml:space="preserve"> </w:t>
      </w:r>
      <w:r>
        <w:t xml:space="preserve">budgets for his department. He did not do </w:t>
      </w:r>
      <w:proofErr w:type="gramStart"/>
      <w:r>
        <w:t>them .</w:t>
      </w:r>
      <w:proofErr w:type="gramEnd"/>
      <w:r>
        <w:t xml:space="preserve"> Where he was required to make</w:t>
      </w:r>
      <w:r>
        <w:rPr>
          <w:spacing w:val="1"/>
        </w:rPr>
        <w:t xml:space="preserve"> </w:t>
      </w:r>
      <w:r>
        <w:t>supplementary budgets either he did not know or did not seek guidance. He did not</w:t>
      </w:r>
      <w:r>
        <w:rPr>
          <w:spacing w:val="1"/>
        </w:rPr>
        <w:t xml:space="preserve"> </w:t>
      </w:r>
      <w:r>
        <w:t>follow</w:t>
      </w:r>
      <w:r>
        <w:rPr>
          <w:spacing w:val="4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procurement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6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requirements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department were met. All these examples would have enabled him to at least meet</w:t>
      </w:r>
      <w:r>
        <w:rPr>
          <w:spacing w:val="1"/>
        </w:rPr>
        <w:t xml:space="preserve"> </w:t>
      </w:r>
      <w:r>
        <w:t>certain targets. Th</w:t>
      </w:r>
      <w:r>
        <w:t>ese examples show only one thing, that is,</w:t>
      </w:r>
      <w:r>
        <w:rPr>
          <w:spacing w:val="1"/>
        </w:rPr>
        <w:t xml:space="preserve"> </w:t>
      </w:r>
      <w:r>
        <w:t>no matter how</w:t>
      </w:r>
      <w:r>
        <w:rPr>
          <w:spacing w:val="1"/>
        </w:rPr>
        <w:t xml:space="preserve"> </w:t>
      </w:r>
      <w:r>
        <w:t xml:space="preserve">satisfactory the explanation for the delay and the extent thereof may </w:t>
      </w:r>
      <w:proofErr w:type="gramStart"/>
      <w:r>
        <w:t>be ,</w:t>
      </w:r>
      <w:proofErr w:type="gramEnd"/>
      <w:r>
        <w:t xml:space="preserve"> the finding of</w:t>
      </w:r>
      <w:r>
        <w:rPr>
          <w:spacing w:val="-57"/>
        </w:rPr>
        <w:t xml:space="preserve"> </w:t>
      </w:r>
      <w:r>
        <w:t>guilt by the disciplinary authority is beyond reproach. Further one of 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grounds of appeal suggest</w:t>
      </w:r>
      <w:r>
        <w:t>s that the decision of the disciplinary authority needed to be</w:t>
      </w:r>
      <w:r>
        <w:rPr>
          <w:spacing w:val="1"/>
        </w:rPr>
        <w:t xml:space="preserve"> </w:t>
      </w:r>
      <w:r>
        <w:t>sanctioned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 other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respondent’s</w:t>
      </w:r>
      <w:r>
        <w:rPr>
          <w:spacing w:val="1"/>
        </w:rPr>
        <w:t xml:space="preserve"> </w:t>
      </w:r>
      <w:proofErr w:type="gramStart"/>
      <w:r>
        <w:t>committees</w:t>
      </w:r>
      <w:r>
        <w:rPr>
          <w:spacing w:val="-2"/>
        </w:rPr>
        <w:t xml:space="preserve"> </w:t>
      </w:r>
      <w:r>
        <w:t>.</w:t>
      </w:r>
      <w:proofErr w:type="gramEnd"/>
      <w:r>
        <w:t xml:space="preserve"> This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form</w:t>
      </w:r>
      <w:r>
        <w:rPr>
          <w:spacing w:val="-1"/>
        </w:rPr>
        <w:t xml:space="preserve"> </w:t>
      </w:r>
      <w:r>
        <w:t>part</w:t>
      </w:r>
    </w:p>
    <w:p w:rsidR="00F338D5" w:rsidRDefault="00F338D5">
      <w:pPr>
        <w:spacing w:line="360" w:lineRule="auto"/>
        <w:sectPr w:rsidR="00F338D5">
          <w:pgSz w:w="11910" w:h="16840"/>
          <w:pgMar w:top="1360" w:right="1340" w:bottom="280" w:left="1340" w:header="720" w:footer="720" w:gutter="0"/>
          <w:cols w:space="720"/>
        </w:sectPr>
      </w:pPr>
    </w:p>
    <w:p w:rsidR="00F338D5" w:rsidRDefault="002A2301">
      <w:pPr>
        <w:pStyle w:val="BodyText"/>
        <w:spacing w:before="61" w:line="360" w:lineRule="auto"/>
        <w:ind w:left="820" w:right="324"/>
      </w:pPr>
      <w:r>
        <w:lastRenderedPageBreak/>
        <w:t>S.I. 15/06 which is the code used to discipline the applicant. What this means is that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pros</w:t>
      </w:r>
      <w:r>
        <w:t>pects of success</w:t>
      </w:r>
      <w:r>
        <w:rPr>
          <w:spacing w:val="3"/>
        </w:rPr>
        <w:t xml:space="preserve"> </w:t>
      </w:r>
      <w:r>
        <w:t>on appeal are</w:t>
      </w:r>
      <w:r>
        <w:rPr>
          <w:spacing w:val="-1"/>
        </w:rPr>
        <w:t xml:space="preserve"> </w:t>
      </w:r>
      <w:r>
        <w:t>slim.</w:t>
      </w:r>
    </w:p>
    <w:p w:rsidR="00F338D5" w:rsidRDefault="002A2301">
      <w:pPr>
        <w:pStyle w:val="BodyText"/>
        <w:spacing w:before="161" w:line="360" w:lineRule="auto"/>
        <w:ind w:left="820" w:right="1145"/>
      </w:pPr>
      <w:r>
        <w:t>In view of the foregoing, I find that there is no merit in the application. The</w:t>
      </w:r>
      <w:r>
        <w:rPr>
          <w:spacing w:val="-5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fails.</w:t>
      </w:r>
    </w:p>
    <w:p w:rsidR="00F338D5" w:rsidRDefault="002A2301">
      <w:pPr>
        <w:pStyle w:val="BodyText"/>
        <w:spacing w:before="158"/>
        <w:ind w:left="820"/>
      </w:pPr>
      <w:r>
        <w:t>Accordingly,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ordered</w:t>
      </w:r>
      <w:r>
        <w:rPr>
          <w:spacing w:val="-1"/>
        </w:rPr>
        <w:t xml:space="preserve"> </w:t>
      </w:r>
      <w:proofErr w:type="gramStart"/>
      <w:r>
        <w:t>that</w:t>
      </w:r>
      <w:r>
        <w:rPr>
          <w:spacing w:val="-1"/>
        </w:rPr>
        <w:t xml:space="preserve"> </w:t>
      </w:r>
      <w:r>
        <w:t>:</w:t>
      </w:r>
      <w:proofErr w:type="gramEnd"/>
    </w:p>
    <w:p w:rsidR="00F338D5" w:rsidRDefault="00F338D5">
      <w:pPr>
        <w:pStyle w:val="BodyText"/>
        <w:spacing w:before="10"/>
        <w:rPr>
          <w:sz w:val="25"/>
        </w:rPr>
      </w:pPr>
    </w:p>
    <w:p w:rsidR="00F338D5" w:rsidRDefault="002A2301">
      <w:pPr>
        <w:pStyle w:val="BodyText"/>
        <w:spacing w:line="360" w:lineRule="auto"/>
        <w:ind w:left="820" w:right="157"/>
      </w:pPr>
      <w:r>
        <w:t>The application</w:t>
      </w:r>
      <w:r>
        <w:rPr>
          <w:spacing w:val="1"/>
        </w:rPr>
        <w:t xml:space="preserve"> </w:t>
      </w:r>
      <w:r>
        <w:t>for condonation for late noting of an appeal be and is hereby</w:t>
      </w:r>
      <w:r>
        <w:rPr>
          <w:spacing w:val="-57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with costs.</w:t>
      </w:r>
    </w:p>
    <w:p w:rsidR="00F338D5" w:rsidRDefault="00F338D5">
      <w:pPr>
        <w:pStyle w:val="BodyText"/>
        <w:rPr>
          <w:sz w:val="26"/>
        </w:rPr>
      </w:pPr>
    </w:p>
    <w:p w:rsidR="00F338D5" w:rsidRDefault="00F338D5">
      <w:pPr>
        <w:pStyle w:val="BodyText"/>
        <w:rPr>
          <w:sz w:val="26"/>
        </w:rPr>
      </w:pPr>
    </w:p>
    <w:p w:rsidR="00F338D5" w:rsidRDefault="00F338D5">
      <w:pPr>
        <w:pStyle w:val="BodyText"/>
        <w:rPr>
          <w:sz w:val="26"/>
        </w:rPr>
      </w:pPr>
    </w:p>
    <w:p w:rsidR="00F338D5" w:rsidRDefault="00F338D5">
      <w:pPr>
        <w:pStyle w:val="BodyText"/>
        <w:spacing w:before="9"/>
        <w:rPr>
          <w:sz w:val="35"/>
        </w:rPr>
      </w:pPr>
    </w:p>
    <w:p w:rsidR="00F338D5" w:rsidRDefault="002A2301">
      <w:pPr>
        <w:pStyle w:val="Heading1"/>
        <w:spacing w:before="1"/>
        <w:ind w:left="880"/>
      </w:pPr>
      <w:r>
        <w:t>J</w:t>
      </w:r>
      <w:r>
        <w:rPr>
          <w:spacing w:val="-6"/>
        </w:rPr>
        <w:t xml:space="preserve"> </w:t>
      </w:r>
      <w:r>
        <w:t>MAMBARA&amp;</w:t>
      </w:r>
      <w:r>
        <w:rPr>
          <w:spacing w:val="-5"/>
        </w:rPr>
        <w:t xml:space="preserve"> </w:t>
      </w:r>
      <w:r>
        <w:t>PARTNERS,</w:t>
      </w:r>
      <w:r>
        <w:rPr>
          <w:spacing w:val="-7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PRACTITIONERS.</w:t>
      </w:r>
    </w:p>
    <w:p w:rsidR="00F338D5" w:rsidRDefault="00F338D5">
      <w:pPr>
        <w:pStyle w:val="BodyText"/>
        <w:rPr>
          <w:b/>
          <w:sz w:val="26"/>
        </w:rPr>
      </w:pPr>
    </w:p>
    <w:p w:rsidR="00F338D5" w:rsidRDefault="002A2301">
      <w:pPr>
        <w:spacing w:before="1" w:line="360" w:lineRule="auto"/>
        <w:ind w:left="820" w:right="1363"/>
        <w:rPr>
          <w:sz w:val="24"/>
        </w:rPr>
      </w:pPr>
      <w:r>
        <w:rPr>
          <w:b/>
          <w:sz w:val="24"/>
        </w:rPr>
        <w:t>MBIDZO MUCHADEHAMA&amp; MAKONI RESPONDET’S LEGAL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PRACTITIONERS</w:t>
      </w:r>
      <w:r>
        <w:rPr>
          <w:sz w:val="24"/>
        </w:rPr>
        <w:t>.</w:t>
      </w:r>
    </w:p>
    <w:p w:rsidR="00F338D5" w:rsidRDefault="00F338D5">
      <w:pPr>
        <w:pStyle w:val="BodyText"/>
        <w:rPr>
          <w:sz w:val="20"/>
        </w:rPr>
      </w:pPr>
    </w:p>
    <w:p w:rsidR="00F338D5" w:rsidRDefault="00F338D5">
      <w:pPr>
        <w:pStyle w:val="BodyText"/>
        <w:rPr>
          <w:sz w:val="20"/>
        </w:rPr>
      </w:pPr>
    </w:p>
    <w:p w:rsidR="00F338D5" w:rsidRDefault="00F338D5">
      <w:pPr>
        <w:pStyle w:val="BodyText"/>
        <w:rPr>
          <w:sz w:val="20"/>
        </w:rPr>
      </w:pPr>
    </w:p>
    <w:p w:rsidR="00F338D5" w:rsidRDefault="00F338D5">
      <w:pPr>
        <w:pStyle w:val="BodyText"/>
        <w:spacing w:before="7"/>
        <w:rPr>
          <w:sz w:val="25"/>
        </w:rPr>
      </w:pPr>
      <w:bookmarkStart w:id="0" w:name="_GoBack"/>
      <w:bookmarkEnd w:id="0"/>
    </w:p>
    <w:sectPr w:rsidR="00F338D5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060EB"/>
    <w:multiLevelType w:val="hybridMultilevel"/>
    <w:tmpl w:val="9EFCA006"/>
    <w:lvl w:ilvl="0" w:tplc="7A3A90D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55A05086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BF54796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189467C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08980C34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933CE6C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3BE8931A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E39C9CCA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9AECCE68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38D5"/>
    <w:rsid w:val="002A2301"/>
    <w:rsid w:val="00F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A6563-8F1E-48A6-879D-4364831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Microsoft account</cp:lastModifiedBy>
  <cp:revision>2</cp:revision>
  <dcterms:created xsi:type="dcterms:W3CDTF">2023-09-18T13:46:00Z</dcterms:created>
  <dcterms:modified xsi:type="dcterms:W3CDTF">2023-09-19T07:28:00Z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</Properties>
</file>