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32" w:rsidRDefault="00BE380F">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PHILLIP CHIPFUMBU</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ZIMBABWE MUSIC RIGHTS ASSOCIATION</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ALBERT NYATHI N.O.</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REGISTRAR OF COMPANIES</w:t>
      </w:r>
    </w:p>
    <w:p w:rsidR="00466632" w:rsidRDefault="00466632">
      <w:pPr>
        <w:spacing w:after="0"/>
        <w:jc w:val="both"/>
        <w:rPr>
          <w:rFonts w:ascii="Times New Roman" w:hAnsi="Times New Roman" w:cs="Times New Roman"/>
          <w:sz w:val="24"/>
          <w:szCs w:val="24"/>
        </w:rPr>
      </w:pPr>
    </w:p>
    <w:p w:rsidR="00466632" w:rsidRDefault="00466632">
      <w:pPr>
        <w:spacing w:after="0"/>
        <w:jc w:val="both"/>
        <w:rPr>
          <w:rFonts w:ascii="Times New Roman" w:hAnsi="Times New Roman" w:cs="Times New Roman"/>
          <w:sz w:val="24"/>
          <w:szCs w:val="24"/>
        </w:rPr>
      </w:pPr>
    </w:p>
    <w:p w:rsidR="00466632" w:rsidRDefault="00466632">
      <w:pPr>
        <w:spacing w:after="0"/>
        <w:jc w:val="both"/>
        <w:rPr>
          <w:rFonts w:ascii="Times New Roman" w:hAnsi="Times New Roman" w:cs="Times New Roman"/>
          <w:sz w:val="24"/>
          <w:szCs w:val="24"/>
        </w:rPr>
      </w:pP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COMMERCIAL DIVISION</w:t>
      </w:r>
    </w:p>
    <w:p w:rsidR="00466632" w:rsidRDefault="00BE380F">
      <w:pPr>
        <w:spacing w:after="0"/>
        <w:jc w:val="both"/>
        <w:rPr>
          <w:rFonts w:ascii="Times New Roman" w:hAnsi="Times New Roman" w:cs="Times New Roman"/>
          <w:b/>
          <w:bCs/>
          <w:sz w:val="24"/>
          <w:szCs w:val="24"/>
        </w:rPr>
      </w:pPr>
      <w:r>
        <w:rPr>
          <w:rFonts w:ascii="Times New Roman" w:hAnsi="Times New Roman" w:cs="Times New Roman"/>
          <w:b/>
          <w:bCs/>
          <w:sz w:val="24"/>
          <w:szCs w:val="24"/>
        </w:rPr>
        <w:t>MANZUNZU J</w:t>
      </w:r>
    </w:p>
    <w:p w:rsidR="00466632" w:rsidRDefault="00BE380F">
      <w:pPr>
        <w:spacing w:after="0"/>
        <w:jc w:val="both"/>
        <w:rPr>
          <w:rFonts w:ascii="Times New Roman" w:hAnsi="Times New Roman" w:cs="Times New Roman"/>
          <w:sz w:val="24"/>
          <w:szCs w:val="24"/>
        </w:rPr>
      </w:pPr>
      <w:r>
        <w:rPr>
          <w:rFonts w:ascii="Times New Roman" w:hAnsi="Times New Roman" w:cs="Times New Roman"/>
          <w:sz w:val="24"/>
          <w:szCs w:val="24"/>
        </w:rPr>
        <w:t>HARARE, 19 &amp; 24 October  2023</w:t>
      </w:r>
    </w:p>
    <w:p w:rsidR="00466632" w:rsidRDefault="00466632">
      <w:pPr>
        <w:spacing w:after="0"/>
        <w:jc w:val="both"/>
        <w:rPr>
          <w:rFonts w:ascii="Times New Roman" w:hAnsi="Times New Roman" w:cs="Times New Roman"/>
          <w:sz w:val="24"/>
          <w:szCs w:val="24"/>
        </w:rPr>
      </w:pPr>
    </w:p>
    <w:p w:rsidR="00466632" w:rsidRDefault="00BE380F">
      <w:pPr>
        <w:spacing w:after="0"/>
        <w:jc w:val="both"/>
        <w:rPr>
          <w:rFonts w:ascii="Times New Roman" w:hAnsi="Times New Roman" w:cs="Times New Roman"/>
          <w:b/>
          <w:sz w:val="24"/>
          <w:szCs w:val="24"/>
        </w:rPr>
      </w:pPr>
      <w:r>
        <w:rPr>
          <w:rFonts w:ascii="Times New Roman" w:hAnsi="Times New Roman" w:cs="Times New Roman"/>
          <w:b/>
          <w:sz w:val="24"/>
          <w:szCs w:val="24"/>
        </w:rPr>
        <w:t>COURT APPLICATION</w:t>
      </w:r>
    </w:p>
    <w:p w:rsidR="00466632" w:rsidRDefault="00466632">
      <w:pPr>
        <w:spacing w:after="0"/>
        <w:jc w:val="both"/>
        <w:rPr>
          <w:rFonts w:ascii="Times New Roman" w:hAnsi="Times New Roman" w:cs="Times New Roman"/>
          <w:sz w:val="24"/>
          <w:szCs w:val="24"/>
        </w:rPr>
      </w:pPr>
    </w:p>
    <w:p w:rsidR="00466632" w:rsidRDefault="00BE380F">
      <w:pPr>
        <w:spacing w:after="0"/>
        <w:jc w:val="both"/>
        <w:rPr>
          <w:rFonts w:ascii="Times New Roman" w:hAnsi="Times New Roman" w:cs="Times New Roman"/>
          <w:sz w:val="24"/>
          <w:szCs w:val="24"/>
        </w:rPr>
      </w:pPr>
      <w:r>
        <w:rPr>
          <w:rFonts w:ascii="Times New Roman" w:hAnsi="Times New Roman" w:cs="Times New Roman"/>
          <w:i/>
          <w:sz w:val="24"/>
          <w:szCs w:val="24"/>
        </w:rPr>
        <w:t xml:space="preserve"> F Chinwawadzimba</w:t>
      </w:r>
      <w:r>
        <w:rPr>
          <w:rFonts w:ascii="Times New Roman" w:hAnsi="Times New Roman" w:cs="Times New Roman"/>
          <w:sz w:val="24"/>
          <w:szCs w:val="24"/>
        </w:rPr>
        <w:t>, for the applicant</w:t>
      </w:r>
    </w:p>
    <w:p w:rsidR="00466632" w:rsidRDefault="00BE380F">
      <w:pPr>
        <w:spacing w:after="0"/>
        <w:jc w:val="both"/>
        <w:rPr>
          <w:rFonts w:ascii="Times New Roman" w:hAnsi="Times New Roman" w:cs="Times New Roman"/>
          <w:sz w:val="24"/>
          <w:szCs w:val="24"/>
        </w:rPr>
      </w:pPr>
      <w:r>
        <w:rPr>
          <w:rFonts w:ascii="Times New Roman" w:hAnsi="Times New Roman" w:cs="Times New Roman"/>
          <w:i/>
          <w:sz w:val="24"/>
          <w:szCs w:val="24"/>
        </w:rPr>
        <w:t xml:space="preserve">J </w:t>
      </w:r>
      <w:r>
        <w:rPr>
          <w:rFonts w:ascii="Times New Roman" w:hAnsi="Times New Roman" w:cs="Times New Roman"/>
          <w:i/>
          <w:sz w:val="24"/>
          <w:szCs w:val="24"/>
        </w:rPr>
        <w:t>Dondo</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466632" w:rsidRDefault="00466632">
      <w:pPr>
        <w:jc w:val="both"/>
        <w:rPr>
          <w:rFonts w:ascii="Times New Roman" w:hAnsi="Times New Roman" w:cs="Times New Roman"/>
          <w:sz w:val="24"/>
          <w:szCs w:val="24"/>
        </w:rPr>
      </w:pPr>
    </w:p>
    <w:p w:rsidR="00466632" w:rsidRDefault="00BE380F">
      <w:pPr>
        <w:spacing w:line="360" w:lineRule="auto"/>
        <w:jc w:val="both"/>
        <w:rPr>
          <w:rFonts w:ascii="Times New Roman" w:hAnsi="Times New Roman" w:cs="Times New Roman"/>
          <w:sz w:val="24"/>
          <w:szCs w:val="24"/>
        </w:rPr>
      </w:pPr>
      <w:r>
        <w:rPr>
          <w:rFonts w:ascii="Times New Roman" w:hAnsi="Times New Roman" w:cs="Times New Roman"/>
          <w:b/>
          <w:sz w:val="24"/>
          <w:szCs w:val="24"/>
        </w:rPr>
        <w:t>MANZUNZU J</w:t>
      </w:r>
      <w:r>
        <w:rPr>
          <w:rFonts w:ascii="Times New Roman" w:hAnsi="Times New Roman" w:cs="Times New Roman"/>
          <w:sz w:val="24"/>
          <w:szCs w:val="24"/>
        </w:rPr>
        <w:t xml:space="preserve">   This is an opposed court application in which the applicant seeks the suspension of the council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pending a forensic audit and that during such suspension the affairs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w:t>
      </w:r>
      <w:r>
        <w:rPr>
          <w:rFonts w:ascii="Times New Roman" w:hAnsi="Times New Roman" w:cs="Times New Roman"/>
          <w:sz w:val="24"/>
          <w:szCs w:val="24"/>
        </w:rPr>
        <w:t>ondent be managed by the board appointed on 22 June 2023.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opposed the application and raised some preliminary points. Likewise, the applicant has also raised some preliminary points.</w:t>
      </w:r>
    </w:p>
    <w:p w:rsidR="00466632" w:rsidRDefault="00BE3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466632" w:rsidRDefault="00BE38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application is brought in ter</w:t>
      </w:r>
      <w:r>
        <w:rPr>
          <w:rFonts w:ascii="Times New Roman" w:hAnsi="Times New Roman" w:cs="Times New Roman"/>
          <w:sz w:val="24"/>
          <w:szCs w:val="24"/>
        </w:rPr>
        <w:t xml:space="preserve">ms of section 223 of the Companies and Other Business Entities Act, Chapter 24:31 which provides that; </w:t>
      </w:r>
    </w:p>
    <w:p w:rsidR="00466632" w:rsidRDefault="00BE380F">
      <w:pPr>
        <w:autoSpaceDE w:val="0"/>
        <w:autoSpaceDN w:val="0"/>
        <w:adjustRightInd w:val="0"/>
        <w:spacing w:after="0" w:line="240" w:lineRule="auto"/>
        <w:ind w:firstLine="720"/>
        <w:jc w:val="both"/>
        <w:rPr>
          <w:rFonts w:ascii="Times New Roman" w:hAnsi="Times New Roman" w:cs="Times New Roman"/>
          <w:i/>
          <w:sz w:val="21"/>
          <w:szCs w:val="21"/>
        </w:rPr>
      </w:pPr>
      <w:r>
        <w:rPr>
          <w:rFonts w:ascii="Times New Roman" w:hAnsi="Times New Roman" w:cs="Times New Roman"/>
          <w:i/>
          <w:sz w:val="21"/>
          <w:szCs w:val="21"/>
        </w:rPr>
        <w:t xml:space="preserve">“A member of a company may apply to the court for an order in terms of section 225 (“Powers of </w:t>
      </w:r>
      <w:r>
        <w:rPr>
          <w:rFonts w:ascii="Times New Roman" w:hAnsi="Times New Roman" w:cs="Times New Roman"/>
          <w:i/>
          <w:sz w:val="21"/>
          <w:szCs w:val="21"/>
          <w:lang w:val="en-US"/>
        </w:rPr>
        <w:tab/>
      </w:r>
      <w:r>
        <w:rPr>
          <w:rFonts w:ascii="Times New Roman" w:hAnsi="Times New Roman" w:cs="Times New Roman"/>
          <w:i/>
          <w:sz w:val="21"/>
          <w:szCs w:val="21"/>
        </w:rPr>
        <w:t xml:space="preserve">High Court in applications under sections 223 to 224”) on the ground that the company’s affairs </w:t>
      </w:r>
      <w:r>
        <w:rPr>
          <w:rFonts w:ascii="Times New Roman" w:hAnsi="Times New Roman" w:cs="Times New Roman"/>
          <w:i/>
          <w:sz w:val="21"/>
          <w:szCs w:val="21"/>
          <w:lang w:val="en-US"/>
        </w:rPr>
        <w:tab/>
      </w:r>
      <w:r>
        <w:rPr>
          <w:rFonts w:ascii="Times New Roman" w:hAnsi="Times New Roman" w:cs="Times New Roman"/>
          <w:i/>
          <w:sz w:val="21"/>
          <w:szCs w:val="21"/>
        </w:rPr>
        <w:t xml:space="preserve">are being or have been conducted in a manner which is oppressive or unfairly prejudicial to the </w:t>
      </w:r>
      <w:r>
        <w:rPr>
          <w:rFonts w:ascii="Times New Roman" w:hAnsi="Times New Roman" w:cs="Times New Roman"/>
          <w:i/>
          <w:sz w:val="21"/>
          <w:szCs w:val="21"/>
          <w:lang w:val="en-US"/>
        </w:rPr>
        <w:tab/>
      </w:r>
      <w:r>
        <w:rPr>
          <w:rFonts w:ascii="Times New Roman" w:hAnsi="Times New Roman" w:cs="Times New Roman"/>
          <w:i/>
          <w:sz w:val="21"/>
          <w:szCs w:val="21"/>
        </w:rPr>
        <w:t>interests of some part of the members, including himself or he</w:t>
      </w:r>
      <w:r>
        <w:rPr>
          <w:rFonts w:ascii="Times New Roman" w:hAnsi="Times New Roman" w:cs="Times New Roman"/>
          <w:i/>
          <w:sz w:val="21"/>
          <w:szCs w:val="21"/>
        </w:rPr>
        <w:t xml:space="preserve">rself, or that any actual or proposed </w:t>
      </w:r>
      <w:r>
        <w:rPr>
          <w:rFonts w:ascii="Times New Roman" w:hAnsi="Times New Roman" w:cs="Times New Roman"/>
          <w:i/>
          <w:sz w:val="21"/>
          <w:szCs w:val="21"/>
          <w:lang w:val="en-US"/>
        </w:rPr>
        <w:tab/>
      </w:r>
      <w:r>
        <w:rPr>
          <w:rFonts w:ascii="Times New Roman" w:hAnsi="Times New Roman" w:cs="Times New Roman"/>
          <w:i/>
          <w:sz w:val="21"/>
          <w:szCs w:val="21"/>
        </w:rPr>
        <w:t xml:space="preserve">act or omission of the company, including an act or omission on its behalf, is or would be so </w:t>
      </w:r>
      <w:r>
        <w:rPr>
          <w:rFonts w:ascii="Times New Roman" w:hAnsi="Times New Roman" w:cs="Times New Roman"/>
          <w:i/>
          <w:sz w:val="21"/>
          <w:szCs w:val="21"/>
          <w:lang w:val="en-US"/>
        </w:rPr>
        <w:tab/>
      </w:r>
      <w:r>
        <w:rPr>
          <w:rFonts w:ascii="Times New Roman" w:hAnsi="Times New Roman" w:cs="Times New Roman"/>
          <w:i/>
          <w:sz w:val="21"/>
          <w:szCs w:val="21"/>
        </w:rPr>
        <w:t>oppressive or prejudicial.”</w:t>
      </w:r>
    </w:p>
    <w:p w:rsidR="00466632" w:rsidRDefault="00466632">
      <w:pPr>
        <w:autoSpaceDE w:val="0"/>
        <w:autoSpaceDN w:val="0"/>
        <w:adjustRightInd w:val="0"/>
        <w:spacing w:after="0" w:line="24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This means that for one to bring an application under section 223 of the Act, one has to be a</w:t>
      </w:r>
      <w:r>
        <w:rPr>
          <w:rFonts w:ascii="Times New Roman" w:hAnsi="Times New Roman" w:cs="Times New Roman"/>
          <w:sz w:val="21"/>
          <w:szCs w:val="21"/>
        </w:rPr>
        <w:t xml:space="preserve"> member.</w:t>
      </w:r>
    </w:p>
    <w:p w:rsidR="00466632" w:rsidRDefault="00BE380F">
      <w:pPr>
        <w:autoSpaceDE w:val="0"/>
        <w:autoSpaceDN w:val="0"/>
        <w:adjustRightInd w:val="0"/>
        <w:spacing w:after="0" w:line="360" w:lineRule="auto"/>
        <w:jc w:val="both"/>
        <w:rPr>
          <w:rFonts w:ascii="Times New Roman" w:hAnsi="Times New Roman" w:cs="Times New Roman"/>
          <w:sz w:val="21"/>
          <w:szCs w:val="21"/>
          <w:lang w:val="en-US"/>
        </w:rPr>
      </w:pPr>
      <w:r>
        <w:rPr>
          <w:rFonts w:ascii="Times New Roman" w:hAnsi="Times New Roman" w:cs="Times New Roman"/>
          <w:sz w:val="21"/>
          <w:szCs w:val="21"/>
          <w:lang w:val="en-US"/>
        </w:rPr>
        <w:tab/>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chronology of events is that this application was filed on 14 July 2023. The application, according to the certificate of service filed on 1 August 2023, was served on 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on 17 July 2023. On 20 July 2023 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w:t>
      </w:r>
      <w:r>
        <w:rPr>
          <w:rFonts w:ascii="Times New Roman" w:hAnsi="Times New Roman" w:cs="Times New Roman"/>
          <w:sz w:val="21"/>
          <w:szCs w:val="21"/>
        </w:rPr>
        <w:t>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filed their notice of opposition. On 30 August 2023 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filed heads of argument. The applicant filed answering affidavit on 6 September 2023 and </w:t>
      </w:r>
      <w:r>
        <w:rPr>
          <w:rFonts w:ascii="Times New Roman" w:hAnsi="Times New Roman" w:cs="Times New Roman"/>
          <w:sz w:val="21"/>
          <w:szCs w:val="21"/>
        </w:rPr>
        <w:lastRenderedPageBreak/>
        <w:t>served on the respondents on 8 September 2023. The applicant then filed</w:t>
      </w:r>
      <w:r>
        <w:rPr>
          <w:rFonts w:ascii="Times New Roman" w:hAnsi="Times New Roman" w:cs="Times New Roman"/>
          <w:sz w:val="21"/>
          <w:szCs w:val="21"/>
        </w:rPr>
        <w:t xml:space="preserve"> and served heads of argument on the respondents on 8 September 2023.</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raised two preliminary points, that the applicant has no </w:t>
      </w:r>
      <w:r>
        <w:rPr>
          <w:rFonts w:ascii="Times New Roman" w:hAnsi="Times New Roman" w:cs="Times New Roman"/>
          <w:i/>
          <w:sz w:val="21"/>
          <w:szCs w:val="21"/>
        </w:rPr>
        <w:t>locus standi</w:t>
      </w:r>
      <w:r>
        <w:rPr>
          <w:rFonts w:ascii="Times New Roman" w:hAnsi="Times New Roman" w:cs="Times New Roman"/>
          <w:sz w:val="21"/>
          <w:szCs w:val="21"/>
        </w:rPr>
        <w:t xml:space="preserve"> and that the answering affidavit is improperly before the court it having been filed wa</w:t>
      </w:r>
      <w:r>
        <w:rPr>
          <w:rFonts w:ascii="Times New Roman" w:hAnsi="Times New Roman" w:cs="Times New Roman"/>
          <w:sz w:val="21"/>
          <w:szCs w:val="21"/>
        </w:rPr>
        <w:t xml:space="preserve">y out of the </w:t>
      </w:r>
      <w:r>
        <w:rPr>
          <w:rFonts w:ascii="Times New Roman" w:hAnsi="Times New Roman" w:cs="Times New Roman"/>
          <w:i/>
          <w:sz w:val="21"/>
          <w:szCs w:val="21"/>
        </w:rPr>
        <w:t>dies induciae</w:t>
      </w:r>
      <w:r>
        <w:rPr>
          <w:rFonts w:ascii="Times New Roman" w:hAnsi="Times New Roman" w:cs="Times New Roman"/>
          <w:sz w:val="21"/>
          <w:szCs w:val="21"/>
        </w:rPr>
        <w:t>.</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applicant’s preliminary points are that, the deponent to the opposing affidavit has no authority and that the notice of opposition was defective and irregular in that it was not served on the applicant as required by the rul</w:t>
      </w:r>
      <w:r>
        <w:rPr>
          <w:rFonts w:ascii="Times New Roman" w:hAnsi="Times New Roman" w:cs="Times New Roman"/>
          <w:sz w:val="21"/>
          <w:szCs w:val="21"/>
        </w:rPr>
        <w:t>es and its lay out offence rule 26 (1) (b)..</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b/>
          <w:i/>
          <w:sz w:val="21"/>
          <w:szCs w:val="21"/>
        </w:rPr>
        <w:t>Locus standi</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This  preliminary point  must be determined first. It is so because its outcome informs whether or not the application is properly before the court.</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The term </w:t>
      </w:r>
      <w:r>
        <w:rPr>
          <w:rFonts w:ascii="Times New Roman" w:hAnsi="Times New Roman" w:cs="Times New Roman"/>
          <w:i/>
          <w:sz w:val="21"/>
          <w:szCs w:val="21"/>
        </w:rPr>
        <w:t>locus standi</w:t>
      </w:r>
      <w:r>
        <w:rPr>
          <w:rFonts w:ascii="Times New Roman" w:hAnsi="Times New Roman" w:cs="Times New Roman"/>
          <w:sz w:val="21"/>
          <w:szCs w:val="21"/>
        </w:rPr>
        <w:t xml:space="preserve"> has two contexts, the fir</w:t>
      </w:r>
      <w:r>
        <w:rPr>
          <w:rFonts w:ascii="Times New Roman" w:hAnsi="Times New Roman" w:cs="Times New Roman"/>
          <w:sz w:val="21"/>
          <w:szCs w:val="21"/>
        </w:rPr>
        <w:t xml:space="preserve">st being the capacity to litigate and the second refers to the interest which a party has in the relief or the right  to claim the relief. </w:t>
      </w:r>
      <w:r>
        <w:rPr>
          <w:rFonts w:ascii="Times New Roman" w:hAnsi="Times New Roman" w:cs="Times New Roman"/>
          <w:sz w:val="24"/>
          <w:szCs w:val="24"/>
        </w:rPr>
        <w:t xml:space="preserve">See Herbstein and Van Winsen </w:t>
      </w:r>
      <w:r>
        <w:rPr>
          <w:rFonts w:ascii="Times New Roman" w:hAnsi="Times New Roman" w:cs="Times New Roman"/>
          <w:i/>
          <w:sz w:val="24"/>
          <w:szCs w:val="24"/>
        </w:rPr>
        <w:t>The Civil Practice of the High Courts and the Supreme Courts of Appeal of South Africa</w:t>
      </w:r>
      <w:r>
        <w:rPr>
          <w:rFonts w:ascii="Times New Roman" w:hAnsi="Times New Roman" w:cs="Times New Roman"/>
          <w:sz w:val="24"/>
          <w:szCs w:val="24"/>
        </w:rPr>
        <w:t xml:space="preserv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p 143.</w:t>
      </w:r>
    </w:p>
    <w:p w:rsidR="00466632" w:rsidRDefault="00BE380F">
      <w:pPr>
        <w:shd w:val="clear" w:color="auto" w:fill="FFFFFF"/>
        <w:spacing w:after="0" w:line="360" w:lineRule="auto"/>
        <w:jc w:val="both"/>
        <w:rPr>
          <w:rFonts w:ascii="Arial" w:eastAsia="Times New Roman" w:hAnsi="Arial" w:cs="Arial"/>
          <w:color w:val="4D5156"/>
          <w:sz w:val="24"/>
          <w:szCs w:val="24"/>
          <w:lang w:val="en-US" w:eastAsia="en-ZW"/>
        </w:rPr>
      </w:pPr>
      <w:r>
        <w:rPr>
          <w:rFonts w:ascii="Arial" w:eastAsia="Times New Roman" w:hAnsi="Arial" w:cs="Arial"/>
          <w:color w:val="4D5156"/>
          <w:sz w:val="24"/>
          <w:szCs w:val="24"/>
          <w:lang w:val="en-US" w:eastAsia="en-ZW"/>
        </w:rPr>
        <w:tab/>
      </w:r>
    </w:p>
    <w:p w:rsidR="00466632" w:rsidRDefault="00BE380F">
      <w:pPr>
        <w:shd w:val="clear" w:color="auto" w:fill="FFFFFF"/>
        <w:spacing w:after="0" w:line="360" w:lineRule="auto"/>
        <w:jc w:val="both"/>
        <w:rPr>
          <w:rFonts w:ascii="Times New Roman" w:eastAsia="Times New Roman" w:hAnsi="Times New Roman" w:cs="Times New Roman"/>
          <w:color w:val="4D5156"/>
          <w:sz w:val="24"/>
          <w:szCs w:val="24"/>
          <w:lang w:val="en" w:eastAsia="en-ZW"/>
        </w:rPr>
      </w:pPr>
      <w:r>
        <w:rPr>
          <w:rFonts w:ascii="Times New Roman" w:eastAsia="Times New Roman" w:hAnsi="Times New Roman" w:cs="Times New Roman"/>
          <w:color w:val="4D5156"/>
          <w:sz w:val="24"/>
          <w:szCs w:val="24"/>
          <w:lang w:val="en" w:eastAsia="en-ZW"/>
        </w:rPr>
        <w:t xml:space="preserve">In </w:t>
      </w:r>
      <w:r>
        <w:rPr>
          <w:rFonts w:ascii="Times New Roman" w:eastAsia="Times New Roman" w:hAnsi="Times New Roman" w:cs="Times New Roman"/>
          <w:i/>
          <w:color w:val="4D5156"/>
          <w:sz w:val="24"/>
          <w:szCs w:val="24"/>
          <w:lang w:val="en" w:eastAsia="en-ZW"/>
        </w:rPr>
        <w:t>Makarudze &amp; Anor v Bungu &amp; Ors 2015 (1) ZLR 15 (H</w:t>
      </w:r>
      <w:r>
        <w:rPr>
          <w:rFonts w:ascii="Times New Roman" w:eastAsia="Times New Roman" w:hAnsi="Times New Roman" w:cs="Times New Roman"/>
          <w:color w:val="4D5156"/>
          <w:sz w:val="24"/>
          <w:szCs w:val="24"/>
          <w:lang w:val="en" w:eastAsia="en-ZW"/>
        </w:rPr>
        <w:t xml:space="preserve">) the court pointed out that </w:t>
      </w:r>
      <w:r>
        <w:rPr>
          <w:rFonts w:ascii="Times New Roman" w:eastAsia="Times New Roman" w:hAnsi="Times New Roman" w:cs="Times New Roman"/>
          <w:i/>
          <w:color w:val="4D5156"/>
          <w:sz w:val="24"/>
          <w:szCs w:val="24"/>
          <w:lang w:val="en" w:eastAsia="en-ZW"/>
        </w:rPr>
        <w:t>locus standi in judicio</w:t>
      </w:r>
      <w:r>
        <w:rPr>
          <w:rFonts w:ascii="Times New Roman" w:eastAsia="Times New Roman" w:hAnsi="Times New Roman" w:cs="Times New Roman"/>
          <w:color w:val="4D5156"/>
          <w:sz w:val="24"/>
          <w:szCs w:val="24"/>
          <w:lang w:val="en" w:eastAsia="en-ZW"/>
        </w:rPr>
        <w:t> </w:t>
      </w:r>
      <w:r>
        <w:rPr>
          <w:rFonts w:ascii="Times New Roman" w:eastAsia="Times New Roman" w:hAnsi="Times New Roman" w:cs="Times New Roman"/>
          <w:color w:val="040C28"/>
          <w:sz w:val="24"/>
          <w:szCs w:val="24"/>
          <w:lang w:val="en" w:eastAsia="en-ZW"/>
        </w:rPr>
        <w:t>refers to one’s right, ability or capacity to bring legal proceedings in a court of law</w:t>
      </w:r>
      <w:r>
        <w:rPr>
          <w:rFonts w:ascii="Times New Roman" w:eastAsia="Times New Roman" w:hAnsi="Times New Roman" w:cs="Times New Roman"/>
          <w:color w:val="4D5156"/>
          <w:sz w:val="24"/>
          <w:szCs w:val="24"/>
          <w:lang w:val="en" w:eastAsia="en-ZW"/>
        </w:rPr>
        <w:t>. One must justify such right by showing that one</w:t>
      </w:r>
      <w:r>
        <w:rPr>
          <w:rFonts w:ascii="Times New Roman" w:eastAsia="Times New Roman" w:hAnsi="Times New Roman" w:cs="Times New Roman"/>
          <w:color w:val="4D5156"/>
          <w:sz w:val="24"/>
          <w:szCs w:val="24"/>
          <w:lang w:val="en" w:eastAsia="en-ZW"/>
        </w:rPr>
        <w:t xml:space="preserve"> has a direct and substantial interest in the outcome of the litigation.</w:t>
      </w:r>
    </w:p>
    <w:p w:rsidR="00466632" w:rsidRDefault="00466632">
      <w:pPr>
        <w:shd w:val="clear" w:color="auto" w:fill="FFFFFF"/>
        <w:spacing w:after="0" w:line="360" w:lineRule="auto"/>
        <w:jc w:val="both"/>
        <w:rPr>
          <w:rFonts w:ascii="Times New Roman" w:eastAsia="Times New Roman" w:hAnsi="Times New Roman" w:cs="Times New Roman"/>
          <w:color w:val="4D5156"/>
          <w:sz w:val="24"/>
          <w:szCs w:val="24"/>
          <w:lang w:val="en" w:eastAsia="en-ZW"/>
        </w:rPr>
      </w:pPr>
    </w:p>
    <w:p w:rsidR="00466632" w:rsidRDefault="00BE380F">
      <w:pPr>
        <w:spacing w:after="0" w:line="360" w:lineRule="auto"/>
        <w:jc w:val="both"/>
        <w:rPr>
          <w:rFonts w:ascii="Times New Roman" w:hAnsi="Times New Roman" w:cs="Times New Roman"/>
          <w:sz w:val="21"/>
          <w:szCs w:val="21"/>
        </w:rPr>
      </w:pPr>
      <w:r>
        <w:rPr>
          <w:rFonts w:ascii="Times New Roman" w:eastAsia="Calibri" w:hAnsi="Times New Roman" w:cs="Times New Roman"/>
          <w:sz w:val="24"/>
          <w:szCs w:val="24"/>
          <w:lang w:val="en-ZA"/>
        </w:rPr>
        <w:t xml:space="preserve">In </w:t>
      </w:r>
      <w:r>
        <w:rPr>
          <w:rFonts w:ascii="Times New Roman" w:eastAsia="Calibri" w:hAnsi="Times New Roman" w:cs="Times New Roman"/>
          <w:i/>
          <w:sz w:val="24"/>
          <w:szCs w:val="24"/>
          <w:lang w:val="en-ZA"/>
        </w:rPr>
        <w:t>Sibanda and Others v Apostolic Faith Mission, SC 49/18</w:t>
      </w:r>
      <w:r>
        <w:rPr>
          <w:rFonts w:ascii="Times New Roman" w:eastAsia="Calibri" w:hAnsi="Times New Roman" w:cs="Times New Roman"/>
          <w:sz w:val="24"/>
          <w:szCs w:val="24"/>
          <w:lang w:val="en-ZA"/>
        </w:rPr>
        <w:t xml:space="preserve"> the court had this to say; “It is trite that </w:t>
      </w:r>
      <w:r>
        <w:rPr>
          <w:rFonts w:ascii="Times New Roman" w:eastAsia="Calibri" w:hAnsi="Times New Roman" w:cs="Times New Roman"/>
          <w:i/>
          <w:sz w:val="24"/>
          <w:szCs w:val="24"/>
          <w:lang w:val="en-ZA"/>
        </w:rPr>
        <w:t>locus standi</w:t>
      </w:r>
      <w:r>
        <w:rPr>
          <w:rFonts w:ascii="Times New Roman" w:eastAsia="Calibri" w:hAnsi="Times New Roman" w:cs="Times New Roman"/>
          <w:sz w:val="24"/>
          <w:szCs w:val="24"/>
          <w:lang w:val="en-ZA"/>
        </w:rPr>
        <w:t xml:space="preserve"> is the capacity of a party to bring a matter before a court of law. The law is clear on the point that to establish </w:t>
      </w:r>
      <w:r>
        <w:rPr>
          <w:rFonts w:ascii="Times New Roman" w:eastAsia="Calibri" w:hAnsi="Times New Roman" w:cs="Times New Roman"/>
          <w:i/>
          <w:sz w:val="24"/>
          <w:szCs w:val="24"/>
          <w:lang w:val="en-ZA"/>
        </w:rPr>
        <w:t>locus standi</w:t>
      </w:r>
      <w:r>
        <w:rPr>
          <w:rFonts w:ascii="Times New Roman" w:eastAsia="Calibri" w:hAnsi="Times New Roman" w:cs="Times New Roman"/>
          <w:sz w:val="24"/>
          <w:szCs w:val="24"/>
          <w:lang w:val="en-ZA"/>
        </w:rPr>
        <w:t xml:space="preserve">, a party must show a direct and substantial interest in the matter. See </w:t>
      </w:r>
      <w:r>
        <w:rPr>
          <w:rFonts w:ascii="Times New Roman" w:eastAsia="Calibri" w:hAnsi="Times New Roman" w:cs="Times New Roman"/>
          <w:i/>
          <w:sz w:val="24"/>
          <w:szCs w:val="24"/>
          <w:lang w:val="en-ZA"/>
        </w:rPr>
        <w:t xml:space="preserve">United Watch &amp; Diamond Company (Pty) Ltd &amp; Ors v Disa </w:t>
      </w:r>
      <w:r>
        <w:rPr>
          <w:rFonts w:ascii="Times New Roman" w:eastAsia="Calibri" w:hAnsi="Times New Roman" w:cs="Times New Roman"/>
          <w:i/>
          <w:sz w:val="24"/>
          <w:szCs w:val="24"/>
          <w:lang w:val="en-ZA"/>
        </w:rPr>
        <w:t>Hotels Ltd &amp; Anor</w:t>
      </w:r>
      <w:r>
        <w:rPr>
          <w:rFonts w:ascii="Times New Roman" w:eastAsia="Calibri" w:hAnsi="Times New Roman" w:cs="Times New Roman"/>
          <w:sz w:val="24"/>
          <w:szCs w:val="24"/>
          <w:lang w:val="en-ZA"/>
        </w:rPr>
        <w:t xml:space="preserve"> 1972 (4) SA 409 (c) at 415 A-C and </w:t>
      </w:r>
      <w:r>
        <w:rPr>
          <w:rFonts w:ascii="Times New Roman" w:eastAsia="Calibri" w:hAnsi="Times New Roman" w:cs="Times New Roman"/>
          <w:i/>
          <w:sz w:val="24"/>
          <w:szCs w:val="24"/>
          <w:lang w:val="en-ZA"/>
        </w:rPr>
        <w:t>Matambanadzo v Goven</w:t>
      </w:r>
      <w:r>
        <w:rPr>
          <w:rFonts w:ascii="Times New Roman" w:eastAsia="Calibri" w:hAnsi="Times New Roman" w:cs="Times New Roman"/>
          <w:sz w:val="24"/>
          <w:szCs w:val="24"/>
          <w:lang w:val="en-ZA"/>
        </w:rPr>
        <w:t xml:space="preserve"> SC 23-04.”</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Section 223 of the Act allows a member to bring an application in terms of that section. It was argued for  for the respondents that the applicant is not a member hence ha</w:t>
      </w:r>
      <w:r>
        <w:rPr>
          <w:rFonts w:ascii="Times New Roman" w:hAnsi="Times New Roman" w:cs="Times New Roman"/>
          <w:sz w:val="21"/>
          <w:szCs w:val="21"/>
        </w:rPr>
        <w:t xml:space="preserve">s no </w:t>
      </w:r>
      <w:r>
        <w:rPr>
          <w:rFonts w:ascii="Times New Roman" w:hAnsi="Times New Roman" w:cs="Times New Roman"/>
          <w:i/>
          <w:sz w:val="21"/>
          <w:szCs w:val="21"/>
        </w:rPr>
        <w:t>locus standi</w:t>
      </w:r>
      <w:r>
        <w:rPr>
          <w:rFonts w:ascii="Times New Roman" w:hAnsi="Times New Roman" w:cs="Times New Roman"/>
          <w:sz w:val="21"/>
          <w:szCs w:val="21"/>
        </w:rPr>
        <w:t xml:space="preserve">. </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In his founding affidavit the applicant says that he brings the application in his capacity as a member of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respondent. No other evidence is attached in support of that averment.</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issue is whether or not the applicant is a member</w:t>
      </w:r>
      <w:r>
        <w:rPr>
          <w:rFonts w:ascii="Times New Roman" w:hAnsi="Times New Roman" w:cs="Times New Roman"/>
          <w:sz w:val="21"/>
          <w:szCs w:val="21"/>
        </w:rPr>
        <w:t xml:space="preserve"> of 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respondent. If he is a member, then he has direct and substantial interest to clothe him with the necessary </w:t>
      </w:r>
      <w:r>
        <w:rPr>
          <w:rFonts w:ascii="Times New Roman" w:hAnsi="Times New Roman" w:cs="Times New Roman"/>
          <w:i/>
          <w:iCs/>
          <w:sz w:val="21"/>
          <w:szCs w:val="21"/>
        </w:rPr>
        <w:t>locus standi.</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opposed that he is a member. In support of that assertion, they attached a letter dated 22 May 2023 which they say terminated his membership. The letter which is attached as annexure “C” to the opposing affidavit, signed by the Board chairpers</w:t>
      </w:r>
      <w:r>
        <w:rPr>
          <w:rFonts w:ascii="Times New Roman" w:hAnsi="Times New Roman" w:cs="Times New Roman"/>
          <w:sz w:val="21"/>
          <w:szCs w:val="21"/>
        </w:rPr>
        <w:t xml:space="preserve">on, reads in part: </w:t>
      </w:r>
    </w:p>
    <w:p w:rsidR="00466632" w:rsidRDefault="00466632">
      <w:pPr>
        <w:autoSpaceDE w:val="0"/>
        <w:autoSpaceDN w:val="0"/>
        <w:adjustRightInd w:val="0"/>
        <w:spacing w:after="0" w:line="240" w:lineRule="auto"/>
        <w:jc w:val="both"/>
        <w:rPr>
          <w:rFonts w:ascii="Times New Roman" w:hAnsi="Times New Roman" w:cs="Times New Roman"/>
          <w:i/>
          <w:sz w:val="21"/>
          <w:szCs w:val="21"/>
        </w:rPr>
      </w:pPr>
    </w:p>
    <w:p w:rsidR="00466632" w:rsidRDefault="00BE380F">
      <w:pPr>
        <w:autoSpaceDE w:val="0"/>
        <w:autoSpaceDN w:val="0"/>
        <w:adjustRightInd w:val="0"/>
        <w:spacing w:after="0" w:line="360" w:lineRule="auto"/>
        <w:jc w:val="both"/>
        <w:rPr>
          <w:rFonts w:ascii="Times New Roman" w:hAnsi="Times New Roman" w:cs="Times New Roman"/>
          <w:i/>
          <w:sz w:val="21"/>
          <w:szCs w:val="21"/>
        </w:rPr>
      </w:pPr>
      <w:r>
        <w:rPr>
          <w:rFonts w:ascii="Times New Roman" w:hAnsi="Times New Roman" w:cs="Times New Roman"/>
          <w:i/>
          <w:sz w:val="21"/>
          <w:szCs w:val="21"/>
        </w:rPr>
        <w:t>“RE: DISMISSAL FROM MEMBERSHIP</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i/>
          <w:sz w:val="21"/>
          <w:szCs w:val="21"/>
        </w:rPr>
        <w:t>I write this letter informing you that with effect from 22 May 2023 your membership with ZIMURA has been terminated…”</w:t>
      </w:r>
      <w:r>
        <w:rPr>
          <w:rFonts w:ascii="Times New Roman" w:hAnsi="Times New Roman" w:cs="Times New Roman"/>
          <w:sz w:val="21"/>
          <w:szCs w:val="21"/>
        </w:rPr>
        <w:t xml:space="preserve"> The letter goes on to give reasons giving rise to the termination of the membership.</w:t>
      </w:r>
    </w:p>
    <w:p w:rsidR="00466632" w:rsidRDefault="00BE380F">
      <w:pPr>
        <w:autoSpaceDE w:val="0"/>
        <w:autoSpaceDN w:val="0"/>
        <w:adjustRightInd w:val="0"/>
        <w:spacing w:after="0" w:line="360" w:lineRule="auto"/>
        <w:jc w:val="both"/>
        <w:rPr>
          <w:rFonts w:ascii="Times New Roman" w:hAnsi="Times New Roman" w:cs="Times New Roman"/>
          <w:sz w:val="21"/>
          <w:szCs w:val="21"/>
          <w:lang w:val="en-US"/>
        </w:rPr>
      </w:pPr>
      <w:r>
        <w:rPr>
          <w:rFonts w:ascii="Times New Roman" w:hAnsi="Times New Roman" w:cs="Times New Roman"/>
          <w:sz w:val="21"/>
          <w:szCs w:val="21"/>
          <w:lang w:val="en-US"/>
        </w:rPr>
        <w:tab/>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In his answering affidavit the applicant denies that his membership was terminated. He said </w:t>
      </w:r>
      <w:r>
        <w:rPr>
          <w:rFonts w:ascii="Times New Roman" w:hAnsi="Times New Roman" w:cs="Times New Roman"/>
          <w:sz w:val="21"/>
          <w:szCs w:val="21"/>
          <w:lang w:val="en-US"/>
        </w:rPr>
        <w:tab/>
      </w:r>
      <w:r>
        <w:rPr>
          <w:rFonts w:ascii="Times New Roman" w:hAnsi="Times New Roman" w:cs="Times New Roman"/>
          <w:sz w:val="21"/>
          <w:szCs w:val="21"/>
        </w:rPr>
        <w:t xml:space="preserve">termination of one’s membership is procedurally done in terms of section 9 (d) of the articles and memorandum of association. He further stated, </w:t>
      </w:r>
      <w:r>
        <w:rPr>
          <w:rFonts w:ascii="Times New Roman" w:hAnsi="Times New Roman" w:cs="Times New Roman"/>
          <w:i/>
          <w:sz w:val="21"/>
          <w:szCs w:val="21"/>
        </w:rPr>
        <w:t>“The fact that co</w:t>
      </w:r>
      <w:r>
        <w:rPr>
          <w:rFonts w:ascii="Times New Roman" w:hAnsi="Times New Roman" w:cs="Times New Roman"/>
          <w:i/>
          <w:sz w:val="21"/>
          <w:szCs w:val="21"/>
        </w:rPr>
        <w:t>uncil has failed to adhere to this provision renders any of the purported act to terminate my membership a nullity</w:t>
      </w:r>
      <w:r>
        <w:rPr>
          <w:rFonts w:ascii="Times New Roman" w:hAnsi="Times New Roman" w:cs="Times New Roman"/>
          <w:sz w:val="21"/>
          <w:szCs w:val="21"/>
        </w:rPr>
        <w:t>.”</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It may well be so, but the fact remains that there is an extant decision by council in which the applicant’s membership was terminated. Un</w:t>
      </w:r>
      <w:r>
        <w:rPr>
          <w:rFonts w:ascii="Times New Roman" w:hAnsi="Times New Roman" w:cs="Times New Roman"/>
          <w:sz w:val="21"/>
          <w:szCs w:val="21"/>
        </w:rPr>
        <w:t xml:space="preserve">til such time the decision is set aside, it remains valid for all intents and purposes. There is merit in this preliminary point. The application is not properly before the court and it is not necessary to deal with the rest of the preliminary points. </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BE380F">
      <w:pPr>
        <w:autoSpaceDE w:val="0"/>
        <w:autoSpaceDN w:val="0"/>
        <w:adjustRightInd w:val="0"/>
        <w:spacing w:after="0" w:line="360" w:lineRule="auto"/>
        <w:jc w:val="both"/>
        <w:rPr>
          <w:rFonts w:ascii="Times New Roman" w:hAnsi="Times New Roman" w:cs="Times New Roman"/>
          <w:b/>
          <w:bCs/>
          <w:sz w:val="21"/>
          <w:szCs w:val="21"/>
          <w:u w:val="single"/>
        </w:rPr>
      </w:pPr>
      <w:r>
        <w:rPr>
          <w:rFonts w:ascii="Times New Roman" w:hAnsi="Times New Roman" w:cs="Times New Roman"/>
          <w:b/>
          <w:bCs/>
          <w:sz w:val="21"/>
          <w:szCs w:val="21"/>
          <w:u w:val="single"/>
        </w:rPr>
        <w:t>DISPOSITION</w:t>
      </w:r>
    </w:p>
    <w:p w:rsidR="00466632" w:rsidRDefault="00BE380F">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The application be and is hereby dismissed with costs.</w:t>
      </w:r>
    </w:p>
    <w:p w:rsidR="00466632" w:rsidRDefault="00466632">
      <w:pPr>
        <w:autoSpaceDE w:val="0"/>
        <w:autoSpaceDN w:val="0"/>
        <w:adjustRightInd w:val="0"/>
        <w:spacing w:after="0" w:line="360" w:lineRule="auto"/>
        <w:jc w:val="both"/>
        <w:rPr>
          <w:rFonts w:ascii="Times New Roman" w:hAnsi="Times New Roman" w:cs="Times New Roman"/>
          <w:sz w:val="21"/>
          <w:szCs w:val="21"/>
        </w:rPr>
      </w:pPr>
    </w:p>
    <w:p w:rsidR="00466632" w:rsidRDefault="00466632">
      <w:pPr>
        <w:autoSpaceDE w:val="0"/>
        <w:autoSpaceDN w:val="0"/>
        <w:adjustRightInd w:val="0"/>
        <w:spacing w:after="0" w:line="240" w:lineRule="auto"/>
        <w:jc w:val="both"/>
        <w:rPr>
          <w:rFonts w:ascii="Times New Roman" w:hAnsi="Times New Roman" w:cs="Times New Roman"/>
          <w:sz w:val="21"/>
          <w:szCs w:val="21"/>
        </w:rPr>
      </w:pPr>
    </w:p>
    <w:p w:rsidR="00466632" w:rsidRDefault="00BE380F">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i/>
          <w:sz w:val="21"/>
          <w:szCs w:val="21"/>
        </w:rPr>
        <w:t>Hamunakwadi and Nyandoro</w:t>
      </w:r>
      <w:r>
        <w:rPr>
          <w:rFonts w:ascii="Times New Roman" w:hAnsi="Times New Roman" w:cs="Times New Roman"/>
          <w:sz w:val="21"/>
          <w:szCs w:val="21"/>
        </w:rPr>
        <w:t>, applicant’s legal practitioners</w:t>
      </w:r>
    </w:p>
    <w:p w:rsidR="00466632" w:rsidRDefault="00BE380F">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i/>
          <w:sz w:val="21"/>
          <w:szCs w:val="21"/>
        </w:rPr>
        <w:t>Dondo and Partners</w:t>
      </w:r>
      <w:r>
        <w:rPr>
          <w:rFonts w:ascii="Times New Roman" w:hAnsi="Times New Roman" w:cs="Times New Roman"/>
          <w:sz w:val="21"/>
          <w:szCs w:val="21"/>
        </w:rPr>
        <w:t>,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and 2</w:t>
      </w:r>
      <w:r>
        <w:rPr>
          <w:rFonts w:ascii="Times New Roman" w:hAnsi="Times New Roman" w:cs="Times New Roman"/>
          <w:sz w:val="21"/>
          <w:szCs w:val="21"/>
          <w:vertAlign w:val="superscript"/>
        </w:rPr>
        <w:t>nd</w:t>
      </w:r>
      <w:r>
        <w:rPr>
          <w:rFonts w:ascii="Times New Roman" w:hAnsi="Times New Roman" w:cs="Times New Roman"/>
          <w:sz w:val="21"/>
          <w:szCs w:val="21"/>
        </w:rPr>
        <w:t xml:space="preserve"> respondents’ legal practitioners</w:t>
      </w:r>
    </w:p>
    <w:p w:rsidR="00466632" w:rsidRDefault="00BE380F">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p>
    <w:p w:rsidR="00466632" w:rsidRDefault="00466632">
      <w:pPr>
        <w:autoSpaceDE w:val="0"/>
        <w:autoSpaceDN w:val="0"/>
        <w:adjustRightInd w:val="0"/>
        <w:spacing w:after="0" w:line="240" w:lineRule="auto"/>
        <w:jc w:val="both"/>
        <w:rPr>
          <w:rFonts w:ascii="Times New Roman" w:hAnsi="Times New Roman" w:cs="Times New Roman"/>
          <w:sz w:val="21"/>
          <w:szCs w:val="21"/>
        </w:rPr>
      </w:pPr>
    </w:p>
    <w:p w:rsidR="00466632" w:rsidRDefault="00466632">
      <w:pPr>
        <w:autoSpaceDE w:val="0"/>
        <w:autoSpaceDN w:val="0"/>
        <w:adjustRightInd w:val="0"/>
        <w:spacing w:after="0" w:line="240" w:lineRule="auto"/>
        <w:jc w:val="both"/>
        <w:rPr>
          <w:rFonts w:ascii="Times New Roman" w:hAnsi="Times New Roman" w:cs="Times New Roman"/>
          <w:sz w:val="21"/>
          <w:szCs w:val="21"/>
        </w:rPr>
      </w:pPr>
    </w:p>
    <w:p w:rsidR="00466632" w:rsidRDefault="00466632">
      <w:pPr>
        <w:jc w:val="both"/>
      </w:pPr>
    </w:p>
    <w:sectPr w:rsidR="0046663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0F" w:rsidRDefault="00BE380F">
      <w:pPr>
        <w:spacing w:line="240" w:lineRule="auto"/>
      </w:pPr>
      <w:r>
        <w:separator/>
      </w:r>
    </w:p>
  </w:endnote>
  <w:endnote w:type="continuationSeparator" w:id="0">
    <w:p w:rsidR="00BE380F" w:rsidRDefault="00BE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0F" w:rsidRDefault="00BE380F">
      <w:pPr>
        <w:spacing w:after="0"/>
      </w:pPr>
      <w:r>
        <w:separator/>
      </w:r>
    </w:p>
  </w:footnote>
  <w:footnote w:type="continuationSeparator" w:id="0">
    <w:p w:rsidR="00BE380F" w:rsidRDefault="00BE380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82838"/>
    </w:sdtPr>
    <w:sdtEndPr/>
    <w:sdtContent>
      <w:p w:rsidR="00466632" w:rsidRDefault="00BE380F">
        <w:pPr>
          <w:pStyle w:val="Header"/>
          <w:jc w:val="right"/>
        </w:pPr>
        <w:r>
          <w:fldChar w:fldCharType="begin"/>
        </w:r>
        <w:r>
          <w:instrText xml:space="preserve"> PAGE   \* MERGEFORMAT </w:instrText>
        </w:r>
        <w:r>
          <w:fldChar w:fldCharType="separate"/>
        </w:r>
        <w:r w:rsidR="00F64574">
          <w:rPr>
            <w:noProof/>
          </w:rPr>
          <w:t>2</w:t>
        </w:r>
        <w:r>
          <w:fldChar w:fldCharType="end"/>
        </w:r>
      </w:p>
      <w:p w:rsidR="00466632" w:rsidRDefault="00BE380F">
        <w:pPr>
          <w:pStyle w:val="Header"/>
          <w:jc w:val="right"/>
          <w:rPr>
            <w:lang w:val="en-US"/>
          </w:rPr>
        </w:pPr>
        <w:r>
          <w:rPr>
            <w:lang w:val="en-US"/>
          </w:rPr>
          <w:t>HH583/23</w:t>
        </w:r>
      </w:p>
      <w:p w:rsidR="00466632" w:rsidRDefault="00BE380F">
        <w:pPr>
          <w:pStyle w:val="Header"/>
          <w:jc w:val="right"/>
        </w:pPr>
        <w:r>
          <w:rPr>
            <w:lang w:val="en-US"/>
          </w:rPr>
          <w:t>HCHC482/23</w:t>
        </w:r>
      </w:p>
    </w:sdtContent>
  </w:sdt>
  <w:p w:rsidR="00466632" w:rsidRDefault="00466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BA"/>
    <w:rsid w:val="00001729"/>
    <w:rsid w:val="00002A23"/>
    <w:rsid w:val="000F63F2"/>
    <w:rsid w:val="00155C22"/>
    <w:rsid w:val="00170E90"/>
    <w:rsid w:val="00176C66"/>
    <w:rsid w:val="002E3E87"/>
    <w:rsid w:val="003F6F56"/>
    <w:rsid w:val="00462D1B"/>
    <w:rsid w:val="00466632"/>
    <w:rsid w:val="005C7C80"/>
    <w:rsid w:val="005C7D1F"/>
    <w:rsid w:val="00612110"/>
    <w:rsid w:val="006C2CAE"/>
    <w:rsid w:val="007007AB"/>
    <w:rsid w:val="007068BA"/>
    <w:rsid w:val="0078270A"/>
    <w:rsid w:val="007B11BF"/>
    <w:rsid w:val="007D4043"/>
    <w:rsid w:val="008F1674"/>
    <w:rsid w:val="0092034B"/>
    <w:rsid w:val="00A00C9F"/>
    <w:rsid w:val="00A35447"/>
    <w:rsid w:val="00AA71C1"/>
    <w:rsid w:val="00AF6A8F"/>
    <w:rsid w:val="00B33C15"/>
    <w:rsid w:val="00BC695D"/>
    <w:rsid w:val="00BE380F"/>
    <w:rsid w:val="00C419BE"/>
    <w:rsid w:val="00C90F60"/>
    <w:rsid w:val="00CD793C"/>
    <w:rsid w:val="00CF2E09"/>
    <w:rsid w:val="00CF5016"/>
    <w:rsid w:val="00D27AA0"/>
    <w:rsid w:val="00D77F7A"/>
    <w:rsid w:val="00D94455"/>
    <w:rsid w:val="00DA02A5"/>
    <w:rsid w:val="00E227C6"/>
    <w:rsid w:val="00EB0E65"/>
    <w:rsid w:val="00EC3F7F"/>
    <w:rsid w:val="00F54850"/>
    <w:rsid w:val="00F64574"/>
    <w:rsid w:val="00FC2B0B"/>
    <w:rsid w:val="0606173F"/>
    <w:rsid w:val="222C6A9F"/>
    <w:rsid w:val="2B470F10"/>
    <w:rsid w:val="407C4E5B"/>
    <w:rsid w:val="4C5600CA"/>
    <w:rsid w:val="527D7F81"/>
    <w:rsid w:val="52C319D8"/>
    <w:rsid w:val="5BC91C23"/>
    <w:rsid w:val="5CB33A45"/>
    <w:rsid w:val="5DE106B6"/>
    <w:rsid w:val="5E4A4081"/>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ABA33-E812-459A-9A58-2CA619DC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2023-10-27T08:22:00Z</dcterms:created>
  <dcterms:modified xsi:type="dcterms:W3CDTF">2023-10-27T08:22:00Z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BC260836AFC34B9AA9D30F037F3DD1FF_13</vt:lpwstr>
  </property>
</Properties>
</file>