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2F" w:rsidRDefault="0066781E" w:rsidP="00015D67">
      <w:pPr>
        <w:tabs>
          <w:tab w:val="center" w:pos="468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PHILIPPA ANN COUMBIS</w:t>
      </w:r>
    </w:p>
    <w:p w:rsidR="00015D67" w:rsidRPr="008D3D2F" w:rsidRDefault="00015D67" w:rsidP="008D3D2F">
      <w:pPr>
        <w:tabs>
          <w:tab w:val="center" w:pos="4680"/>
        </w:tabs>
        <w:spacing w:after="0" w:line="240" w:lineRule="auto"/>
        <w:rPr>
          <w:rFonts w:ascii="Times New Roman" w:hAnsi="Times New Roman" w:cs="Times New Roman"/>
          <w:sz w:val="6"/>
          <w:szCs w:val="6"/>
        </w:rPr>
      </w:pPr>
    </w:p>
    <w:p w:rsidR="0008486A" w:rsidRPr="00DF2C2E" w:rsidRDefault="00DF2C2E"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versus</w:t>
      </w:r>
    </w:p>
    <w:p w:rsidR="00015D67" w:rsidRPr="00430E35" w:rsidRDefault="00015D67" w:rsidP="00DF2C2E">
      <w:pPr>
        <w:spacing w:after="0" w:line="240" w:lineRule="auto"/>
        <w:rPr>
          <w:rFonts w:ascii="Times New Roman" w:hAnsi="Times New Roman" w:cs="Times New Roman"/>
          <w:sz w:val="10"/>
          <w:szCs w:val="10"/>
        </w:rPr>
      </w:pPr>
    </w:p>
    <w:p w:rsidR="00960628" w:rsidRDefault="00F90D31"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THERIGHT INVESTMENTS (PVT) LTD</w:t>
      </w:r>
    </w:p>
    <w:p w:rsidR="001709A8" w:rsidRDefault="001709A8"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60628" w:rsidRPr="00430E35" w:rsidRDefault="00960628" w:rsidP="00DF2C2E">
      <w:pPr>
        <w:spacing w:after="0" w:line="240" w:lineRule="auto"/>
        <w:rPr>
          <w:rFonts w:ascii="Times New Roman" w:hAnsi="Times New Roman" w:cs="Times New Roman"/>
          <w:sz w:val="8"/>
          <w:szCs w:val="8"/>
        </w:rPr>
      </w:pPr>
    </w:p>
    <w:p w:rsidR="00AA1C44" w:rsidRDefault="0053000A"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KUNZE KWAYEDZA ENTERPRISES (PRIVATE) LIMITED</w:t>
      </w:r>
    </w:p>
    <w:p w:rsidR="001709A8" w:rsidRDefault="001709A8"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A1C44" w:rsidRPr="00430E35" w:rsidRDefault="00AA1C44" w:rsidP="00DF2C2E">
      <w:pPr>
        <w:spacing w:after="0" w:line="240" w:lineRule="auto"/>
        <w:rPr>
          <w:rFonts w:ascii="Times New Roman" w:hAnsi="Times New Roman" w:cs="Times New Roman"/>
          <w:sz w:val="8"/>
          <w:szCs w:val="8"/>
        </w:rPr>
      </w:pPr>
    </w:p>
    <w:p w:rsidR="00C07E71" w:rsidRPr="00323B86" w:rsidRDefault="009E69DF"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w:t>
      </w:r>
      <w:r w:rsidR="009429BF">
        <w:rPr>
          <w:rFonts w:ascii="Times New Roman" w:hAnsi="Times New Roman" w:cs="Times New Roman"/>
          <w:sz w:val="24"/>
          <w:szCs w:val="24"/>
        </w:rPr>
        <w:t>.</w:t>
      </w:r>
      <w:r>
        <w:rPr>
          <w:rFonts w:ascii="Times New Roman" w:hAnsi="Times New Roman" w:cs="Times New Roman"/>
          <w:sz w:val="24"/>
          <w:szCs w:val="24"/>
        </w:rPr>
        <w:t>O</w:t>
      </w:r>
      <w:r w:rsidR="009429BF">
        <w:rPr>
          <w:rFonts w:ascii="Times New Roman" w:hAnsi="Times New Roman" w:cs="Times New Roman"/>
          <w:sz w:val="24"/>
          <w:szCs w:val="24"/>
        </w:rPr>
        <w:t>.</w:t>
      </w:r>
    </w:p>
    <w:p w:rsidR="00C07E71" w:rsidRDefault="00C07E71"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07E71" w:rsidRPr="00323B86" w:rsidRDefault="00C07E71" w:rsidP="00DF2C2E">
      <w:pPr>
        <w:spacing w:after="0" w:line="240" w:lineRule="auto"/>
        <w:rPr>
          <w:rFonts w:ascii="Times New Roman" w:hAnsi="Times New Roman" w:cs="Times New Roman"/>
          <w:sz w:val="8"/>
          <w:szCs w:val="8"/>
        </w:rPr>
      </w:pPr>
    </w:p>
    <w:p w:rsidR="00C07E71" w:rsidRDefault="00C07E71"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THE SHERIFF FOR ZIMBABWE N.O.</w:t>
      </w:r>
    </w:p>
    <w:p w:rsidR="00DF2C2E" w:rsidRDefault="00DF2C2E" w:rsidP="00DF2C2E">
      <w:pPr>
        <w:spacing w:after="0" w:line="240" w:lineRule="auto"/>
        <w:rPr>
          <w:rFonts w:ascii="Times New Roman" w:hAnsi="Times New Roman" w:cs="Times New Roman"/>
          <w:sz w:val="24"/>
          <w:szCs w:val="24"/>
        </w:rPr>
      </w:pPr>
    </w:p>
    <w:p w:rsidR="00DF2C2E" w:rsidRPr="00DF2C2E" w:rsidRDefault="004212C1" w:rsidP="004212C1">
      <w:pPr>
        <w:tabs>
          <w:tab w:val="left" w:pos="10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HIGH COURT OF ZIMBABWE</w:t>
      </w:r>
    </w:p>
    <w:p w:rsidR="0008486A" w:rsidRPr="00DF2C2E" w:rsidRDefault="00291F17" w:rsidP="00DF2C2E">
      <w:pPr>
        <w:pStyle w:val="NoSpacing"/>
        <w:rPr>
          <w:rFonts w:ascii="Times New Roman" w:hAnsi="Times New Roman" w:cs="Times New Roman"/>
          <w:sz w:val="24"/>
          <w:szCs w:val="24"/>
        </w:rPr>
      </w:pPr>
      <w:r>
        <w:rPr>
          <w:rFonts w:ascii="Times New Roman" w:hAnsi="Times New Roman" w:cs="Times New Roman"/>
          <w:sz w:val="24"/>
          <w:szCs w:val="24"/>
        </w:rPr>
        <w:t>CHINAMORA J</w:t>
      </w:r>
    </w:p>
    <w:p w:rsidR="0008486A" w:rsidRPr="00DF2C2E" w:rsidRDefault="00080519"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HARARE</w:t>
      </w:r>
      <w:r w:rsidR="00DF2C2E">
        <w:rPr>
          <w:rFonts w:ascii="Times New Roman" w:hAnsi="Times New Roman" w:cs="Times New Roman"/>
          <w:sz w:val="24"/>
          <w:szCs w:val="24"/>
        </w:rPr>
        <w:t>,</w:t>
      </w:r>
      <w:r w:rsidRPr="00DF2C2E">
        <w:rPr>
          <w:rFonts w:ascii="Times New Roman" w:hAnsi="Times New Roman" w:cs="Times New Roman"/>
          <w:sz w:val="24"/>
          <w:szCs w:val="24"/>
        </w:rPr>
        <w:t xml:space="preserve"> </w:t>
      </w:r>
      <w:r w:rsidR="006C72BB">
        <w:rPr>
          <w:rFonts w:ascii="Times New Roman" w:hAnsi="Times New Roman" w:cs="Times New Roman"/>
          <w:sz w:val="24"/>
          <w:szCs w:val="24"/>
        </w:rPr>
        <w:t>13 October</w:t>
      </w:r>
      <w:r w:rsidR="00291F17">
        <w:rPr>
          <w:rFonts w:ascii="Times New Roman" w:hAnsi="Times New Roman" w:cs="Times New Roman"/>
          <w:sz w:val="24"/>
          <w:szCs w:val="24"/>
        </w:rPr>
        <w:t xml:space="preserve"> 2022 </w:t>
      </w:r>
      <w:r w:rsidR="001709A8">
        <w:rPr>
          <w:rFonts w:ascii="Times New Roman" w:hAnsi="Times New Roman" w:cs="Times New Roman"/>
          <w:sz w:val="24"/>
          <w:szCs w:val="24"/>
        </w:rPr>
        <w:t>&amp;</w:t>
      </w:r>
      <w:r w:rsidR="00733EEB">
        <w:rPr>
          <w:rFonts w:ascii="Times New Roman" w:hAnsi="Times New Roman" w:cs="Times New Roman"/>
          <w:sz w:val="24"/>
          <w:szCs w:val="24"/>
        </w:rPr>
        <w:t xml:space="preserve"> 21 </w:t>
      </w:r>
      <w:r w:rsidR="003D0078">
        <w:rPr>
          <w:rFonts w:ascii="Times New Roman" w:hAnsi="Times New Roman" w:cs="Times New Roman"/>
          <w:sz w:val="24"/>
          <w:szCs w:val="24"/>
        </w:rPr>
        <w:t>October</w:t>
      </w:r>
      <w:r w:rsidR="00291F17">
        <w:rPr>
          <w:rFonts w:ascii="Times New Roman" w:hAnsi="Times New Roman" w:cs="Times New Roman"/>
          <w:sz w:val="24"/>
          <w:szCs w:val="24"/>
        </w:rPr>
        <w:t xml:space="preserve"> 2022</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b/>
          <w:sz w:val="10"/>
          <w:szCs w:val="10"/>
        </w:rPr>
      </w:pPr>
    </w:p>
    <w:p w:rsidR="00A60A8C" w:rsidRPr="003660DD" w:rsidRDefault="00A60A8C" w:rsidP="00DF2C2E">
      <w:pPr>
        <w:pStyle w:val="NoSpacing"/>
        <w:rPr>
          <w:rFonts w:ascii="Times New Roman" w:hAnsi="Times New Roman" w:cs="Times New Roman"/>
          <w:b/>
          <w:sz w:val="10"/>
          <w:szCs w:val="10"/>
        </w:rPr>
      </w:pPr>
    </w:p>
    <w:p w:rsidR="003D0F5C" w:rsidRPr="00DF2C2E" w:rsidRDefault="009F4C24" w:rsidP="00DF2C2E">
      <w:pPr>
        <w:pStyle w:val="NoSpacing"/>
        <w:rPr>
          <w:rFonts w:ascii="Times New Roman" w:hAnsi="Times New Roman" w:cs="Times New Roman"/>
          <w:b/>
          <w:sz w:val="24"/>
          <w:szCs w:val="24"/>
        </w:rPr>
      </w:pPr>
      <w:r>
        <w:rPr>
          <w:rFonts w:ascii="Times New Roman" w:hAnsi="Times New Roman" w:cs="Times New Roman"/>
          <w:b/>
          <w:sz w:val="24"/>
          <w:szCs w:val="24"/>
        </w:rPr>
        <w:t>Opposed Application</w:t>
      </w:r>
    </w:p>
    <w:p w:rsidR="003D0F5C" w:rsidRDefault="003D0F5C" w:rsidP="00DF2C2E">
      <w:pPr>
        <w:pStyle w:val="NoSpacing"/>
        <w:rPr>
          <w:rFonts w:ascii="Times New Roman" w:hAnsi="Times New Roman" w:cs="Times New Roman"/>
          <w:sz w:val="24"/>
          <w:szCs w:val="24"/>
        </w:rPr>
      </w:pPr>
    </w:p>
    <w:p w:rsidR="00A60A8C" w:rsidRPr="00DF2C2E" w:rsidRDefault="00A60A8C" w:rsidP="00DF2C2E">
      <w:pPr>
        <w:pStyle w:val="NoSpacing"/>
        <w:rPr>
          <w:rFonts w:ascii="Times New Roman" w:hAnsi="Times New Roman" w:cs="Times New Roman"/>
          <w:sz w:val="24"/>
          <w:szCs w:val="24"/>
        </w:rPr>
      </w:pPr>
    </w:p>
    <w:p w:rsidR="00DF2C2E" w:rsidRPr="004E7C9B" w:rsidRDefault="00DF2C2E" w:rsidP="00DF2C2E">
      <w:pPr>
        <w:pStyle w:val="NoSpacing"/>
        <w:rPr>
          <w:rFonts w:ascii="Times New Roman" w:hAnsi="Times New Roman" w:cs="Times New Roman"/>
          <w:i/>
          <w:sz w:val="10"/>
          <w:szCs w:val="10"/>
        </w:rPr>
      </w:pPr>
    </w:p>
    <w:p w:rsidR="009F4C24" w:rsidRDefault="007F36F6" w:rsidP="00DF2C2E">
      <w:pPr>
        <w:pStyle w:val="NoSpacing"/>
        <w:rPr>
          <w:rFonts w:ascii="Times New Roman" w:hAnsi="Times New Roman" w:cs="Times New Roman"/>
          <w:sz w:val="24"/>
          <w:szCs w:val="24"/>
        </w:rPr>
      </w:pPr>
      <w:r>
        <w:rPr>
          <w:rFonts w:ascii="Times New Roman" w:hAnsi="Times New Roman" w:cs="Times New Roman"/>
          <w:i/>
          <w:sz w:val="24"/>
          <w:szCs w:val="24"/>
        </w:rPr>
        <w:t>Adv M Ndlovu</w:t>
      </w:r>
      <w:r w:rsidR="0008486A" w:rsidRPr="00DF2C2E">
        <w:rPr>
          <w:rFonts w:ascii="Times New Roman" w:hAnsi="Times New Roman" w:cs="Times New Roman"/>
          <w:sz w:val="24"/>
          <w:szCs w:val="24"/>
        </w:rPr>
        <w:t xml:space="preserve">, for </w:t>
      </w:r>
      <w:r w:rsidR="00DF2C2E">
        <w:rPr>
          <w:rFonts w:ascii="Times New Roman" w:hAnsi="Times New Roman" w:cs="Times New Roman"/>
          <w:sz w:val="24"/>
          <w:szCs w:val="24"/>
        </w:rPr>
        <w:t xml:space="preserve">the </w:t>
      </w:r>
      <w:r w:rsidR="0008486A" w:rsidRPr="00DF2C2E">
        <w:rPr>
          <w:rFonts w:ascii="Times New Roman" w:hAnsi="Times New Roman" w:cs="Times New Roman"/>
          <w:sz w:val="24"/>
          <w:szCs w:val="24"/>
        </w:rPr>
        <w:t>applicant</w:t>
      </w:r>
    </w:p>
    <w:p w:rsidR="009429BF" w:rsidRPr="00DF2C2E" w:rsidRDefault="007E6AB7" w:rsidP="00DF2C2E">
      <w:pPr>
        <w:pStyle w:val="NoSpacing"/>
        <w:rPr>
          <w:rFonts w:ascii="Times New Roman" w:hAnsi="Times New Roman" w:cs="Times New Roman"/>
          <w:sz w:val="24"/>
          <w:szCs w:val="24"/>
        </w:rPr>
      </w:pPr>
      <w:r>
        <w:rPr>
          <w:rFonts w:ascii="Times New Roman" w:hAnsi="Times New Roman" w:cs="Times New Roman"/>
          <w:i/>
          <w:sz w:val="24"/>
          <w:szCs w:val="24"/>
        </w:rPr>
        <w:t>Adv W</w:t>
      </w:r>
      <w:r w:rsidR="007F36F6" w:rsidRPr="007F36F6">
        <w:rPr>
          <w:rFonts w:ascii="Times New Roman" w:hAnsi="Times New Roman" w:cs="Times New Roman"/>
          <w:i/>
          <w:sz w:val="24"/>
          <w:szCs w:val="24"/>
        </w:rPr>
        <w:t xml:space="preserve"> Nyamakura</w:t>
      </w:r>
      <w:r w:rsidR="009429BF">
        <w:rPr>
          <w:rFonts w:ascii="Times New Roman" w:hAnsi="Times New Roman" w:cs="Times New Roman"/>
          <w:sz w:val="24"/>
          <w:szCs w:val="24"/>
        </w:rPr>
        <w:t xml:space="preserve">, for the </w:t>
      </w:r>
      <w:r w:rsidR="003C3C9E">
        <w:rPr>
          <w:rFonts w:ascii="Times New Roman" w:hAnsi="Times New Roman" w:cs="Times New Roman"/>
          <w:sz w:val="24"/>
          <w:szCs w:val="24"/>
        </w:rPr>
        <w:t>first</w:t>
      </w:r>
      <w:r w:rsidR="009429BF">
        <w:rPr>
          <w:rFonts w:ascii="Times New Roman" w:hAnsi="Times New Roman" w:cs="Times New Roman"/>
          <w:sz w:val="24"/>
          <w:szCs w:val="24"/>
        </w:rPr>
        <w:t xml:space="preserve"> respondent</w:t>
      </w:r>
    </w:p>
    <w:p w:rsidR="008D6F32" w:rsidRDefault="008D6F32" w:rsidP="00DF2C2E">
      <w:pPr>
        <w:pStyle w:val="NoSpacing"/>
        <w:rPr>
          <w:rFonts w:ascii="Times New Roman" w:hAnsi="Times New Roman" w:cs="Times New Roman"/>
          <w:sz w:val="24"/>
          <w:szCs w:val="24"/>
        </w:rPr>
      </w:pPr>
      <w:r>
        <w:rPr>
          <w:rFonts w:ascii="Times New Roman" w:hAnsi="Times New Roman" w:cs="Times New Roman"/>
          <w:sz w:val="24"/>
          <w:szCs w:val="24"/>
        </w:rPr>
        <w:t xml:space="preserve">No appearance for the </w:t>
      </w:r>
      <w:r w:rsidR="003C3C9E">
        <w:rPr>
          <w:rFonts w:ascii="Times New Roman" w:hAnsi="Times New Roman" w:cs="Times New Roman"/>
          <w:sz w:val="24"/>
          <w:szCs w:val="24"/>
        </w:rPr>
        <w:t>first</w:t>
      </w:r>
      <w:r w:rsidR="007E6AB7">
        <w:rPr>
          <w:rFonts w:ascii="Times New Roman" w:hAnsi="Times New Roman" w:cs="Times New Roman"/>
          <w:sz w:val="24"/>
          <w:szCs w:val="24"/>
        </w:rPr>
        <w:t xml:space="preserve">, </w:t>
      </w:r>
      <w:r>
        <w:rPr>
          <w:rFonts w:ascii="Times New Roman" w:hAnsi="Times New Roman" w:cs="Times New Roman"/>
          <w:sz w:val="24"/>
          <w:szCs w:val="24"/>
        </w:rPr>
        <w:t>3</w:t>
      </w:r>
      <w:r w:rsidRPr="008D6F3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7E6AB7">
        <w:rPr>
          <w:rFonts w:ascii="Times New Roman" w:hAnsi="Times New Roman" w:cs="Times New Roman"/>
          <w:sz w:val="24"/>
          <w:szCs w:val="24"/>
        </w:rPr>
        <w:t>and 4</w:t>
      </w:r>
      <w:r w:rsidR="007E6AB7" w:rsidRPr="007E6AB7">
        <w:rPr>
          <w:rFonts w:ascii="Times New Roman" w:hAnsi="Times New Roman" w:cs="Times New Roman"/>
          <w:sz w:val="24"/>
          <w:szCs w:val="24"/>
          <w:vertAlign w:val="superscript"/>
        </w:rPr>
        <w:t>th</w:t>
      </w:r>
      <w:r w:rsidR="007E6AB7">
        <w:rPr>
          <w:rFonts w:ascii="Times New Roman" w:hAnsi="Times New Roman" w:cs="Times New Roman"/>
          <w:sz w:val="24"/>
          <w:szCs w:val="24"/>
        </w:rPr>
        <w:t xml:space="preserve"> </w:t>
      </w:r>
      <w:r>
        <w:rPr>
          <w:rFonts w:ascii="Times New Roman" w:hAnsi="Times New Roman" w:cs="Times New Roman"/>
          <w:sz w:val="24"/>
          <w:szCs w:val="24"/>
        </w:rPr>
        <w:t>respondent</w:t>
      </w:r>
    </w:p>
    <w:p w:rsidR="009F4C24" w:rsidRPr="00DF2C2E" w:rsidRDefault="009F4C24" w:rsidP="00DF2C2E">
      <w:pPr>
        <w:pStyle w:val="NoSpacing"/>
        <w:rPr>
          <w:rFonts w:ascii="Times New Roman" w:hAnsi="Times New Roman" w:cs="Times New Roman"/>
          <w:sz w:val="24"/>
          <w:szCs w:val="24"/>
        </w:rPr>
      </w:pPr>
    </w:p>
    <w:p w:rsidR="00DF2C2E"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 xml:space="preserve">                </w:t>
      </w:r>
    </w:p>
    <w:p w:rsidR="00E03563" w:rsidRDefault="001709A8" w:rsidP="009F4C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59CB" w:rsidRPr="001709A8">
        <w:rPr>
          <w:rFonts w:ascii="Times New Roman" w:hAnsi="Times New Roman" w:cs="Times New Roman"/>
          <w:b/>
          <w:sz w:val="24"/>
          <w:szCs w:val="24"/>
        </w:rPr>
        <w:t>CHINAMORA</w:t>
      </w:r>
      <w:r w:rsidR="003D0F5C" w:rsidRPr="001709A8">
        <w:rPr>
          <w:rFonts w:ascii="Times New Roman" w:hAnsi="Times New Roman" w:cs="Times New Roman"/>
          <w:b/>
          <w:sz w:val="24"/>
          <w:szCs w:val="24"/>
        </w:rPr>
        <w:t xml:space="preserve"> J</w:t>
      </w:r>
      <w:r w:rsidR="0008486A" w:rsidRPr="00DF2C2E">
        <w:rPr>
          <w:rFonts w:ascii="Times New Roman" w:hAnsi="Times New Roman" w:cs="Times New Roman"/>
          <w:sz w:val="24"/>
          <w:szCs w:val="24"/>
        </w:rPr>
        <w:t xml:space="preserve">: </w:t>
      </w:r>
    </w:p>
    <w:p w:rsidR="00E03563" w:rsidRPr="00E03563" w:rsidRDefault="00BA1620" w:rsidP="009F4C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E03563" w:rsidRPr="00E03563">
        <w:rPr>
          <w:rFonts w:ascii="Times New Roman" w:hAnsi="Times New Roman" w:cs="Times New Roman"/>
          <w:b/>
          <w:sz w:val="24"/>
          <w:szCs w:val="24"/>
        </w:rPr>
        <w:t>ackground</w:t>
      </w:r>
      <w:r>
        <w:rPr>
          <w:rFonts w:ascii="Times New Roman" w:hAnsi="Times New Roman" w:cs="Times New Roman"/>
          <w:b/>
          <w:sz w:val="24"/>
          <w:szCs w:val="24"/>
        </w:rPr>
        <w:t xml:space="preserve"> facts</w:t>
      </w:r>
    </w:p>
    <w:p w:rsidR="0032379D" w:rsidRDefault="00566CB9" w:rsidP="00910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 court application filed by the applicant on 24 May 2022</w:t>
      </w:r>
      <w:r w:rsidR="006844BB">
        <w:rPr>
          <w:rFonts w:ascii="Times New Roman" w:hAnsi="Times New Roman" w:cs="Times New Roman"/>
          <w:sz w:val="24"/>
          <w:szCs w:val="24"/>
        </w:rPr>
        <w:t xml:space="preserve"> </w:t>
      </w:r>
      <w:r w:rsidR="004E4D7C">
        <w:rPr>
          <w:rFonts w:ascii="Times New Roman" w:hAnsi="Times New Roman" w:cs="Times New Roman"/>
          <w:sz w:val="24"/>
          <w:szCs w:val="24"/>
        </w:rPr>
        <w:t>seeking an</w:t>
      </w:r>
      <w:r w:rsidR="00D230FA">
        <w:rPr>
          <w:rFonts w:ascii="Times New Roman" w:hAnsi="Times New Roman" w:cs="Times New Roman"/>
          <w:sz w:val="24"/>
          <w:szCs w:val="24"/>
        </w:rPr>
        <w:t xml:space="preserve"> </w:t>
      </w:r>
      <w:r w:rsidR="0097158B">
        <w:rPr>
          <w:rFonts w:ascii="Times New Roman" w:hAnsi="Times New Roman" w:cs="Times New Roman"/>
          <w:sz w:val="24"/>
          <w:szCs w:val="24"/>
        </w:rPr>
        <w:t>order</w:t>
      </w:r>
      <w:r w:rsidR="0032379D">
        <w:rPr>
          <w:rFonts w:ascii="Times New Roman" w:hAnsi="Times New Roman" w:cs="Times New Roman"/>
          <w:sz w:val="24"/>
          <w:szCs w:val="24"/>
        </w:rPr>
        <w:t xml:space="preserve"> couched as follows:</w:t>
      </w:r>
    </w:p>
    <w:p w:rsidR="0032379D" w:rsidRPr="008827C5" w:rsidRDefault="0032379D" w:rsidP="00293A27">
      <w:pPr>
        <w:spacing w:after="0" w:line="360" w:lineRule="auto"/>
        <w:ind w:firstLine="720"/>
        <w:jc w:val="both"/>
        <w:rPr>
          <w:rFonts w:ascii="Times New Roman" w:hAnsi="Times New Roman" w:cs="Times New Roman"/>
          <w:sz w:val="6"/>
          <w:szCs w:val="6"/>
        </w:rPr>
      </w:pPr>
    </w:p>
    <w:p w:rsidR="00AB7789" w:rsidRDefault="008827C5" w:rsidP="008827C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Deed of Transfer No. 538/2021 registered in </w:t>
      </w:r>
      <w:r w:rsidR="003C3C9E">
        <w:rPr>
          <w:rFonts w:ascii="Times New Roman" w:hAnsi="Times New Roman" w:cs="Times New Roman"/>
          <w:sz w:val="24"/>
          <w:szCs w:val="24"/>
        </w:rPr>
        <w:t>the name of the second</w:t>
      </w:r>
      <w:r w:rsidR="009E33FB">
        <w:rPr>
          <w:rFonts w:ascii="Times New Roman" w:hAnsi="Times New Roman" w:cs="Times New Roman"/>
          <w:sz w:val="24"/>
          <w:szCs w:val="24"/>
        </w:rPr>
        <w:t xml:space="preserve"> respondent in respect of a certain piece of land situate in the District of Salisbury called Stand </w:t>
      </w:r>
      <w:r w:rsidR="00082B3F">
        <w:rPr>
          <w:rFonts w:ascii="Times New Roman" w:hAnsi="Times New Roman" w:cs="Times New Roman"/>
          <w:sz w:val="24"/>
          <w:szCs w:val="24"/>
        </w:rPr>
        <w:t xml:space="preserve">9064 Salisbury Township of Salisbury Township Lands measuring 754 square metres </w:t>
      </w:r>
      <w:r w:rsidR="00C16DBF">
        <w:rPr>
          <w:rFonts w:ascii="Times New Roman" w:hAnsi="Times New Roman" w:cs="Times New Roman"/>
          <w:sz w:val="24"/>
          <w:szCs w:val="24"/>
        </w:rPr>
        <w:t>be and is hereby cancelled.</w:t>
      </w:r>
    </w:p>
    <w:p w:rsidR="00133AA3" w:rsidRPr="000E6815" w:rsidRDefault="00133AA3" w:rsidP="00133AA3">
      <w:pPr>
        <w:pStyle w:val="ListParagraph"/>
        <w:spacing w:after="0" w:line="360" w:lineRule="auto"/>
        <w:ind w:left="1080"/>
        <w:jc w:val="both"/>
        <w:rPr>
          <w:rFonts w:ascii="Times New Roman" w:hAnsi="Times New Roman" w:cs="Times New Roman"/>
          <w:sz w:val="8"/>
          <w:szCs w:val="8"/>
        </w:rPr>
      </w:pPr>
    </w:p>
    <w:p w:rsidR="0032379D" w:rsidRDefault="00AB7789" w:rsidP="008827C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Deed of Transfer No. 6176/2003 registered in the name </w:t>
      </w:r>
      <w:r w:rsidR="003C3C9E">
        <w:rPr>
          <w:rFonts w:ascii="Times New Roman" w:hAnsi="Times New Roman" w:cs="Times New Roman"/>
          <w:sz w:val="24"/>
          <w:szCs w:val="24"/>
        </w:rPr>
        <w:t>of the first</w:t>
      </w:r>
      <w:r w:rsidR="000C7B0A">
        <w:rPr>
          <w:rFonts w:ascii="Times New Roman" w:hAnsi="Times New Roman" w:cs="Times New Roman"/>
          <w:sz w:val="24"/>
          <w:szCs w:val="24"/>
        </w:rPr>
        <w:t xml:space="preserve"> respondent in respect of certain piece of land situate in the District of Salisbury called Stand </w:t>
      </w:r>
      <w:r w:rsidR="00133AA3">
        <w:rPr>
          <w:rFonts w:ascii="Times New Roman" w:hAnsi="Times New Roman" w:cs="Times New Roman"/>
          <w:sz w:val="24"/>
          <w:szCs w:val="24"/>
        </w:rPr>
        <w:t xml:space="preserve">9064 </w:t>
      </w:r>
      <w:r w:rsidR="00133AA3">
        <w:rPr>
          <w:rFonts w:ascii="Times New Roman" w:hAnsi="Times New Roman" w:cs="Times New Roman"/>
          <w:sz w:val="24"/>
          <w:szCs w:val="24"/>
        </w:rPr>
        <w:lastRenderedPageBreak/>
        <w:t>Salisbury Township of Salisbury Township Lands measuring 754 square metres be and is hereby revived and declared valid.</w:t>
      </w:r>
      <w:r w:rsidR="00082B3F">
        <w:rPr>
          <w:rFonts w:ascii="Times New Roman" w:hAnsi="Times New Roman" w:cs="Times New Roman"/>
          <w:sz w:val="24"/>
          <w:szCs w:val="24"/>
        </w:rPr>
        <w:t xml:space="preserve"> </w:t>
      </w:r>
    </w:p>
    <w:p w:rsidR="00726190" w:rsidRPr="00726190" w:rsidRDefault="00726190" w:rsidP="00726190">
      <w:pPr>
        <w:pStyle w:val="ListParagraph"/>
        <w:rPr>
          <w:rFonts w:ascii="Times New Roman" w:hAnsi="Times New Roman" w:cs="Times New Roman"/>
          <w:sz w:val="24"/>
          <w:szCs w:val="24"/>
        </w:rPr>
      </w:pPr>
    </w:p>
    <w:p w:rsidR="00726190" w:rsidRPr="008827C5" w:rsidRDefault="003C3C9E" w:rsidP="008827C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w:t>
      </w:r>
      <w:r w:rsidR="00726190">
        <w:rPr>
          <w:rFonts w:ascii="Times New Roman" w:hAnsi="Times New Roman" w:cs="Times New Roman"/>
          <w:sz w:val="24"/>
          <w:szCs w:val="24"/>
        </w:rPr>
        <w:t xml:space="preserve"> respondent shall pay costs of suit on the legal practitioner and client scale.</w:t>
      </w:r>
    </w:p>
    <w:p w:rsidR="0032379D" w:rsidRPr="0034135A" w:rsidRDefault="0032379D" w:rsidP="00293A27">
      <w:pPr>
        <w:spacing w:after="0" w:line="360" w:lineRule="auto"/>
        <w:ind w:firstLine="720"/>
        <w:jc w:val="both"/>
        <w:rPr>
          <w:rFonts w:ascii="Times New Roman" w:hAnsi="Times New Roman" w:cs="Times New Roman"/>
          <w:sz w:val="10"/>
          <w:szCs w:val="10"/>
        </w:rPr>
      </w:pPr>
    </w:p>
    <w:p w:rsidR="008A63F4" w:rsidRDefault="0034135A" w:rsidP="009672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is that, </w:t>
      </w:r>
      <w:r w:rsidR="00C06EBE">
        <w:rPr>
          <w:rFonts w:ascii="Times New Roman" w:hAnsi="Times New Roman" w:cs="Times New Roman"/>
          <w:sz w:val="24"/>
          <w:szCs w:val="24"/>
        </w:rPr>
        <w:t>the applicant was previously married to Ronald John Coumbis</w:t>
      </w:r>
      <w:r w:rsidR="00967289">
        <w:rPr>
          <w:rFonts w:ascii="Times New Roman" w:hAnsi="Times New Roman" w:cs="Times New Roman"/>
          <w:sz w:val="24"/>
          <w:szCs w:val="24"/>
        </w:rPr>
        <w:t xml:space="preserve">. </w:t>
      </w:r>
      <w:r w:rsidR="00FA21DE">
        <w:rPr>
          <w:rFonts w:ascii="Times New Roman" w:hAnsi="Times New Roman" w:cs="Times New Roman"/>
          <w:sz w:val="24"/>
          <w:szCs w:val="24"/>
        </w:rPr>
        <w:t xml:space="preserve">A decree of </w:t>
      </w:r>
      <w:r w:rsidR="008F559A">
        <w:rPr>
          <w:rFonts w:ascii="Times New Roman" w:hAnsi="Times New Roman" w:cs="Times New Roman"/>
          <w:sz w:val="24"/>
          <w:szCs w:val="24"/>
        </w:rPr>
        <w:t>divorce and ancillary relief were</w:t>
      </w:r>
      <w:r w:rsidR="00FA21DE">
        <w:rPr>
          <w:rFonts w:ascii="Times New Roman" w:hAnsi="Times New Roman" w:cs="Times New Roman"/>
          <w:sz w:val="24"/>
          <w:szCs w:val="24"/>
        </w:rPr>
        <w:t xml:space="preserve"> granted by the High Court, but the applicant </w:t>
      </w:r>
      <w:r w:rsidR="00AA7FE8">
        <w:rPr>
          <w:rFonts w:ascii="Times New Roman" w:hAnsi="Times New Roman" w:cs="Times New Roman"/>
          <w:sz w:val="24"/>
          <w:szCs w:val="24"/>
        </w:rPr>
        <w:t xml:space="preserve">and Mr Coumbis </w:t>
      </w:r>
      <w:r w:rsidR="00FA21DE">
        <w:rPr>
          <w:rFonts w:ascii="Times New Roman" w:hAnsi="Times New Roman" w:cs="Times New Roman"/>
          <w:sz w:val="24"/>
          <w:szCs w:val="24"/>
        </w:rPr>
        <w:t xml:space="preserve">appealed </w:t>
      </w:r>
      <w:r w:rsidR="00AA7FE8">
        <w:rPr>
          <w:rFonts w:ascii="Times New Roman" w:hAnsi="Times New Roman" w:cs="Times New Roman"/>
          <w:sz w:val="24"/>
          <w:szCs w:val="24"/>
        </w:rPr>
        <w:t xml:space="preserve">and cross-appealed, respectively, </w:t>
      </w:r>
      <w:r w:rsidR="00FA21DE">
        <w:rPr>
          <w:rFonts w:ascii="Times New Roman" w:hAnsi="Times New Roman" w:cs="Times New Roman"/>
          <w:sz w:val="24"/>
          <w:szCs w:val="24"/>
        </w:rPr>
        <w:t>to the Supreme Court</w:t>
      </w:r>
      <w:r w:rsidR="00AA7FE8">
        <w:rPr>
          <w:rFonts w:ascii="Times New Roman" w:hAnsi="Times New Roman" w:cs="Times New Roman"/>
          <w:sz w:val="24"/>
          <w:szCs w:val="24"/>
        </w:rPr>
        <w:t>.</w:t>
      </w:r>
      <w:r w:rsidR="00FA21DE">
        <w:rPr>
          <w:rFonts w:ascii="Times New Roman" w:hAnsi="Times New Roman" w:cs="Times New Roman"/>
          <w:sz w:val="24"/>
          <w:szCs w:val="24"/>
        </w:rPr>
        <w:t xml:space="preserve"> </w:t>
      </w:r>
      <w:r w:rsidR="00967289">
        <w:rPr>
          <w:rFonts w:ascii="Times New Roman" w:hAnsi="Times New Roman" w:cs="Times New Roman"/>
          <w:sz w:val="24"/>
          <w:szCs w:val="24"/>
        </w:rPr>
        <w:t>A</w:t>
      </w:r>
      <w:r w:rsidR="00BD0665">
        <w:rPr>
          <w:rFonts w:ascii="Times New Roman" w:hAnsi="Times New Roman" w:cs="Times New Roman"/>
          <w:sz w:val="24"/>
          <w:szCs w:val="24"/>
        </w:rPr>
        <w:t xml:space="preserve"> </w:t>
      </w:r>
      <w:r>
        <w:rPr>
          <w:rFonts w:ascii="Times New Roman" w:hAnsi="Times New Roman" w:cs="Times New Roman"/>
          <w:sz w:val="24"/>
          <w:szCs w:val="24"/>
        </w:rPr>
        <w:t>judgment granted by the Sup</w:t>
      </w:r>
      <w:r w:rsidR="00BD0665">
        <w:rPr>
          <w:rFonts w:ascii="Times New Roman" w:hAnsi="Times New Roman" w:cs="Times New Roman"/>
          <w:sz w:val="24"/>
          <w:szCs w:val="24"/>
        </w:rPr>
        <w:t xml:space="preserve">reme Court as SC 130-21 </w:t>
      </w:r>
      <w:r w:rsidR="00D87ADC">
        <w:rPr>
          <w:rFonts w:ascii="Times New Roman" w:hAnsi="Times New Roman" w:cs="Times New Roman"/>
          <w:sz w:val="24"/>
          <w:szCs w:val="24"/>
        </w:rPr>
        <w:t>awarded</w:t>
      </w:r>
      <w:r w:rsidR="007223D1">
        <w:rPr>
          <w:rFonts w:ascii="Times New Roman" w:hAnsi="Times New Roman" w:cs="Times New Roman"/>
          <w:sz w:val="24"/>
          <w:szCs w:val="24"/>
        </w:rPr>
        <w:t xml:space="preserve"> the applicant</w:t>
      </w:r>
      <w:r w:rsidR="00D87ADC">
        <w:rPr>
          <w:rFonts w:ascii="Times New Roman" w:hAnsi="Times New Roman" w:cs="Times New Roman"/>
          <w:sz w:val="24"/>
          <w:szCs w:val="24"/>
        </w:rPr>
        <w:t xml:space="preserve"> 80% shareholding in the </w:t>
      </w:r>
      <w:r w:rsidR="003C3C9E">
        <w:rPr>
          <w:rFonts w:ascii="Times New Roman" w:hAnsi="Times New Roman" w:cs="Times New Roman"/>
          <w:sz w:val="24"/>
          <w:szCs w:val="24"/>
        </w:rPr>
        <w:t>first</w:t>
      </w:r>
      <w:r w:rsidR="00D87ADC">
        <w:rPr>
          <w:rFonts w:ascii="Times New Roman" w:hAnsi="Times New Roman" w:cs="Times New Roman"/>
          <w:sz w:val="24"/>
          <w:szCs w:val="24"/>
        </w:rPr>
        <w:t xml:space="preserve"> respondent.</w:t>
      </w:r>
      <w:r w:rsidR="003C6183">
        <w:rPr>
          <w:rFonts w:ascii="Times New Roman" w:hAnsi="Times New Roman" w:cs="Times New Roman"/>
          <w:sz w:val="24"/>
          <w:szCs w:val="24"/>
        </w:rPr>
        <w:t xml:space="preserve"> Mr Coumbis was not cited as a pa</w:t>
      </w:r>
      <w:r w:rsidR="00F00711">
        <w:rPr>
          <w:rFonts w:ascii="Times New Roman" w:hAnsi="Times New Roman" w:cs="Times New Roman"/>
          <w:sz w:val="24"/>
          <w:szCs w:val="24"/>
        </w:rPr>
        <w:t>rty to the</w:t>
      </w:r>
      <w:r w:rsidR="007223D1">
        <w:rPr>
          <w:rFonts w:ascii="Times New Roman" w:hAnsi="Times New Roman" w:cs="Times New Roman"/>
          <w:sz w:val="24"/>
          <w:szCs w:val="24"/>
        </w:rPr>
        <w:t xml:space="preserve"> present proceedings</w:t>
      </w:r>
      <w:r w:rsidR="003C6183">
        <w:rPr>
          <w:rFonts w:ascii="Times New Roman" w:hAnsi="Times New Roman" w:cs="Times New Roman"/>
          <w:sz w:val="24"/>
          <w:szCs w:val="24"/>
        </w:rPr>
        <w:t>.</w:t>
      </w:r>
    </w:p>
    <w:p w:rsidR="00887D87" w:rsidRDefault="008A63F4" w:rsidP="009672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while the parties awaited the Supreme Court judgment, </w:t>
      </w:r>
      <w:r w:rsidR="003C3C9E">
        <w:rPr>
          <w:rFonts w:ascii="Times New Roman" w:hAnsi="Times New Roman" w:cs="Times New Roman"/>
          <w:sz w:val="24"/>
          <w:szCs w:val="24"/>
        </w:rPr>
        <w:t>the first</w:t>
      </w:r>
      <w:r w:rsidR="002B627E">
        <w:rPr>
          <w:rFonts w:ascii="Times New Roman" w:hAnsi="Times New Roman" w:cs="Times New Roman"/>
          <w:sz w:val="24"/>
          <w:szCs w:val="24"/>
        </w:rPr>
        <w:t xml:space="preserve"> respondent’s board of directors</w:t>
      </w:r>
      <w:r w:rsidR="001A00D2">
        <w:rPr>
          <w:rFonts w:ascii="Times New Roman" w:hAnsi="Times New Roman" w:cs="Times New Roman"/>
          <w:sz w:val="24"/>
          <w:szCs w:val="24"/>
        </w:rPr>
        <w:t>, by resolution dated 11 December 2020,</w:t>
      </w:r>
      <w:r w:rsidR="002B627E">
        <w:rPr>
          <w:rFonts w:ascii="Times New Roman" w:hAnsi="Times New Roman" w:cs="Times New Roman"/>
          <w:sz w:val="24"/>
          <w:szCs w:val="24"/>
        </w:rPr>
        <w:t xml:space="preserve"> sold</w:t>
      </w:r>
      <w:r w:rsidR="005904C2">
        <w:rPr>
          <w:rFonts w:ascii="Times New Roman" w:hAnsi="Times New Roman" w:cs="Times New Roman"/>
          <w:sz w:val="24"/>
          <w:szCs w:val="24"/>
        </w:rPr>
        <w:t xml:space="preserve"> Stand 9064</w:t>
      </w:r>
      <w:r w:rsidR="00374A27">
        <w:rPr>
          <w:rFonts w:ascii="Times New Roman" w:hAnsi="Times New Roman" w:cs="Times New Roman"/>
          <w:sz w:val="24"/>
          <w:szCs w:val="24"/>
        </w:rPr>
        <w:t xml:space="preserve"> Salisbury Towhship</w:t>
      </w:r>
      <w:r w:rsidR="003C3C9E">
        <w:rPr>
          <w:rFonts w:ascii="Times New Roman" w:hAnsi="Times New Roman" w:cs="Times New Roman"/>
          <w:sz w:val="24"/>
          <w:szCs w:val="24"/>
        </w:rPr>
        <w:t xml:space="preserve">, to the second </w:t>
      </w:r>
      <w:r w:rsidR="005904C2">
        <w:rPr>
          <w:rFonts w:ascii="Times New Roman" w:hAnsi="Times New Roman" w:cs="Times New Roman"/>
          <w:sz w:val="24"/>
          <w:szCs w:val="24"/>
        </w:rPr>
        <w:t>respondent.</w:t>
      </w:r>
      <w:r w:rsidR="001A00D2">
        <w:rPr>
          <w:rFonts w:ascii="Times New Roman" w:hAnsi="Times New Roman" w:cs="Times New Roman"/>
          <w:sz w:val="24"/>
          <w:szCs w:val="24"/>
        </w:rPr>
        <w:t xml:space="preserve"> The said property was</w:t>
      </w:r>
      <w:r w:rsidR="003C3C9E">
        <w:rPr>
          <w:rFonts w:ascii="Times New Roman" w:hAnsi="Times New Roman" w:cs="Times New Roman"/>
          <w:sz w:val="24"/>
          <w:szCs w:val="24"/>
        </w:rPr>
        <w:t xml:space="preserve"> registered in the name of the first</w:t>
      </w:r>
      <w:r w:rsidR="001A00D2">
        <w:rPr>
          <w:rFonts w:ascii="Times New Roman" w:hAnsi="Times New Roman" w:cs="Times New Roman"/>
          <w:sz w:val="24"/>
          <w:szCs w:val="24"/>
        </w:rPr>
        <w:t xml:space="preserve"> respondent.</w:t>
      </w:r>
      <w:r w:rsidR="00693175">
        <w:rPr>
          <w:rFonts w:ascii="Times New Roman" w:hAnsi="Times New Roman" w:cs="Times New Roman"/>
          <w:sz w:val="24"/>
          <w:szCs w:val="24"/>
        </w:rPr>
        <w:t xml:space="preserve"> It is the applicant’s</w:t>
      </w:r>
      <w:r w:rsidR="00C24F0D">
        <w:rPr>
          <w:rFonts w:ascii="Times New Roman" w:hAnsi="Times New Roman" w:cs="Times New Roman"/>
          <w:sz w:val="24"/>
          <w:szCs w:val="24"/>
        </w:rPr>
        <w:t xml:space="preserve"> case</w:t>
      </w:r>
      <w:r w:rsidR="00944929">
        <w:rPr>
          <w:rFonts w:ascii="Times New Roman" w:hAnsi="Times New Roman" w:cs="Times New Roman"/>
          <w:sz w:val="24"/>
          <w:szCs w:val="24"/>
        </w:rPr>
        <w:t xml:space="preserve"> that </w:t>
      </w:r>
      <w:r w:rsidR="00C24F0D">
        <w:rPr>
          <w:rFonts w:ascii="Times New Roman" w:hAnsi="Times New Roman" w:cs="Times New Roman"/>
          <w:sz w:val="24"/>
          <w:szCs w:val="24"/>
        </w:rPr>
        <w:t xml:space="preserve">she </w:t>
      </w:r>
      <w:r w:rsidR="00C24F0D" w:rsidRPr="00BD1241">
        <w:rPr>
          <w:rFonts w:ascii="Times New Roman" w:hAnsi="Times New Roman" w:cs="Times New Roman"/>
          <w:i/>
          <w:sz w:val="24"/>
          <w:szCs w:val="24"/>
        </w:rPr>
        <w:t>“has a clear right to the property in question”.</w:t>
      </w:r>
      <w:r w:rsidR="003C3C9E">
        <w:rPr>
          <w:rFonts w:ascii="Times New Roman" w:hAnsi="Times New Roman" w:cs="Times New Roman"/>
          <w:sz w:val="24"/>
          <w:szCs w:val="24"/>
        </w:rPr>
        <w:t xml:space="preserve"> (See para</w:t>
      </w:r>
      <w:r w:rsidR="00BD1241">
        <w:rPr>
          <w:rFonts w:ascii="Times New Roman" w:hAnsi="Times New Roman" w:cs="Times New Roman"/>
          <w:sz w:val="24"/>
          <w:szCs w:val="24"/>
        </w:rPr>
        <w:t xml:space="preserve"> 23 of the applicant’s affidavit, at page 5 of the record).</w:t>
      </w:r>
      <w:r w:rsidR="001D3B09">
        <w:rPr>
          <w:rFonts w:ascii="Times New Roman" w:hAnsi="Times New Roman" w:cs="Times New Roman"/>
          <w:sz w:val="24"/>
          <w:szCs w:val="24"/>
        </w:rPr>
        <w:t xml:space="preserve"> She added that she is the beneficial owner of the </w:t>
      </w:r>
      <w:r w:rsidR="003C3C9E">
        <w:rPr>
          <w:rFonts w:ascii="Times New Roman" w:hAnsi="Times New Roman" w:cs="Times New Roman"/>
          <w:sz w:val="24"/>
          <w:szCs w:val="24"/>
        </w:rPr>
        <w:t>second</w:t>
      </w:r>
      <w:r w:rsidR="001D3B09">
        <w:rPr>
          <w:rFonts w:ascii="Times New Roman" w:hAnsi="Times New Roman" w:cs="Times New Roman"/>
          <w:sz w:val="24"/>
          <w:szCs w:val="24"/>
        </w:rPr>
        <w:t xml:space="preserve"> respondent and, as such, the</w:t>
      </w:r>
      <w:r w:rsidR="003C3C9E">
        <w:rPr>
          <w:rFonts w:ascii="Times New Roman" w:hAnsi="Times New Roman" w:cs="Times New Roman"/>
          <w:sz w:val="24"/>
          <w:szCs w:val="24"/>
        </w:rPr>
        <w:t xml:space="preserve"> first</w:t>
      </w:r>
      <w:r w:rsidR="00B67ADD">
        <w:rPr>
          <w:rFonts w:ascii="Times New Roman" w:hAnsi="Times New Roman" w:cs="Times New Roman"/>
          <w:sz w:val="24"/>
          <w:szCs w:val="24"/>
        </w:rPr>
        <w:t xml:space="preserve"> respondent had no right to dissipate its assets.</w:t>
      </w:r>
      <w:r w:rsidR="00E840B8">
        <w:rPr>
          <w:rFonts w:ascii="Times New Roman" w:hAnsi="Times New Roman" w:cs="Times New Roman"/>
          <w:sz w:val="24"/>
          <w:szCs w:val="24"/>
        </w:rPr>
        <w:t xml:space="preserve"> </w:t>
      </w:r>
      <w:r w:rsidR="00825074">
        <w:rPr>
          <w:rFonts w:ascii="Times New Roman" w:hAnsi="Times New Roman" w:cs="Times New Roman"/>
          <w:sz w:val="24"/>
          <w:szCs w:val="24"/>
        </w:rPr>
        <w:t>The applicant also stated that</w:t>
      </w:r>
      <w:r w:rsidR="003C3C9E">
        <w:rPr>
          <w:rFonts w:ascii="Times New Roman" w:hAnsi="Times New Roman" w:cs="Times New Roman"/>
          <w:sz w:val="24"/>
          <w:szCs w:val="24"/>
        </w:rPr>
        <w:t xml:space="preserve"> the sale of Stand 9064 to the second</w:t>
      </w:r>
      <w:r w:rsidR="00825074">
        <w:rPr>
          <w:rFonts w:ascii="Times New Roman" w:hAnsi="Times New Roman" w:cs="Times New Roman"/>
          <w:sz w:val="24"/>
          <w:szCs w:val="24"/>
        </w:rPr>
        <w:t xml:space="preserve"> respondent was a sham sale. </w:t>
      </w:r>
      <w:r w:rsidR="00F543A5">
        <w:rPr>
          <w:rFonts w:ascii="Times New Roman" w:hAnsi="Times New Roman" w:cs="Times New Roman"/>
          <w:sz w:val="24"/>
          <w:szCs w:val="24"/>
        </w:rPr>
        <w:t>In a nutshell, t</w:t>
      </w:r>
      <w:r w:rsidR="00E840B8">
        <w:rPr>
          <w:rFonts w:ascii="Times New Roman" w:hAnsi="Times New Roman" w:cs="Times New Roman"/>
          <w:sz w:val="24"/>
          <w:szCs w:val="24"/>
        </w:rPr>
        <w:t>hat is the basis upon which she approached t</w:t>
      </w:r>
      <w:r w:rsidR="00F543A5">
        <w:rPr>
          <w:rFonts w:ascii="Times New Roman" w:hAnsi="Times New Roman" w:cs="Times New Roman"/>
          <w:sz w:val="24"/>
          <w:szCs w:val="24"/>
        </w:rPr>
        <w:t xml:space="preserve">his court for the relief that she seeks in </w:t>
      </w:r>
      <w:r w:rsidR="00F543A5" w:rsidRPr="00F543A5">
        <w:rPr>
          <w:rFonts w:ascii="Times New Roman" w:hAnsi="Times New Roman" w:cs="Times New Roman"/>
          <w:i/>
          <w:sz w:val="24"/>
          <w:szCs w:val="24"/>
        </w:rPr>
        <w:t>casu</w:t>
      </w:r>
      <w:r w:rsidR="00F543A5">
        <w:rPr>
          <w:rFonts w:ascii="Times New Roman" w:hAnsi="Times New Roman" w:cs="Times New Roman"/>
          <w:sz w:val="24"/>
          <w:szCs w:val="24"/>
        </w:rPr>
        <w:t>.</w:t>
      </w:r>
    </w:p>
    <w:p w:rsidR="00224DEB" w:rsidRDefault="003C3C9E" w:rsidP="009672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w:t>
      </w:r>
      <w:r w:rsidR="00224DEB">
        <w:rPr>
          <w:rFonts w:ascii="Times New Roman" w:hAnsi="Times New Roman" w:cs="Times New Roman"/>
          <w:sz w:val="24"/>
          <w:szCs w:val="24"/>
        </w:rPr>
        <w:t xml:space="preserve"> res</w:t>
      </w:r>
      <w:r w:rsidR="00A404FE">
        <w:rPr>
          <w:rFonts w:ascii="Times New Roman" w:hAnsi="Times New Roman" w:cs="Times New Roman"/>
          <w:sz w:val="24"/>
          <w:szCs w:val="24"/>
        </w:rPr>
        <w:t xml:space="preserve">pondent opposed the application, and argued that the applicant still had her 80% shareholding in the </w:t>
      </w:r>
      <w:r>
        <w:rPr>
          <w:rFonts w:ascii="Times New Roman" w:hAnsi="Times New Roman" w:cs="Times New Roman"/>
          <w:sz w:val="24"/>
          <w:szCs w:val="24"/>
        </w:rPr>
        <w:t>first</w:t>
      </w:r>
      <w:r w:rsidR="00A404FE">
        <w:rPr>
          <w:rFonts w:ascii="Times New Roman" w:hAnsi="Times New Roman" w:cs="Times New Roman"/>
          <w:sz w:val="24"/>
          <w:szCs w:val="24"/>
        </w:rPr>
        <w:t xml:space="preserve"> respondent </w:t>
      </w:r>
      <w:r w:rsidR="004C6511">
        <w:rPr>
          <w:rFonts w:ascii="Times New Roman" w:hAnsi="Times New Roman" w:cs="Times New Roman"/>
          <w:sz w:val="24"/>
          <w:szCs w:val="24"/>
        </w:rPr>
        <w:t>irrespective of the sale of Stand 9064.</w:t>
      </w:r>
      <w:r w:rsidR="00A338DA">
        <w:rPr>
          <w:rFonts w:ascii="Times New Roman" w:hAnsi="Times New Roman" w:cs="Times New Roman"/>
          <w:sz w:val="24"/>
          <w:szCs w:val="24"/>
        </w:rPr>
        <w:t xml:space="preserve"> It was contended that </w:t>
      </w:r>
      <w:r w:rsidR="005837DA">
        <w:rPr>
          <w:rFonts w:ascii="Times New Roman" w:hAnsi="Times New Roman" w:cs="Times New Roman"/>
          <w:sz w:val="24"/>
          <w:szCs w:val="24"/>
        </w:rPr>
        <w:t xml:space="preserve">the applicant’s recourse lay against her ex-husband and not the </w:t>
      </w:r>
      <w:r>
        <w:rPr>
          <w:rFonts w:ascii="Times New Roman" w:hAnsi="Times New Roman" w:cs="Times New Roman"/>
          <w:sz w:val="24"/>
          <w:szCs w:val="24"/>
        </w:rPr>
        <w:t>second</w:t>
      </w:r>
      <w:r w:rsidR="005837DA">
        <w:rPr>
          <w:rFonts w:ascii="Times New Roman" w:hAnsi="Times New Roman" w:cs="Times New Roman"/>
          <w:sz w:val="24"/>
          <w:szCs w:val="24"/>
        </w:rPr>
        <w:t xml:space="preserve"> respondent. </w:t>
      </w:r>
      <w:r w:rsidR="000C4CC4">
        <w:rPr>
          <w:rFonts w:ascii="Times New Roman" w:hAnsi="Times New Roman" w:cs="Times New Roman"/>
          <w:sz w:val="24"/>
          <w:szCs w:val="24"/>
        </w:rPr>
        <w:t xml:space="preserve">Additionally, submitted the applicant, the said sale was lawful as it was authorized by the </w:t>
      </w:r>
      <w:r>
        <w:rPr>
          <w:rFonts w:ascii="Times New Roman" w:hAnsi="Times New Roman" w:cs="Times New Roman"/>
          <w:sz w:val="24"/>
          <w:szCs w:val="24"/>
        </w:rPr>
        <w:t>first</w:t>
      </w:r>
      <w:r w:rsidR="000C4CC4">
        <w:rPr>
          <w:rFonts w:ascii="Times New Roman" w:hAnsi="Times New Roman" w:cs="Times New Roman"/>
          <w:sz w:val="24"/>
          <w:szCs w:val="24"/>
        </w:rPr>
        <w:t xml:space="preserve"> respondent’</w:t>
      </w:r>
      <w:r w:rsidR="004B0400">
        <w:rPr>
          <w:rFonts w:ascii="Times New Roman" w:hAnsi="Times New Roman" w:cs="Times New Roman"/>
          <w:sz w:val="24"/>
          <w:szCs w:val="24"/>
        </w:rPr>
        <w:t xml:space="preserve">s board of directors. It was further argued that the </w:t>
      </w:r>
      <w:r>
        <w:rPr>
          <w:rFonts w:ascii="Times New Roman" w:hAnsi="Times New Roman" w:cs="Times New Roman"/>
          <w:sz w:val="24"/>
          <w:szCs w:val="24"/>
        </w:rPr>
        <w:t>second</w:t>
      </w:r>
      <w:r w:rsidR="004B0400">
        <w:rPr>
          <w:rFonts w:ascii="Times New Roman" w:hAnsi="Times New Roman" w:cs="Times New Roman"/>
          <w:sz w:val="24"/>
          <w:szCs w:val="24"/>
        </w:rPr>
        <w:t xml:space="preserve"> respondent was an innocent purchaser who was not aware of the litigation between </w:t>
      </w:r>
      <w:r w:rsidR="006C1121">
        <w:rPr>
          <w:rFonts w:ascii="Times New Roman" w:hAnsi="Times New Roman" w:cs="Times New Roman"/>
          <w:sz w:val="24"/>
          <w:szCs w:val="24"/>
        </w:rPr>
        <w:t>the applicant and her former husband.</w:t>
      </w:r>
      <w:r w:rsidR="001F7D45">
        <w:rPr>
          <w:rFonts w:ascii="Times New Roman" w:hAnsi="Times New Roman" w:cs="Times New Roman"/>
          <w:sz w:val="24"/>
          <w:szCs w:val="24"/>
        </w:rPr>
        <w:t xml:space="preserve"> As such, the </w:t>
      </w:r>
      <w:r>
        <w:rPr>
          <w:rFonts w:ascii="Times New Roman" w:hAnsi="Times New Roman" w:cs="Times New Roman"/>
          <w:sz w:val="24"/>
          <w:szCs w:val="24"/>
        </w:rPr>
        <w:t>second</w:t>
      </w:r>
      <w:r w:rsidR="001F7D45">
        <w:rPr>
          <w:rFonts w:ascii="Times New Roman" w:hAnsi="Times New Roman" w:cs="Times New Roman"/>
          <w:sz w:val="24"/>
          <w:szCs w:val="24"/>
        </w:rPr>
        <w:t xml:space="preserve"> respondent asked for the application to be dismissed with costs on the legal practitioner and client scale.</w:t>
      </w:r>
      <w:r w:rsidR="00AB53BA">
        <w:rPr>
          <w:rFonts w:ascii="Times New Roman" w:hAnsi="Times New Roman" w:cs="Times New Roman"/>
          <w:sz w:val="24"/>
          <w:szCs w:val="24"/>
        </w:rPr>
        <w:t xml:space="preserve"> The </w:t>
      </w:r>
      <w:r>
        <w:rPr>
          <w:rFonts w:ascii="Times New Roman" w:hAnsi="Times New Roman" w:cs="Times New Roman"/>
          <w:sz w:val="24"/>
          <w:szCs w:val="24"/>
        </w:rPr>
        <w:t>second</w:t>
      </w:r>
      <w:r w:rsidR="00C30C5D">
        <w:rPr>
          <w:rFonts w:ascii="Times New Roman" w:hAnsi="Times New Roman" w:cs="Times New Roman"/>
          <w:sz w:val="24"/>
          <w:szCs w:val="24"/>
        </w:rPr>
        <w:t xml:space="preserve"> respondent made the argument </w:t>
      </w:r>
      <w:r w:rsidR="00AB53BA">
        <w:rPr>
          <w:rFonts w:ascii="Times New Roman" w:hAnsi="Times New Roman" w:cs="Times New Roman"/>
          <w:sz w:val="24"/>
          <w:szCs w:val="24"/>
        </w:rPr>
        <w:t>that no cause of action had been properly pleaded.</w:t>
      </w:r>
      <w:r w:rsidR="00C30C5D">
        <w:rPr>
          <w:rFonts w:ascii="Times New Roman" w:hAnsi="Times New Roman" w:cs="Times New Roman"/>
          <w:sz w:val="24"/>
          <w:szCs w:val="24"/>
        </w:rPr>
        <w:t xml:space="preserve"> I prefer to deal with this argument in the context of the merits of the case, because if it is established that no evidence exists to back up a cause of action, then the relief cannot be afforded. </w:t>
      </w:r>
      <w:r w:rsidR="00C27F48">
        <w:rPr>
          <w:rFonts w:ascii="Times New Roman" w:hAnsi="Times New Roman" w:cs="Times New Roman"/>
          <w:sz w:val="24"/>
          <w:szCs w:val="24"/>
        </w:rPr>
        <w:t>From the papers be</w:t>
      </w:r>
      <w:r w:rsidR="003F3701">
        <w:rPr>
          <w:rFonts w:ascii="Times New Roman" w:hAnsi="Times New Roman" w:cs="Times New Roman"/>
          <w:sz w:val="24"/>
          <w:szCs w:val="24"/>
        </w:rPr>
        <w:t>fore me, that appears to be how the</w:t>
      </w:r>
      <w:r w:rsidR="00C27F48">
        <w:rPr>
          <w:rFonts w:ascii="Times New Roman" w:hAnsi="Times New Roman" w:cs="Times New Roman"/>
          <w:sz w:val="24"/>
          <w:szCs w:val="24"/>
        </w:rPr>
        <w:t xml:space="preserve"> treated this issue.</w:t>
      </w:r>
      <w:r w:rsidR="003F3701">
        <w:rPr>
          <w:rFonts w:ascii="Times New Roman" w:hAnsi="Times New Roman" w:cs="Times New Roman"/>
          <w:sz w:val="24"/>
          <w:szCs w:val="24"/>
        </w:rPr>
        <w:t xml:space="preserve"> The </w:t>
      </w:r>
      <w:r w:rsidR="003F3701">
        <w:rPr>
          <w:rFonts w:ascii="Times New Roman" w:hAnsi="Times New Roman" w:cs="Times New Roman"/>
          <w:sz w:val="24"/>
          <w:szCs w:val="24"/>
        </w:rPr>
        <w:lastRenderedPageBreak/>
        <w:t xml:space="preserve">other point raised was that the applicant had no </w:t>
      </w:r>
      <w:r w:rsidR="003F3701" w:rsidRPr="00A42B7B">
        <w:rPr>
          <w:rFonts w:ascii="Times New Roman" w:hAnsi="Times New Roman" w:cs="Times New Roman"/>
          <w:i/>
          <w:sz w:val="24"/>
          <w:szCs w:val="24"/>
        </w:rPr>
        <w:t>locus stand</w:t>
      </w:r>
      <w:r w:rsidR="00A42B7B" w:rsidRPr="00A42B7B">
        <w:rPr>
          <w:rFonts w:ascii="Times New Roman" w:hAnsi="Times New Roman" w:cs="Times New Roman"/>
          <w:i/>
          <w:sz w:val="24"/>
          <w:szCs w:val="24"/>
        </w:rPr>
        <w:t>i</w:t>
      </w:r>
      <w:r w:rsidR="003F3701">
        <w:rPr>
          <w:rFonts w:ascii="Times New Roman" w:hAnsi="Times New Roman" w:cs="Times New Roman"/>
          <w:sz w:val="24"/>
          <w:szCs w:val="24"/>
        </w:rPr>
        <w:t xml:space="preserve"> to </w:t>
      </w:r>
      <w:r w:rsidR="00A42B7B">
        <w:rPr>
          <w:rFonts w:ascii="Times New Roman" w:hAnsi="Times New Roman" w:cs="Times New Roman"/>
          <w:sz w:val="24"/>
          <w:szCs w:val="24"/>
        </w:rPr>
        <w:t xml:space="preserve">litigate on the sale or disposal of the </w:t>
      </w:r>
      <w:r>
        <w:rPr>
          <w:rFonts w:ascii="Times New Roman" w:hAnsi="Times New Roman" w:cs="Times New Roman"/>
          <w:sz w:val="24"/>
          <w:szCs w:val="24"/>
        </w:rPr>
        <w:t>first</w:t>
      </w:r>
      <w:r w:rsidR="00A42B7B">
        <w:rPr>
          <w:rFonts w:ascii="Times New Roman" w:hAnsi="Times New Roman" w:cs="Times New Roman"/>
          <w:sz w:val="24"/>
          <w:szCs w:val="24"/>
        </w:rPr>
        <w:t xml:space="preserve"> respondent’s property.</w:t>
      </w:r>
    </w:p>
    <w:p w:rsidR="00AE5B97" w:rsidRPr="00AE5B97" w:rsidRDefault="00AE5B97" w:rsidP="00EA212A">
      <w:pPr>
        <w:spacing w:after="0" w:line="360" w:lineRule="auto"/>
        <w:jc w:val="both"/>
        <w:rPr>
          <w:rFonts w:ascii="Times New Roman" w:hAnsi="Times New Roman" w:cs="Times New Roman"/>
          <w:b/>
          <w:sz w:val="14"/>
          <w:szCs w:val="14"/>
        </w:rPr>
      </w:pPr>
    </w:p>
    <w:p w:rsidR="00452622" w:rsidRDefault="00452622" w:rsidP="00EA21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Arguments of the respective parties</w:t>
      </w:r>
    </w:p>
    <w:p w:rsidR="00452622" w:rsidRDefault="00452622" w:rsidP="00EA212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D03726">
        <w:rPr>
          <w:rFonts w:ascii="Times New Roman" w:hAnsi="Times New Roman" w:cs="Times New Roman"/>
          <w:sz w:val="24"/>
          <w:szCs w:val="24"/>
        </w:rPr>
        <w:t>It was submitted for the applicant that the application before me was</w:t>
      </w:r>
      <w:r w:rsidR="00535569">
        <w:rPr>
          <w:rFonts w:ascii="Times New Roman" w:hAnsi="Times New Roman" w:cs="Times New Roman"/>
          <w:sz w:val="24"/>
          <w:szCs w:val="24"/>
        </w:rPr>
        <w:t xml:space="preserve"> made in terms of s14 of the High Court Act [</w:t>
      </w:r>
      <w:r w:rsidR="00535569" w:rsidRPr="003C3C9E">
        <w:rPr>
          <w:rFonts w:ascii="Times New Roman" w:hAnsi="Times New Roman" w:cs="Times New Roman"/>
          <w:i/>
          <w:sz w:val="24"/>
          <w:szCs w:val="24"/>
        </w:rPr>
        <w:t>Chapter 7:06</w:t>
      </w:r>
      <w:r w:rsidR="00535569">
        <w:rPr>
          <w:rFonts w:ascii="Times New Roman" w:hAnsi="Times New Roman" w:cs="Times New Roman"/>
          <w:sz w:val="24"/>
          <w:szCs w:val="24"/>
        </w:rPr>
        <w:t>]</w:t>
      </w:r>
      <w:r w:rsidR="006C0757">
        <w:rPr>
          <w:rFonts w:ascii="Times New Roman" w:hAnsi="Times New Roman" w:cs="Times New Roman"/>
          <w:sz w:val="24"/>
          <w:szCs w:val="24"/>
        </w:rPr>
        <w:t xml:space="preserve"> for a declarater, firstly, cancelling the title deed in favour of the </w:t>
      </w:r>
      <w:r w:rsidR="003C3C9E">
        <w:rPr>
          <w:rFonts w:ascii="Times New Roman" w:hAnsi="Times New Roman" w:cs="Times New Roman"/>
          <w:sz w:val="24"/>
          <w:szCs w:val="24"/>
        </w:rPr>
        <w:t>second</w:t>
      </w:r>
      <w:r w:rsidR="006C0757">
        <w:rPr>
          <w:rFonts w:ascii="Times New Roman" w:hAnsi="Times New Roman" w:cs="Times New Roman"/>
          <w:sz w:val="24"/>
          <w:szCs w:val="24"/>
        </w:rPr>
        <w:t xml:space="preserve"> respondent and, secondly, reviving the deed of transfer in favour of the </w:t>
      </w:r>
      <w:r w:rsidR="003C3C9E">
        <w:rPr>
          <w:rFonts w:ascii="Times New Roman" w:hAnsi="Times New Roman" w:cs="Times New Roman"/>
          <w:sz w:val="24"/>
          <w:szCs w:val="24"/>
        </w:rPr>
        <w:t>first</w:t>
      </w:r>
      <w:r w:rsidR="006C0757">
        <w:rPr>
          <w:rFonts w:ascii="Times New Roman" w:hAnsi="Times New Roman" w:cs="Times New Roman"/>
          <w:sz w:val="24"/>
          <w:szCs w:val="24"/>
        </w:rPr>
        <w:t xml:space="preserve"> respondent.</w:t>
      </w:r>
      <w:r w:rsidR="00A53AA7" w:rsidRPr="00824D57">
        <w:rPr>
          <w:rFonts w:ascii="Times New Roman" w:hAnsi="Times New Roman" w:cs="Times New Roman"/>
          <w:i/>
          <w:sz w:val="24"/>
          <w:szCs w:val="24"/>
        </w:rPr>
        <w:t xml:space="preserve"> </w:t>
      </w:r>
      <w:r w:rsidR="00824D57" w:rsidRPr="00824D57">
        <w:rPr>
          <w:rFonts w:ascii="Times New Roman" w:hAnsi="Times New Roman" w:cs="Times New Roman"/>
          <w:i/>
          <w:sz w:val="24"/>
          <w:szCs w:val="24"/>
        </w:rPr>
        <w:t>Adv Ndlovu</w:t>
      </w:r>
      <w:r w:rsidR="00824D57">
        <w:rPr>
          <w:rFonts w:ascii="Times New Roman" w:hAnsi="Times New Roman" w:cs="Times New Roman"/>
          <w:sz w:val="24"/>
          <w:szCs w:val="24"/>
        </w:rPr>
        <w:t xml:space="preserve"> for the </w:t>
      </w:r>
      <w:r w:rsidR="00A53AA7">
        <w:rPr>
          <w:rFonts w:ascii="Times New Roman" w:hAnsi="Times New Roman" w:cs="Times New Roman"/>
          <w:sz w:val="24"/>
          <w:szCs w:val="24"/>
        </w:rPr>
        <w:t>applicant</w:t>
      </w:r>
      <w:r w:rsidR="00824D57">
        <w:rPr>
          <w:rFonts w:ascii="Times New Roman" w:hAnsi="Times New Roman" w:cs="Times New Roman"/>
          <w:sz w:val="24"/>
          <w:szCs w:val="24"/>
        </w:rPr>
        <w:t>,</w:t>
      </w:r>
      <w:r w:rsidR="00A53AA7">
        <w:rPr>
          <w:rFonts w:ascii="Times New Roman" w:hAnsi="Times New Roman" w:cs="Times New Roman"/>
          <w:sz w:val="24"/>
          <w:szCs w:val="24"/>
        </w:rPr>
        <w:t xml:space="preserve"> contended that the Supreme Court judgment (awarding 80% shares in the </w:t>
      </w:r>
      <w:r w:rsidR="003C3C9E">
        <w:rPr>
          <w:rFonts w:ascii="Times New Roman" w:hAnsi="Times New Roman" w:cs="Times New Roman"/>
          <w:sz w:val="24"/>
          <w:szCs w:val="24"/>
        </w:rPr>
        <w:t>first</w:t>
      </w:r>
      <w:r w:rsidR="00A53AA7">
        <w:rPr>
          <w:rFonts w:ascii="Times New Roman" w:hAnsi="Times New Roman" w:cs="Times New Roman"/>
          <w:sz w:val="24"/>
          <w:szCs w:val="24"/>
        </w:rPr>
        <w:t xml:space="preserve"> respondent) was extant </w:t>
      </w:r>
      <w:r w:rsidR="009469F6">
        <w:rPr>
          <w:rFonts w:ascii="Times New Roman" w:hAnsi="Times New Roman" w:cs="Times New Roman"/>
          <w:sz w:val="24"/>
          <w:szCs w:val="24"/>
        </w:rPr>
        <w:t>and canno</w:t>
      </w:r>
      <w:r w:rsidR="00DB70EF">
        <w:rPr>
          <w:rFonts w:ascii="Times New Roman" w:hAnsi="Times New Roman" w:cs="Times New Roman"/>
          <w:sz w:val="24"/>
          <w:szCs w:val="24"/>
        </w:rPr>
        <w:t xml:space="preserve">t be vacated </w:t>
      </w:r>
      <w:r w:rsidR="00622174">
        <w:rPr>
          <w:rFonts w:ascii="Times New Roman" w:hAnsi="Times New Roman" w:cs="Times New Roman"/>
          <w:sz w:val="24"/>
          <w:szCs w:val="24"/>
        </w:rPr>
        <w:t xml:space="preserve">except in terms of s167 of the Constitution. Reliance was placed on </w:t>
      </w:r>
      <w:r w:rsidR="00622174" w:rsidRPr="00C8169B">
        <w:rPr>
          <w:rFonts w:ascii="Times New Roman" w:hAnsi="Times New Roman" w:cs="Times New Roman"/>
          <w:i/>
          <w:sz w:val="24"/>
          <w:szCs w:val="24"/>
        </w:rPr>
        <w:t>Mauritius and Anor v Verspak</w:t>
      </w:r>
      <w:r w:rsidR="006E76BD">
        <w:rPr>
          <w:rFonts w:ascii="Times New Roman" w:hAnsi="Times New Roman" w:cs="Times New Roman"/>
          <w:i/>
          <w:sz w:val="24"/>
          <w:szCs w:val="24"/>
        </w:rPr>
        <w:t xml:space="preserve"> Holdings (Pvt) Ltd</w:t>
      </w:r>
      <w:r w:rsidR="00622174" w:rsidRPr="00C8169B">
        <w:rPr>
          <w:rFonts w:ascii="Times New Roman" w:hAnsi="Times New Roman" w:cs="Times New Roman"/>
          <w:i/>
          <w:sz w:val="24"/>
          <w:szCs w:val="24"/>
        </w:rPr>
        <w:t xml:space="preserve"> and Anor</w:t>
      </w:r>
      <w:r w:rsidR="00622174">
        <w:rPr>
          <w:rFonts w:ascii="Times New Roman" w:hAnsi="Times New Roman" w:cs="Times New Roman"/>
          <w:sz w:val="24"/>
          <w:szCs w:val="24"/>
        </w:rPr>
        <w:t xml:space="preserve"> </w:t>
      </w:r>
      <w:r w:rsidR="00C8169B">
        <w:rPr>
          <w:rFonts w:ascii="Times New Roman" w:hAnsi="Times New Roman" w:cs="Times New Roman"/>
          <w:sz w:val="24"/>
          <w:szCs w:val="24"/>
        </w:rPr>
        <w:t xml:space="preserve">SC 2-22 and </w:t>
      </w:r>
      <w:r w:rsidR="00C8169B" w:rsidRPr="003D7529">
        <w:rPr>
          <w:rFonts w:ascii="Times New Roman" w:hAnsi="Times New Roman" w:cs="Times New Roman"/>
          <w:i/>
          <w:sz w:val="24"/>
          <w:szCs w:val="24"/>
        </w:rPr>
        <w:t>Magauzi and Anor v Jekera</w:t>
      </w:r>
      <w:r w:rsidR="00C8169B" w:rsidRPr="003D7529">
        <w:rPr>
          <w:rFonts w:ascii="Times New Roman" w:hAnsi="Times New Roman" w:cs="Times New Roman"/>
          <w:sz w:val="24"/>
          <w:szCs w:val="24"/>
        </w:rPr>
        <w:t xml:space="preserve"> SC 54-22.</w:t>
      </w:r>
      <w:r w:rsidR="00C76F05" w:rsidRPr="003D7529">
        <w:rPr>
          <w:rFonts w:ascii="Times New Roman" w:hAnsi="Times New Roman" w:cs="Times New Roman"/>
          <w:sz w:val="24"/>
          <w:szCs w:val="24"/>
        </w:rPr>
        <w:t xml:space="preserve"> The first cited case dealt with </w:t>
      </w:r>
      <w:r w:rsidR="00C76F05" w:rsidRPr="003D7529">
        <w:rPr>
          <w:rFonts w:ascii="Times New Roman" w:hAnsi="Times New Roman" w:cs="Times New Roman"/>
          <w:i/>
          <w:sz w:val="24"/>
          <w:szCs w:val="24"/>
        </w:rPr>
        <w:t>locus standi</w:t>
      </w:r>
      <w:r w:rsidR="00C76F05" w:rsidRPr="003D7529">
        <w:rPr>
          <w:rFonts w:ascii="Times New Roman" w:hAnsi="Times New Roman" w:cs="Times New Roman"/>
          <w:sz w:val="24"/>
          <w:szCs w:val="24"/>
        </w:rPr>
        <w:t xml:space="preserve">, but was cited by the applicant’s Counsel to underpin the point that </w:t>
      </w:r>
      <w:r w:rsidR="003D7529" w:rsidRPr="003D7529">
        <w:rPr>
          <w:rFonts w:ascii="Times New Roman" w:hAnsi="Times New Roman" w:cs="Times New Roman"/>
          <w:sz w:val="24"/>
          <w:szCs w:val="24"/>
          <w:shd w:val="clear" w:color="auto" w:fill="FFFFFF"/>
        </w:rPr>
        <w:t>every person against or in respect of whom an order is made by a court of competent jurisdiction is obliged to obey it unless and until that order is discharged.</w:t>
      </w:r>
      <w:r w:rsidR="00F726C4">
        <w:rPr>
          <w:rFonts w:ascii="Times New Roman" w:hAnsi="Times New Roman" w:cs="Times New Roman"/>
          <w:sz w:val="24"/>
          <w:szCs w:val="24"/>
          <w:shd w:val="clear" w:color="auto" w:fill="FFFFFF"/>
        </w:rPr>
        <w:t xml:space="preserve"> I will examine later the relevance of this argument.</w:t>
      </w:r>
    </w:p>
    <w:p w:rsidR="00662E7F" w:rsidRDefault="00662E7F" w:rsidP="00EA21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w:t>
      </w:r>
      <w:r w:rsidR="003C3C9E">
        <w:rPr>
          <w:rFonts w:ascii="Times New Roman" w:hAnsi="Times New Roman" w:cs="Times New Roman"/>
          <w:sz w:val="24"/>
          <w:szCs w:val="24"/>
        </w:rPr>
        <w:t>second</w:t>
      </w:r>
      <w:r>
        <w:rPr>
          <w:rFonts w:ascii="Times New Roman" w:hAnsi="Times New Roman" w:cs="Times New Roman"/>
          <w:sz w:val="24"/>
          <w:szCs w:val="24"/>
        </w:rPr>
        <w:t xml:space="preserve"> respondent, it was argued that the Supreme Court order </w:t>
      </w:r>
      <w:r w:rsidR="0040314A">
        <w:rPr>
          <w:rFonts w:ascii="Times New Roman" w:hAnsi="Times New Roman" w:cs="Times New Roman"/>
          <w:sz w:val="24"/>
          <w:szCs w:val="24"/>
        </w:rPr>
        <w:t xml:space="preserve">awarding the applicant an 80% shareholding in the </w:t>
      </w:r>
      <w:r w:rsidR="003C3C9E">
        <w:rPr>
          <w:rFonts w:ascii="Times New Roman" w:hAnsi="Times New Roman" w:cs="Times New Roman"/>
          <w:sz w:val="24"/>
          <w:szCs w:val="24"/>
        </w:rPr>
        <w:t>first</w:t>
      </w:r>
      <w:r w:rsidR="0040314A">
        <w:rPr>
          <w:rFonts w:ascii="Times New Roman" w:hAnsi="Times New Roman" w:cs="Times New Roman"/>
          <w:sz w:val="24"/>
          <w:szCs w:val="24"/>
        </w:rPr>
        <w:t xml:space="preserve"> respondent did not award her the property, Stand </w:t>
      </w:r>
      <w:r w:rsidR="007D64C0">
        <w:rPr>
          <w:rFonts w:ascii="Times New Roman" w:hAnsi="Times New Roman" w:cs="Times New Roman"/>
          <w:sz w:val="24"/>
          <w:szCs w:val="24"/>
        </w:rPr>
        <w:t>9064.</w:t>
      </w:r>
      <w:r w:rsidR="00751962">
        <w:rPr>
          <w:rFonts w:ascii="Times New Roman" w:hAnsi="Times New Roman" w:cs="Times New Roman"/>
          <w:sz w:val="24"/>
          <w:szCs w:val="24"/>
        </w:rPr>
        <w:t xml:space="preserve"> </w:t>
      </w:r>
      <w:r w:rsidR="00751962" w:rsidRPr="00771E25">
        <w:rPr>
          <w:rFonts w:ascii="Times New Roman" w:hAnsi="Times New Roman" w:cs="Times New Roman"/>
          <w:i/>
          <w:sz w:val="24"/>
          <w:szCs w:val="24"/>
        </w:rPr>
        <w:t xml:space="preserve">Adv Nyamakura’s </w:t>
      </w:r>
      <w:r w:rsidR="00751962">
        <w:rPr>
          <w:rFonts w:ascii="Times New Roman" w:hAnsi="Times New Roman" w:cs="Times New Roman"/>
          <w:sz w:val="24"/>
          <w:szCs w:val="24"/>
        </w:rPr>
        <w:t>contention, in this regard</w:t>
      </w:r>
      <w:r w:rsidR="006D6858">
        <w:rPr>
          <w:rFonts w:ascii="Times New Roman" w:hAnsi="Times New Roman" w:cs="Times New Roman"/>
          <w:sz w:val="24"/>
          <w:szCs w:val="24"/>
        </w:rPr>
        <w:t>,</w:t>
      </w:r>
      <w:r w:rsidR="00751962">
        <w:rPr>
          <w:rFonts w:ascii="Times New Roman" w:hAnsi="Times New Roman" w:cs="Times New Roman"/>
          <w:sz w:val="24"/>
          <w:szCs w:val="24"/>
        </w:rPr>
        <w:t xml:space="preserve"> was that</w:t>
      </w:r>
      <w:r w:rsidR="006D6858">
        <w:rPr>
          <w:rFonts w:ascii="Times New Roman" w:hAnsi="Times New Roman" w:cs="Times New Roman"/>
          <w:sz w:val="24"/>
          <w:szCs w:val="24"/>
        </w:rPr>
        <w:t xml:space="preserve"> the scope of an order is found within the four corners of that order</w:t>
      </w:r>
      <w:r w:rsidR="00771E25">
        <w:rPr>
          <w:rFonts w:ascii="Times New Roman" w:hAnsi="Times New Roman" w:cs="Times New Roman"/>
          <w:sz w:val="24"/>
          <w:szCs w:val="24"/>
        </w:rPr>
        <w:t>.</w:t>
      </w:r>
      <w:r w:rsidR="00F35DEA">
        <w:rPr>
          <w:rFonts w:ascii="Times New Roman" w:hAnsi="Times New Roman" w:cs="Times New Roman"/>
          <w:sz w:val="24"/>
          <w:szCs w:val="24"/>
        </w:rPr>
        <w:t xml:space="preserve"> </w:t>
      </w:r>
      <w:r w:rsidR="00283E33">
        <w:rPr>
          <w:rFonts w:ascii="Times New Roman" w:hAnsi="Times New Roman" w:cs="Times New Roman"/>
          <w:sz w:val="24"/>
          <w:szCs w:val="24"/>
        </w:rPr>
        <w:t>Two points were made in this respect. Firstly, a shareholder does not have rights</w:t>
      </w:r>
      <w:r w:rsidR="006E50E2">
        <w:rPr>
          <w:rFonts w:ascii="Times New Roman" w:hAnsi="Times New Roman" w:cs="Times New Roman"/>
          <w:sz w:val="24"/>
          <w:szCs w:val="24"/>
        </w:rPr>
        <w:t xml:space="preserve"> to property owned by a company, and the </w:t>
      </w:r>
      <w:r w:rsidR="00406AE9">
        <w:rPr>
          <w:rFonts w:ascii="Times New Roman" w:hAnsi="Times New Roman" w:cs="Times New Roman"/>
          <w:sz w:val="24"/>
          <w:szCs w:val="24"/>
        </w:rPr>
        <w:t>English</w:t>
      </w:r>
      <w:r w:rsidR="00E876E8">
        <w:rPr>
          <w:rFonts w:ascii="Times New Roman" w:hAnsi="Times New Roman" w:cs="Times New Roman"/>
          <w:sz w:val="24"/>
          <w:szCs w:val="24"/>
        </w:rPr>
        <w:t xml:space="preserve"> Chancery Division</w:t>
      </w:r>
      <w:r w:rsidR="00406AE9">
        <w:rPr>
          <w:rFonts w:ascii="Times New Roman" w:hAnsi="Times New Roman" w:cs="Times New Roman"/>
          <w:sz w:val="24"/>
          <w:szCs w:val="24"/>
        </w:rPr>
        <w:t xml:space="preserve"> </w:t>
      </w:r>
      <w:r w:rsidR="006E50E2">
        <w:rPr>
          <w:rFonts w:ascii="Times New Roman" w:hAnsi="Times New Roman" w:cs="Times New Roman"/>
          <w:sz w:val="24"/>
          <w:szCs w:val="24"/>
        </w:rPr>
        <w:t>case of</w:t>
      </w:r>
      <w:r w:rsidR="006E50E2" w:rsidRPr="00406AE9">
        <w:rPr>
          <w:rFonts w:ascii="Times New Roman" w:hAnsi="Times New Roman" w:cs="Times New Roman"/>
          <w:i/>
          <w:sz w:val="24"/>
          <w:szCs w:val="24"/>
        </w:rPr>
        <w:t xml:space="preserve"> </w:t>
      </w:r>
      <w:r w:rsidR="00927276" w:rsidRPr="00406AE9">
        <w:rPr>
          <w:rFonts w:ascii="Times New Roman" w:hAnsi="Times New Roman" w:cs="Times New Roman"/>
          <w:i/>
          <w:sz w:val="24"/>
          <w:szCs w:val="24"/>
        </w:rPr>
        <w:t>Bo</w:t>
      </w:r>
      <w:r w:rsidR="008A4F25">
        <w:rPr>
          <w:rFonts w:ascii="Times New Roman" w:hAnsi="Times New Roman" w:cs="Times New Roman"/>
          <w:i/>
          <w:sz w:val="24"/>
          <w:szCs w:val="24"/>
        </w:rPr>
        <w:t>r</w:t>
      </w:r>
      <w:r w:rsidR="00927276" w:rsidRPr="00406AE9">
        <w:rPr>
          <w:rFonts w:ascii="Times New Roman" w:hAnsi="Times New Roman" w:cs="Times New Roman"/>
          <w:i/>
          <w:sz w:val="24"/>
          <w:szCs w:val="24"/>
        </w:rPr>
        <w:t>land’s Trustees v Steel Bros &amp; Co (Pvt) Ltd</w:t>
      </w:r>
      <w:r w:rsidR="00927276">
        <w:rPr>
          <w:rFonts w:ascii="Times New Roman" w:hAnsi="Times New Roman" w:cs="Times New Roman"/>
          <w:sz w:val="24"/>
          <w:szCs w:val="24"/>
        </w:rPr>
        <w:t xml:space="preserve"> [1901] 1 </w:t>
      </w:r>
      <w:r w:rsidR="00AA6BD4">
        <w:rPr>
          <w:rFonts w:ascii="Times New Roman" w:hAnsi="Times New Roman" w:cs="Times New Roman"/>
          <w:sz w:val="24"/>
          <w:szCs w:val="24"/>
        </w:rPr>
        <w:t>Ch</w:t>
      </w:r>
      <w:r w:rsidR="00406AE9">
        <w:rPr>
          <w:rFonts w:ascii="Times New Roman" w:hAnsi="Times New Roman" w:cs="Times New Roman"/>
          <w:sz w:val="24"/>
          <w:szCs w:val="24"/>
        </w:rPr>
        <w:t xml:space="preserve"> 279 was cited in support.</w:t>
      </w:r>
      <w:r w:rsidR="00236B42">
        <w:rPr>
          <w:rFonts w:ascii="Times New Roman" w:hAnsi="Times New Roman" w:cs="Times New Roman"/>
          <w:sz w:val="24"/>
          <w:szCs w:val="24"/>
        </w:rPr>
        <w:t xml:space="preserve"> The </w:t>
      </w:r>
      <w:r w:rsidR="003C3C9E">
        <w:rPr>
          <w:rFonts w:ascii="Times New Roman" w:hAnsi="Times New Roman" w:cs="Times New Roman"/>
          <w:sz w:val="24"/>
          <w:szCs w:val="24"/>
        </w:rPr>
        <w:t>second</w:t>
      </w:r>
      <w:r w:rsidR="00236B42">
        <w:rPr>
          <w:rFonts w:ascii="Times New Roman" w:hAnsi="Times New Roman" w:cs="Times New Roman"/>
          <w:sz w:val="24"/>
          <w:szCs w:val="24"/>
        </w:rPr>
        <w:t xml:space="preserve"> respondent argued that</w:t>
      </w:r>
      <w:r w:rsidR="002B25BC">
        <w:rPr>
          <w:rFonts w:ascii="Times New Roman" w:hAnsi="Times New Roman" w:cs="Times New Roman"/>
          <w:sz w:val="24"/>
          <w:szCs w:val="24"/>
        </w:rPr>
        <w:t xml:space="preserve"> a share in a company as an interest </w:t>
      </w:r>
      <w:r w:rsidR="0022214A">
        <w:rPr>
          <w:rFonts w:ascii="Times New Roman" w:hAnsi="Times New Roman" w:cs="Times New Roman"/>
          <w:sz w:val="24"/>
          <w:szCs w:val="24"/>
        </w:rPr>
        <w:t xml:space="preserve">measured by a sum of money. </w:t>
      </w:r>
      <w:r w:rsidR="00F53E90">
        <w:rPr>
          <w:rFonts w:ascii="Times New Roman" w:hAnsi="Times New Roman" w:cs="Times New Roman"/>
          <w:sz w:val="24"/>
          <w:szCs w:val="24"/>
        </w:rPr>
        <w:t>The second point was made in r</w:t>
      </w:r>
      <w:r w:rsidR="00406AE9">
        <w:rPr>
          <w:rFonts w:ascii="Times New Roman" w:hAnsi="Times New Roman" w:cs="Times New Roman"/>
          <w:sz w:val="24"/>
          <w:szCs w:val="24"/>
        </w:rPr>
        <w:t>e</w:t>
      </w:r>
      <w:r w:rsidR="00F53E90">
        <w:rPr>
          <w:rFonts w:ascii="Times New Roman" w:hAnsi="Times New Roman" w:cs="Times New Roman"/>
          <w:sz w:val="24"/>
          <w:szCs w:val="24"/>
        </w:rPr>
        <w:t>lation</w:t>
      </w:r>
      <w:r w:rsidR="00B31790">
        <w:rPr>
          <w:rFonts w:ascii="Times New Roman" w:hAnsi="Times New Roman" w:cs="Times New Roman"/>
          <w:sz w:val="24"/>
          <w:szCs w:val="24"/>
        </w:rPr>
        <w:t xml:space="preserve"> to the case of </w:t>
      </w:r>
      <w:r w:rsidR="00B31790" w:rsidRPr="00B31790">
        <w:rPr>
          <w:rFonts w:ascii="Times New Roman" w:hAnsi="Times New Roman" w:cs="Times New Roman"/>
          <w:i/>
          <w:sz w:val="24"/>
          <w:szCs w:val="24"/>
        </w:rPr>
        <w:t>Magauzi and Anor v Jekera supra</w:t>
      </w:r>
      <w:r w:rsidR="00B31790">
        <w:rPr>
          <w:rFonts w:ascii="Times New Roman" w:hAnsi="Times New Roman" w:cs="Times New Roman"/>
          <w:sz w:val="24"/>
          <w:szCs w:val="24"/>
        </w:rPr>
        <w:t>,</w:t>
      </w:r>
      <w:r w:rsidR="00F53E90">
        <w:rPr>
          <w:rFonts w:ascii="Times New Roman" w:hAnsi="Times New Roman" w:cs="Times New Roman"/>
          <w:sz w:val="24"/>
          <w:szCs w:val="24"/>
        </w:rPr>
        <w:t xml:space="preserve"> namely, </w:t>
      </w:r>
      <w:r w:rsidR="00253014">
        <w:rPr>
          <w:rFonts w:ascii="Times New Roman" w:hAnsi="Times New Roman" w:cs="Times New Roman"/>
          <w:sz w:val="24"/>
          <w:szCs w:val="24"/>
        </w:rPr>
        <w:t xml:space="preserve">that its correct interpretation </w:t>
      </w:r>
      <w:r w:rsidR="009A1A51">
        <w:rPr>
          <w:rFonts w:ascii="Times New Roman" w:hAnsi="Times New Roman" w:cs="Times New Roman"/>
          <w:sz w:val="24"/>
          <w:szCs w:val="24"/>
        </w:rPr>
        <w:t>is that when a court grants an order it has no retrospective effect, but affects all subsequent acts.</w:t>
      </w:r>
      <w:r w:rsidR="00B31790">
        <w:rPr>
          <w:rFonts w:ascii="Times New Roman" w:hAnsi="Times New Roman" w:cs="Times New Roman"/>
          <w:sz w:val="24"/>
          <w:szCs w:val="24"/>
        </w:rPr>
        <w:t xml:space="preserve"> </w:t>
      </w:r>
      <w:r w:rsidR="00F35DEA">
        <w:rPr>
          <w:rFonts w:ascii="Times New Roman" w:hAnsi="Times New Roman" w:cs="Times New Roman"/>
          <w:sz w:val="24"/>
          <w:szCs w:val="24"/>
        </w:rPr>
        <w:t>The submission continued</w:t>
      </w:r>
      <w:r w:rsidR="007D0E5F">
        <w:rPr>
          <w:rFonts w:ascii="Times New Roman" w:hAnsi="Times New Roman" w:cs="Times New Roman"/>
          <w:sz w:val="24"/>
          <w:szCs w:val="24"/>
        </w:rPr>
        <w:t xml:space="preserve"> that ownership of shares in a company does not translate to o</w:t>
      </w:r>
      <w:r w:rsidR="008C275C">
        <w:rPr>
          <w:rFonts w:ascii="Times New Roman" w:hAnsi="Times New Roman" w:cs="Times New Roman"/>
          <w:sz w:val="24"/>
          <w:szCs w:val="24"/>
        </w:rPr>
        <w:t xml:space="preserve">wnership of </w:t>
      </w:r>
      <w:r w:rsidR="00F35DEA">
        <w:rPr>
          <w:rFonts w:ascii="Times New Roman" w:hAnsi="Times New Roman" w:cs="Times New Roman"/>
          <w:sz w:val="24"/>
          <w:szCs w:val="24"/>
        </w:rPr>
        <w:t>the property of a company.</w:t>
      </w:r>
      <w:r w:rsidR="008C275C">
        <w:rPr>
          <w:rFonts w:ascii="Times New Roman" w:hAnsi="Times New Roman" w:cs="Times New Roman"/>
          <w:sz w:val="24"/>
          <w:szCs w:val="24"/>
        </w:rPr>
        <w:t xml:space="preserve"> My attention was drawn to </w:t>
      </w:r>
      <w:r w:rsidR="009B0A1E">
        <w:rPr>
          <w:rFonts w:ascii="Times New Roman" w:hAnsi="Times New Roman" w:cs="Times New Roman"/>
          <w:sz w:val="24"/>
          <w:szCs w:val="24"/>
        </w:rPr>
        <w:t xml:space="preserve">paragraph 17 of the applicant’s affidavit (at page 7 of the record), which alleges that </w:t>
      </w:r>
      <w:r w:rsidR="00B577E6">
        <w:rPr>
          <w:rFonts w:ascii="Times New Roman" w:hAnsi="Times New Roman" w:cs="Times New Roman"/>
          <w:sz w:val="24"/>
          <w:szCs w:val="24"/>
        </w:rPr>
        <w:t xml:space="preserve">the sale of Stand 9064 to the </w:t>
      </w:r>
      <w:r w:rsidR="003C3C9E">
        <w:rPr>
          <w:rFonts w:ascii="Times New Roman" w:hAnsi="Times New Roman" w:cs="Times New Roman"/>
          <w:sz w:val="24"/>
          <w:szCs w:val="24"/>
        </w:rPr>
        <w:t>second</w:t>
      </w:r>
      <w:r w:rsidR="00CE1D7A">
        <w:rPr>
          <w:rFonts w:ascii="Times New Roman" w:hAnsi="Times New Roman" w:cs="Times New Roman"/>
          <w:sz w:val="24"/>
          <w:szCs w:val="24"/>
        </w:rPr>
        <w:t xml:space="preserve"> respondent was</w:t>
      </w:r>
      <w:r w:rsidR="00ED2D29">
        <w:rPr>
          <w:rFonts w:ascii="Times New Roman" w:hAnsi="Times New Roman" w:cs="Times New Roman"/>
          <w:sz w:val="24"/>
          <w:szCs w:val="24"/>
        </w:rPr>
        <w:t xml:space="preserve"> </w:t>
      </w:r>
      <w:r w:rsidR="00B577E6" w:rsidRPr="00C7074E">
        <w:rPr>
          <w:rFonts w:ascii="Times New Roman" w:hAnsi="Times New Roman" w:cs="Times New Roman"/>
          <w:i/>
          <w:sz w:val="24"/>
          <w:szCs w:val="24"/>
        </w:rPr>
        <w:t>“fraudulent and unlawful”.</w:t>
      </w:r>
      <w:r w:rsidR="00C7074E">
        <w:rPr>
          <w:rFonts w:ascii="Times New Roman" w:hAnsi="Times New Roman" w:cs="Times New Roman"/>
          <w:sz w:val="24"/>
          <w:szCs w:val="24"/>
        </w:rPr>
        <w:t xml:space="preserve"> The </w:t>
      </w:r>
      <w:r w:rsidR="003C3C9E">
        <w:rPr>
          <w:rFonts w:ascii="Times New Roman" w:hAnsi="Times New Roman" w:cs="Times New Roman"/>
          <w:sz w:val="24"/>
          <w:szCs w:val="24"/>
        </w:rPr>
        <w:t>second</w:t>
      </w:r>
      <w:r w:rsidR="00C7074E">
        <w:rPr>
          <w:rFonts w:ascii="Times New Roman" w:hAnsi="Times New Roman" w:cs="Times New Roman"/>
          <w:sz w:val="24"/>
          <w:szCs w:val="24"/>
        </w:rPr>
        <w:t xml:space="preserve"> respondent also referred me </w:t>
      </w:r>
      <w:r w:rsidR="003C3C9E">
        <w:rPr>
          <w:rFonts w:ascii="Times New Roman" w:hAnsi="Times New Roman" w:cs="Times New Roman"/>
          <w:sz w:val="24"/>
          <w:szCs w:val="24"/>
        </w:rPr>
        <w:t>to para</w:t>
      </w:r>
      <w:r w:rsidR="00CE1D7A">
        <w:rPr>
          <w:rFonts w:ascii="Times New Roman" w:hAnsi="Times New Roman" w:cs="Times New Roman"/>
          <w:sz w:val="24"/>
          <w:szCs w:val="24"/>
        </w:rPr>
        <w:t xml:space="preserve"> 25 of the same</w:t>
      </w:r>
      <w:r w:rsidR="003C3C9E">
        <w:rPr>
          <w:rFonts w:ascii="Times New Roman" w:hAnsi="Times New Roman" w:cs="Times New Roman"/>
          <w:sz w:val="24"/>
          <w:szCs w:val="24"/>
        </w:rPr>
        <w:t xml:space="preserve"> affidavit (on p</w:t>
      </w:r>
      <w:r w:rsidR="00CE1D7A">
        <w:rPr>
          <w:rFonts w:ascii="Times New Roman" w:hAnsi="Times New Roman" w:cs="Times New Roman"/>
          <w:sz w:val="24"/>
          <w:szCs w:val="24"/>
        </w:rPr>
        <w:t xml:space="preserve"> 8 of the record)</w:t>
      </w:r>
      <w:r w:rsidR="00987B63">
        <w:rPr>
          <w:rFonts w:ascii="Times New Roman" w:hAnsi="Times New Roman" w:cs="Times New Roman"/>
          <w:sz w:val="24"/>
          <w:szCs w:val="24"/>
        </w:rPr>
        <w:t>, which states:</w:t>
      </w:r>
    </w:p>
    <w:p w:rsidR="00987B63" w:rsidRPr="008329E1" w:rsidRDefault="00987B63" w:rsidP="00EA212A">
      <w:pPr>
        <w:spacing w:after="0" w:line="360" w:lineRule="auto"/>
        <w:jc w:val="both"/>
        <w:rPr>
          <w:rFonts w:ascii="Times New Roman" w:hAnsi="Times New Roman" w:cs="Times New Roman"/>
          <w:sz w:val="10"/>
          <w:szCs w:val="10"/>
        </w:rPr>
      </w:pPr>
    </w:p>
    <w:p w:rsidR="00987B63" w:rsidRPr="00987B63" w:rsidRDefault="00987B63" w:rsidP="00987B63">
      <w:pPr>
        <w:spacing w:after="0" w:line="240" w:lineRule="auto"/>
        <w:ind w:left="720"/>
        <w:jc w:val="both"/>
        <w:rPr>
          <w:rFonts w:ascii="Times New Roman" w:hAnsi="Times New Roman" w:cs="Times New Roman"/>
        </w:rPr>
      </w:pPr>
      <w:r w:rsidRPr="00987B63">
        <w:rPr>
          <w:rFonts w:ascii="Times New Roman" w:hAnsi="Times New Roman" w:cs="Times New Roman"/>
        </w:rPr>
        <w:lastRenderedPageBreak/>
        <w:t>“It is my belief that my former husband is behind all the shenanigans in a malicious bid to frustrate enforcement of the Supreme Court order”.</w:t>
      </w:r>
    </w:p>
    <w:p w:rsidR="00E11ED6" w:rsidRPr="003630C6" w:rsidRDefault="00E11ED6" w:rsidP="00EA212A">
      <w:pPr>
        <w:spacing w:after="0" w:line="360" w:lineRule="auto"/>
        <w:jc w:val="both"/>
        <w:rPr>
          <w:rFonts w:ascii="Times New Roman" w:hAnsi="Times New Roman" w:cs="Times New Roman"/>
          <w:sz w:val="16"/>
          <w:szCs w:val="16"/>
        </w:rPr>
      </w:pPr>
    </w:p>
    <w:p w:rsidR="00C164D3" w:rsidRDefault="00B52A73" w:rsidP="00EA212A">
      <w:pPr>
        <w:spacing w:after="0" w:line="360" w:lineRule="auto"/>
        <w:jc w:val="both"/>
        <w:rPr>
          <w:rFonts w:ascii="Times New Roman" w:hAnsi="Times New Roman" w:cs="Times New Roman"/>
          <w:sz w:val="24"/>
          <w:szCs w:val="24"/>
        </w:rPr>
      </w:pPr>
      <w:r w:rsidRPr="00B52A73">
        <w:rPr>
          <w:rFonts w:ascii="Times New Roman" w:hAnsi="Times New Roman" w:cs="Times New Roman"/>
          <w:sz w:val="24"/>
          <w:szCs w:val="24"/>
        </w:rPr>
        <w:t xml:space="preserve">The </w:t>
      </w:r>
      <w:r w:rsidR="003C3C9E">
        <w:rPr>
          <w:rFonts w:ascii="Times New Roman" w:hAnsi="Times New Roman" w:cs="Times New Roman"/>
          <w:sz w:val="24"/>
          <w:szCs w:val="24"/>
        </w:rPr>
        <w:t>second</w:t>
      </w:r>
      <w:r>
        <w:rPr>
          <w:rFonts w:ascii="Times New Roman" w:hAnsi="Times New Roman" w:cs="Times New Roman"/>
          <w:sz w:val="24"/>
          <w:szCs w:val="24"/>
        </w:rPr>
        <w:t xml:space="preserve"> respondent submitted, in this context, that the applicant had failed to plead and prove its cause of action, namely that the sale was tainted by fraud on the part of the </w:t>
      </w:r>
      <w:r w:rsidR="003C3C9E">
        <w:rPr>
          <w:rFonts w:ascii="Times New Roman" w:hAnsi="Times New Roman" w:cs="Times New Roman"/>
          <w:sz w:val="24"/>
          <w:szCs w:val="24"/>
        </w:rPr>
        <w:t>first</w:t>
      </w:r>
      <w:r w:rsidR="00ED2D29">
        <w:rPr>
          <w:rFonts w:ascii="Times New Roman" w:hAnsi="Times New Roman" w:cs="Times New Roman"/>
          <w:sz w:val="24"/>
          <w:szCs w:val="24"/>
        </w:rPr>
        <w:t xml:space="preserve"> respo</w:t>
      </w:r>
      <w:r w:rsidR="007556DD">
        <w:rPr>
          <w:rFonts w:ascii="Times New Roman" w:hAnsi="Times New Roman" w:cs="Times New Roman"/>
          <w:sz w:val="24"/>
          <w:szCs w:val="24"/>
        </w:rPr>
        <w:t xml:space="preserve">ndent or the </w:t>
      </w:r>
      <w:r w:rsidR="003C3C9E">
        <w:rPr>
          <w:rFonts w:ascii="Times New Roman" w:hAnsi="Times New Roman" w:cs="Times New Roman"/>
          <w:sz w:val="24"/>
          <w:szCs w:val="24"/>
        </w:rPr>
        <w:t>second</w:t>
      </w:r>
      <w:r w:rsidR="007556DD">
        <w:rPr>
          <w:rFonts w:ascii="Times New Roman" w:hAnsi="Times New Roman" w:cs="Times New Roman"/>
          <w:sz w:val="24"/>
          <w:szCs w:val="24"/>
        </w:rPr>
        <w:t xml:space="preserve"> respondent or Mr Coumbis, who was not cited in these proceedings.</w:t>
      </w:r>
      <w:r w:rsidR="003630C6">
        <w:rPr>
          <w:rFonts w:ascii="Times New Roman" w:hAnsi="Times New Roman" w:cs="Times New Roman"/>
          <w:sz w:val="24"/>
          <w:szCs w:val="24"/>
        </w:rPr>
        <w:t xml:space="preserve"> In this respect, Counsel for the </w:t>
      </w:r>
      <w:r w:rsidR="003C3C9E">
        <w:rPr>
          <w:rFonts w:ascii="Times New Roman" w:hAnsi="Times New Roman" w:cs="Times New Roman"/>
          <w:sz w:val="24"/>
          <w:szCs w:val="24"/>
        </w:rPr>
        <w:t>second</w:t>
      </w:r>
      <w:r w:rsidR="003630C6">
        <w:rPr>
          <w:rFonts w:ascii="Times New Roman" w:hAnsi="Times New Roman" w:cs="Times New Roman"/>
          <w:sz w:val="24"/>
          <w:szCs w:val="24"/>
        </w:rPr>
        <w:t xml:space="preserve"> respondent argued that no particulars of the alleged fraud had been given by the applicant.</w:t>
      </w:r>
      <w:r w:rsidR="007556DD">
        <w:rPr>
          <w:rFonts w:ascii="Times New Roman" w:hAnsi="Times New Roman" w:cs="Times New Roman"/>
          <w:sz w:val="24"/>
          <w:szCs w:val="24"/>
        </w:rPr>
        <w:t xml:space="preserve"> </w:t>
      </w:r>
      <w:r w:rsidR="00B71A3D">
        <w:rPr>
          <w:rFonts w:ascii="Times New Roman" w:hAnsi="Times New Roman" w:cs="Times New Roman"/>
          <w:sz w:val="24"/>
          <w:szCs w:val="24"/>
        </w:rPr>
        <w:t xml:space="preserve">It was </w:t>
      </w:r>
      <w:r w:rsidR="005965C8">
        <w:rPr>
          <w:rFonts w:ascii="Times New Roman" w:hAnsi="Times New Roman" w:cs="Times New Roman"/>
          <w:sz w:val="24"/>
          <w:szCs w:val="24"/>
        </w:rPr>
        <w:t xml:space="preserve">further </w:t>
      </w:r>
      <w:r w:rsidR="00B71A3D">
        <w:rPr>
          <w:rFonts w:ascii="Times New Roman" w:hAnsi="Times New Roman" w:cs="Times New Roman"/>
          <w:sz w:val="24"/>
          <w:szCs w:val="24"/>
        </w:rPr>
        <w:t>argued that Mr Coumbis had not been afforded the opportunity to answer the serious allegations of fraud and malice that had been made against him.</w:t>
      </w:r>
      <w:r w:rsidR="007C7A86">
        <w:rPr>
          <w:rFonts w:ascii="Times New Roman" w:hAnsi="Times New Roman" w:cs="Times New Roman"/>
          <w:sz w:val="24"/>
          <w:szCs w:val="24"/>
        </w:rPr>
        <w:t xml:space="preserve"> The </w:t>
      </w:r>
      <w:r w:rsidR="003C3C9E">
        <w:rPr>
          <w:rFonts w:ascii="Times New Roman" w:hAnsi="Times New Roman" w:cs="Times New Roman"/>
          <w:sz w:val="24"/>
          <w:szCs w:val="24"/>
        </w:rPr>
        <w:t>second</w:t>
      </w:r>
      <w:r w:rsidR="007C7A86">
        <w:rPr>
          <w:rFonts w:ascii="Times New Roman" w:hAnsi="Times New Roman" w:cs="Times New Roman"/>
          <w:sz w:val="24"/>
          <w:szCs w:val="24"/>
        </w:rPr>
        <w:t xml:space="preserve"> respondent contended that the </w:t>
      </w:r>
      <w:r w:rsidR="003C3C9E">
        <w:rPr>
          <w:rFonts w:ascii="Times New Roman" w:hAnsi="Times New Roman" w:cs="Times New Roman"/>
          <w:sz w:val="24"/>
          <w:szCs w:val="24"/>
        </w:rPr>
        <w:t>second</w:t>
      </w:r>
      <w:r w:rsidR="007C7A86">
        <w:rPr>
          <w:rFonts w:ascii="Times New Roman" w:hAnsi="Times New Roman" w:cs="Times New Roman"/>
          <w:sz w:val="24"/>
          <w:szCs w:val="24"/>
        </w:rPr>
        <w:t xml:space="preserve"> respondent was not party to the divorce proceedings and </w:t>
      </w:r>
      <w:r w:rsidR="008E5167">
        <w:rPr>
          <w:rFonts w:ascii="Times New Roman" w:hAnsi="Times New Roman" w:cs="Times New Roman"/>
          <w:sz w:val="24"/>
          <w:szCs w:val="24"/>
        </w:rPr>
        <w:t>no fraud has</w:t>
      </w:r>
      <w:r w:rsidR="00954DF5">
        <w:rPr>
          <w:rFonts w:ascii="Times New Roman" w:hAnsi="Times New Roman" w:cs="Times New Roman"/>
          <w:sz w:val="24"/>
          <w:szCs w:val="24"/>
        </w:rPr>
        <w:t xml:space="preserve"> be</w:t>
      </w:r>
      <w:r w:rsidR="008E5167">
        <w:rPr>
          <w:rFonts w:ascii="Times New Roman" w:hAnsi="Times New Roman" w:cs="Times New Roman"/>
          <w:sz w:val="24"/>
          <w:szCs w:val="24"/>
        </w:rPr>
        <w:t>e</w:t>
      </w:r>
      <w:r w:rsidR="00954DF5">
        <w:rPr>
          <w:rFonts w:ascii="Times New Roman" w:hAnsi="Times New Roman" w:cs="Times New Roman"/>
          <w:sz w:val="24"/>
          <w:szCs w:val="24"/>
        </w:rPr>
        <w:t>n alleged against him.</w:t>
      </w:r>
      <w:r w:rsidR="00D20ADC">
        <w:rPr>
          <w:rFonts w:ascii="Times New Roman" w:hAnsi="Times New Roman" w:cs="Times New Roman"/>
          <w:sz w:val="24"/>
          <w:szCs w:val="24"/>
        </w:rPr>
        <w:t xml:space="preserve"> </w:t>
      </w:r>
      <w:r w:rsidR="00A759C0">
        <w:rPr>
          <w:rFonts w:ascii="Times New Roman" w:hAnsi="Times New Roman" w:cs="Times New Roman"/>
          <w:sz w:val="24"/>
          <w:szCs w:val="24"/>
        </w:rPr>
        <w:t xml:space="preserve">In light of this, the </w:t>
      </w:r>
      <w:r w:rsidR="003C3C9E">
        <w:rPr>
          <w:rFonts w:ascii="Times New Roman" w:hAnsi="Times New Roman" w:cs="Times New Roman"/>
          <w:sz w:val="24"/>
          <w:szCs w:val="24"/>
        </w:rPr>
        <w:t>second</w:t>
      </w:r>
      <w:r w:rsidR="00A759C0">
        <w:rPr>
          <w:rFonts w:ascii="Times New Roman" w:hAnsi="Times New Roman" w:cs="Times New Roman"/>
          <w:sz w:val="24"/>
          <w:szCs w:val="24"/>
        </w:rPr>
        <w:t xml:space="preserve"> respondent pointed out that the doctrine of transferred malice was not part the law in this jurisdiction.</w:t>
      </w:r>
    </w:p>
    <w:p w:rsidR="00C442C6" w:rsidRPr="00C442C6" w:rsidRDefault="00C442C6" w:rsidP="00EA212A">
      <w:pPr>
        <w:spacing w:after="0" w:line="360" w:lineRule="auto"/>
        <w:jc w:val="both"/>
        <w:rPr>
          <w:rFonts w:ascii="Times New Roman" w:hAnsi="Times New Roman" w:cs="Times New Roman"/>
          <w:sz w:val="12"/>
          <w:szCs w:val="12"/>
        </w:rPr>
      </w:pPr>
    </w:p>
    <w:p w:rsidR="008D3BF3" w:rsidRPr="0011440F" w:rsidRDefault="00C442C6" w:rsidP="00EA21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Analysis of the case</w:t>
      </w:r>
      <w:r w:rsidR="008D3BF3" w:rsidRPr="0011440F">
        <w:rPr>
          <w:rFonts w:ascii="Times New Roman" w:hAnsi="Times New Roman" w:cs="Times New Roman"/>
          <w:b/>
          <w:sz w:val="24"/>
          <w:szCs w:val="24"/>
        </w:rPr>
        <w:t xml:space="preserve"> </w:t>
      </w:r>
    </w:p>
    <w:p w:rsidR="00E543A6" w:rsidRDefault="0011440F" w:rsidP="00E543A6">
      <w:pPr>
        <w:pStyle w:val="NormalWeb"/>
        <w:shd w:val="clear" w:color="auto" w:fill="FFFFFF"/>
        <w:spacing w:before="0" w:beforeAutospacing="0" w:after="0" w:afterAutospacing="0" w:line="360" w:lineRule="auto"/>
        <w:jc w:val="both"/>
      </w:pPr>
      <w:r>
        <w:tab/>
      </w:r>
      <w:r w:rsidR="00E543A6">
        <w:t xml:space="preserve">I will start with the </w:t>
      </w:r>
      <w:r w:rsidR="00E543A6" w:rsidRPr="009F669C">
        <w:rPr>
          <w:i/>
        </w:rPr>
        <w:t>locus standi</w:t>
      </w:r>
      <w:r w:rsidR="00E543A6">
        <w:t xml:space="preserve"> argument first. The </w:t>
      </w:r>
      <w:r w:rsidR="003C3C9E">
        <w:t>second</w:t>
      </w:r>
      <w:r w:rsidR="00E543A6">
        <w:t xml:space="preserve"> respondent relied on the case of </w:t>
      </w:r>
      <w:r w:rsidR="00E543A6" w:rsidRPr="00E66B43">
        <w:rPr>
          <w:i/>
        </w:rPr>
        <w:t>Wallersteiner v Moir (No. 2)</w:t>
      </w:r>
      <w:r w:rsidR="00E543A6">
        <w:t xml:space="preserve"> [1975 All ER 849 (CA) at 857, where LORD DENNING remarked that when a company is defrauded by outsiders, the company is the only part that can sue. This point will not detain me, since </w:t>
      </w:r>
      <w:r w:rsidR="00E543A6" w:rsidRPr="003C3C9E">
        <w:rPr>
          <w:i/>
        </w:rPr>
        <w:t>in casu</w:t>
      </w:r>
      <w:r w:rsidR="00E543A6" w:rsidRPr="00785C51">
        <w:rPr>
          <w:i/>
        </w:rPr>
        <w:t xml:space="preserve"> </w:t>
      </w:r>
      <w:r w:rsidR="00E543A6">
        <w:t>the applicant does not purport to litigate for the company. On the contrary, her case is that by awarding the 80% shareholding to me the Supreme Court, in fact, awarded Stand 9064 to her. The English authority cited has no application. As such, the point in</w:t>
      </w:r>
      <w:r w:rsidR="00E543A6" w:rsidRPr="006A6D30">
        <w:rPr>
          <w:i/>
        </w:rPr>
        <w:t xml:space="preserve"> limine</w:t>
      </w:r>
      <w:r w:rsidR="00E543A6">
        <w:t xml:space="preserve"> raised has no merit and I dismiss it.</w:t>
      </w:r>
    </w:p>
    <w:p w:rsidR="00C91F3A" w:rsidRDefault="008D46AC" w:rsidP="00E543A6">
      <w:pPr>
        <w:pStyle w:val="NormalWeb"/>
        <w:shd w:val="clear" w:color="auto" w:fill="FFFFFF"/>
        <w:spacing w:before="0" w:beforeAutospacing="0" w:after="240" w:afterAutospacing="0" w:line="360" w:lineRule="auto"/>
        <w:ind w:firstLine="720"/>
        <w:jc w:val="both"/>
      </w:pPr>
      <w:r>
        <w:t xml:space="preserve">It is worth examining the </w:t>
      </w:r>
      <w:r w:rsidR="003C3C9E">
        <w:t>second</w:t>
      </w:r>
      <w:r w:rsidR="002D3135">
        <w:t xml:space="preserve"> respondent’s argument that</w:t>
      </w:r>
      <w:r w:rsidR="0011440F" w:rsidRPr="00AA5659">
        <w:t xml:space="preserve"> the </w:t>
      </w:r>
      <w:r w:rsidR="002D3135">
        <w:t xml:space="preserve">applicant </w:t>
      </w:r>
      <w:r w:rsidR="002C3074" w:rsidRPr="00AA5659">
        <w:t>failed to set out a cause of action in the proceedings before me.</w:t>
      </w:r>
      <w:r w:rsidR="00186507">
        <w:t xml:space="preserve"> </w:t>
      </w:r>
      <w:r w:rsidR="007F4001">
        <w:t xml:space="preserve">Put differently, the contention is that as no cause of has been properly pleaded, </w:t>
      </w:r>
      <w:r w:rsidR="00062C0C">
        <w:t xml:space="preserve">no relief can be afforded to the applicant. </w:t>
      </w:r>
      <w:r w:rsidR="00B40060">
        <w:t xml:space="preserve">It is trite that </w:t>
      </w:r>
      <w:r w:rsidR="00186507">
        <w:t>pleadings</w:t>
      </w:r>
      <w:r w:rsidR="00B40060">
        <w:t xml:space="preserve">, in any case brought to court, </w:t>
      </w:r>
      <w:r w:rsidR="00186507">
        <w:t xml:space="preserve">must state in clear terms </w:t>
      </w:r>
      <w:r w:rsidR="00442939">
        <w:t>in the application</w:t>
      </w:r>
      <w:r w:rsidR="00186507">
        <w:t xml:space="preserve"> </w:t>
      </w:r>
      <w:r w:rsidR="00237757">
        <w:t xml:space="preserve">or, in the case of an action, </w:t>
      </w:r>
      <w:r w:rsidR="00EF66AC">
        <w:t>in the summons and declaration, a litigant</w:t>
      </w:r>
      <w:r w:rsidR="00237757">
        <w:t xml:space="preserve">’s cause of action. </w:t>
      </w:r>
      <w:r w:rsidR="00F149C2">
        <w:t>There is an important reason for this</w:t>
      </w:r>
      <w:r w:rsidR="00C339CC">
        <w:t xml:space="preserve">, and I will explain. </w:t>
      </w:r>
      <w:r w:rsidR="00026BB7">
        <w:t>In my view, t</w:t>
      </w:r>
      <w:r w:rsidR="00DD33B5" w:rsidRPr="00DD33B5">
        <w:t>he purpose of pleadings is to clarify the issues between the parties that require d</w:t>
      </w:r>
      <w:r w:rsidR="0050600D">
        <w:t>etermination by a court of law. This has been stress</w:t>
      </w:r>
      <w:r w:rsidR="001A50F0">
        <w:t xml:space="preserve">ed in a number of </w:t>
      </w:r>
      <w:r w:rsidR="0050600D">
        <w:t>cases</w:t>
      </w:r>
      <w:r w:rsidR="001A50F0">
        <w:t xml:space="preserve"> in this and other jurisdictions</w:t>
      </w:r>
      <w:r w:rsidR="0050600D">
        <w:t>. For example, in</w:t>
      </w:r>
      <w:r w:rsidR="00952A9F">
        <w:t xml:space="preserve"> </w:t>
      </w:r>
      <w:r w:rsidR="00952A9F" w:rsidRPr="00952A9F">
        <w:rPr>
          <w:i/>
        </w:rPr>
        <w:t>Durbach v Fairway Hotel</w:t>
      </w:r>
      <w:r w:rsidR="0050600D" w:rsidRPr="00952A9F">
        <w:rPr>
          <w:i/>
        </w:rPr>
        <w:t xml:space="preserve"> Ltd</w:t>
      </w:r>
      <w:r w:rsidR="0050600D" w:rsidRPr="0050600D">
        <w:t xml:space="preserve"> 1949 (3) SA 1081 (SR)</w:t>
      </w:r>
      <w:r w:rsidR="00704FB1">
        <w:t xml:space="preserve">, the court made </w:t>
      </w:r>
      <w:r w:rsidR="00BA752E">
        <w:t xml:space="preserve">the </w:t>
      </w:r>
      <w:r w:rsidR="00704FB1">
        <w:t xml:space="preserve">self-commending </w:t>
      </w:r>
      <w:r w:rsidR="00952A9F">
        <w:t>remarks</w:t>
      </w:r>
      <w:r w:rsidR="00704FB1">
        <w:t xml:space="preserve"> that</w:t>
      </w:r>
      <w:r w:rsidR="00952A9F">
        <w:t>:</w:t>
      </w:r>
      <w:r w:rsidR="00C91F3A">
        <w:t xml:space="preserve"> </w:t>
      </w:r>
    </w:p>
    <w:p w:rsidR="00C91F3A" w:rsidRPr="00C91F3A" w:rsidRDefault="00932504" w:rsidP="00BF7973">
      <w:pPr>
        <w:pStyle w:val="NormalWeb"/>
        <w:shd w:val="clear" w:color="auto" w:fill="FFFFFF"/>
        <w:spacing w:before="0" w:beforeAutospacing="0" w:after="360" w:afterAutospacing="0"/>
        <w:ind w:left="720"/>
        <w:jc w:val="both"/>
        <w:rPr>
          <w:sz w:val="22"/>
          <w:szCs w:val="22"/>
        </w:rPr>
      </w:pPr>
      <w:r>
        <w:rPr>
          <w:sz w:val="22"/>
          <w:szCs w:val="22"/>
        </w:rPr>
        <w:lastRenderedPageBreak/>
        <w:t>“</w:t>
      </w:r>
      <w:r w:rsidR="0050600D" w:rsidRPr="00C91F3A">
        <w:rPr>
          <w:sz w:val="22"/>
          <w:szCs w:val="22"/>
        </w:rPr>
        <w:t>The whole purpose of pleadings is to bring clearly to the notice of the court and the parties to an action the issues upon</w:t>
      </w:r>
      <w:r w:rsidR="00C91F3A">
        <w:rPr>
          <w:sz w:val="22"/>
          <w:szCs w:val="22"/>
        </w:rPr>
        <w:t xml:space="preserve"> which reliance is to be placed</w:t>
      </w:r>
      <w:r>
        <w:rPr>
          <w:sz w:val="22"/>
          <w:szCs w:val="22"/>
        </w:rPr>
        <w:t>”.</w:t>
      </w:r>
    </w:p>
    <w:p w:rsidR="005C47AD" w:rsidRPr="005C47AD" w:rsidRDefault="0040481E" w:rsidP="005C47AD">
      <w:pPr>
        <w:pStyle w:val="NormalWeb"/>
        <w:shd w:val="clear" w:color="auto" w:fill="FFFFFF"/>
        <w:spacing w:before="0" w:beforeAutospacing="0" w:after="120" w:afterAutospacing="0" w:line="360" w:lineRule="auto"/>
        <w:jc w:val="both"/>
      </w:pPr>
      <w:r>
        <w:t>I note that the position of the law is the same in South Africa. For instance, i</w:t>
      </w:r>
      <w:r w:rsidR="00B6134D" w:rsidRPr="00B6134D">
        <w:t xml:space="preserve">n </w:t>
      </w:r>
      <w:r w:rsidR="00B6134D" w:rsidRPr="00B6134D">
        <w:rPr>
          <w:i/>
        </w:rPr>
        <w:t xml:space="preserve">Imprefed (Pty) Ltd </w:t>
      </w:r>
      <w:r w:rsidR="00B6134D" w:rsidRPr="003C3C9E">
        <w:t>v</w:t>
      </w:r>
      <w:r w:rsidR="00B6134D" w:rsidRPr="00B6134D">
        <w:rPr>
          <w:i/>
        </w:rPr>
        <w:t xml:space="preserve"> National Transport Commission</w:t>
      </w:r>
      <w:r w:rsidR="00B6134D" w:rsidRPr="00B6134D">
        <w:t xml:space="preserve"> 1993 (3) SA 94(A), 108, the court cited with approval the case of </w:t>
      </w:r>
      <w:r w:rsidR="00B6134D" w:rsidRPr="00B6134D">
        <w:rPr>
          <w:i/>
        </w:rPr>
        <w:t>Robinson v Randfontein Estates GM Co. Ltd</w:t>
      </w:r>
      <w:r w:rsidR="00B6134D" w:rsidRPr="00B6134D">
        <w:t xml:space="preserve"> 1925 AD 173</w:t>
      </w:r>
      <w:r w:rsidR="005C47AD">
        <w:t xml:space="preserve"> at 198, where it was stated as follows:</w:t>
      </w:r>
    </w:p>
    <w:p w:rsidR="00B6134D" w:rsidRPr="00A20214" w:rsidRDefault="00B6134D" w:rsidP="00A20214">
      <w:pPr>
        <w:pStyle w:val="NormalWeb"/>
        <w:shd w:val="clear" w:color="auto" w:fill="FFFFFF"/>
        <w:spacing w:before="0" w:beforeAutospacing="0" w:after="120" w:afterAutospacing="0"/>
        <w:ind w:left="720"/>
        <w:jc w:val="both"/>
        <w:rPr>
          <w:b/>
          <w:sz w:val="22"/>
          <w:szCs w:val="22"/>
        </w:rPr>
      </w:pPr>
      <w:r w:rsidRPr="005C47AD">
        <w:rPr>
          <w:sz w:val="22"/>
          <w:szCs w:val="22"/>
        </w:rPr>
        <w:t>“</w:t>
      </w:r>
      <w:r w:rsidRPr="004248B8">
        <w:rPr>
          <w:sz w:val="22"/>
          <w:szCs w:val="22"/>
          <w:u w:val="single"/>
        </w:rPr>
        <w:t xml:space="preserve">The object of pleading is to define the issues; and parties will be kept strictly to their pleas where any departure would cause prejudice </w:t>
      </w:r>
      <w:r w:rsidR="004248B8" w:rsidRPr="004248B8">
        <w:rPr>
          <w:sz w:val="22"/>
          <w:szCs w:val="22"/>
          <w:u w:val="single"/>
        </w:rPr>
        <w:t>or would prevent full enquiry.</w:t>
      </w:r>
      <w:r w:rsidR="004248B8">
        <w:rPr>
          <w:sz w:val="22"/>
          <w:szCs w:val="22"/>
        </w:rPr>
        <w:t xml:space="preserve"> </w:t>
      </w:r>
      <w:r w:rsidRPr="005C47AD">
        <w:rPr>
          <w:sz w:val="22"/>
          <w:szCs w:val="22"/>
        </w:rPr>
        <w:t>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w:t>
      </w:r>
      <w:r w:rsidR="00A20214">
        <w:rPr>
          <w:b/>
          <w:sz w:val="22"/>
          <w:szCs w:val="22"/>
        </w:rPr>
        <w:t xml:space="preserve"> [My own emphasis]</w:t>
      </w:r>
    </w:p>
    <w:p w:rsidR="00A20214" w:rsidRPr="003005FD" w:rsidRDefault="00A20214" w:rsidP="00A20214">
      <w:pPr>
        <w:pStyle w:val="NormalWeb"/>
        <w:shd w:val="clear" w:color="auto" w:fill="FFFFFF"/>
        <w:spacing w:before="0" w:beforeAutospacing="0" w:after="0" w:afterAutospacing="0" w:line="360" w:lineRule="auto"/>
        <w:jc w:val="both"/>
        <w:rPr>
          <w:sz w:val="10"/>
          <w:szCs w:val="10"/>
        </w:rPr>
      </w:pPr>
    </w:p>
    <w:p w:rsidR="00792306" w:rsidRDefault="00DA74B1" w:rsidP="00361787">
      <w:pPr>
        <w:pStyle w:val="NormalWeb"/>
        <w:shd w:val="clear" w:color="auto" w:fill="FFFFFF"/>
        <w:spacing w:before="0" w:beforeAutospacing="0" w:after="120" w:afterAutospacing="0" w:line="360" w:lineRule="auto"/>
        <w:jc w:val="both"/>
      </w:pPr>
      <w:r>
        <w:t>In England, t</w:t>
      </w:r>
      <w:r w:rsidR="006B601F">
        <w:t>he same point was aptly made by Lord Edmund-Davies</w:t>
      </w:r>
      <w:r w:rsidR="00BF7973">
        <w:t xml:space="preserve"> in </w:t>
      </w:r>
      <w:r w:rsidR="00BF7973" w:rsidRPr="00895C20">
        <w:rPr>
          <w:i/>
        </w:rPr>
        <w:t xml:space="preserve">Farrell </w:t>
      </w:r>
      <w:r w:rsidR="00BF7973" w:rsidRPr="003C3C9E">
        <w:t>v</w:t>
      </w:r>
      <w:r w:rsidR="00BF7973" w:rsidRPr="00895C20">
        <w:rPr>
          <w:i/>
        </w:rPr>
        <w:t xml:space="preserve"> Secretary of State for Defence </w:t>
      </w:r>
      <w:r w:rsidR="00BF7973">
        <w:t>[1980]</w:t>
      </w:r>
      <w:r w:rsidR="00792306">
        <w:t xml:space="preserve"> 1 All ER 166 at 173, where </w:t>
      </w:r>
      <w:r w:rsidR="00A20214" w:rsidRPr="00A20214">
        <w:t>Lord E</w:t>
      </w:r>
      <w:r w:rsidR="00792306">
        <w:t>dmund-Davies observed:</w:t>
      </w:r>
      <w:r w:rsidR="00A20214" w:rsidRPr="00A20214">
        <w:t xml:space="preserve"> </w:t>
      </w:r>
    </w:p>
    <w:p w:rsidR="00A20214" w:rsidRPr="006D004E" w:rsidRDefault="00A20214" w:rsidP="006D004E">
      <w:pPr>
        <w:pStyle w:val="NormalWeb"/>
        <w:shd w:val="clear" w:color="auto" w:fill="FFFFFF"/>
        <w:spacing w:before="0" w:beforeAutospacing="0" w:after="120" w:afterAutospacing="0"/>
        <w:ind w:left="720"/>
        <w:jc w:val="both"/>
        <w:rPr>
          <w:sz w:val="22"/>
          <w:szCs w:val="22"/>
        </w:rPr>
      </w:pPr>
      <w:r w:rsidRPr="00DA74B1">
        <w:rPr>
          <w:sz w:val="22"/>
          <w:szCs w:val="22"/>
        </w:rPr>
        <w:t>“It has become fashionable these days to attach dec</w:t>
      </w:r>
      <w:r w:rsidR="002E70D2">
        <w:rPr>
          <w:sz w:val="22"/>
          <w:szCs w:val="22"/>
        </w:rPr>
        <w:t>reasing importance to pleadings …</w:t>
      </w:r>
      <w:r w:rsidRPr="00DA74B1">
        <w:rPr>
          <w:sz w:val="22"/>
          <w:szCs w:val="22"/>
        </w:rPr>
        <w:t xml:space="preserve"> the primary purpose of pleadings remains, and it can sti</w:t>
      </w:r>
      <w:r w:rsidR="00DA74B1" w:rsidRPr="00DA74B1">
        <w:rPr>
          <w:sz w:val="22"/>
          <w:szCs w:val="22"/>
        </w:rPr>
        <w:t>ll prove of vital importance</w:t>
      </w:r>
      <w:r w:rsidR="0034473D">
        <w:rPr>
          <w:sz w:val="22"/>
          <w:szCs w:val="22"/>
        </w:rPr>
        <w:t xml:space="preserve"> …</w:t>
      </w:r>
      <w:r w:rsidR="00B9619E" w:rsidRPr="00463537">
        <w:rPr>
          <w:sz w:val="22"/>
          <w:szCs w:val="22"/>
          <w:u w:val="single"/>
        </w:rPr>
        <w:t>That purpose is</w:t>
      </w:r>
      <w:r w:rsidR="0034473D" w:rsidRPr="00463537">
        <w:rPr>
          <w:sz w:val="22"/>
          <w:szCs w:val="22"/>
          <w:u w:val="single"/>
        </w:rPr>
        <w:t xml:space="preserve"> to define the issues and thereby to inform the parties in advance of the case they have to meet and so enable them to take steps to deal with it</w:t>
      </w:r>
      <w:r w:rsidR="00DA74B1" w:rsidRPr="00DA74B1">
        <w:rPr>
          <w:sz w:val="22"/>
          <w:szCs w:val="22"/>
        </w:rPr>
        <w:t>”.</w:t>
      </w:r>
      <w:r w:rsidR="00463537" w:rsidRPr="00463537">
        <w:rPr>
          <w:b/>
          <w:sz w:val="22"/>
          <w:szCs w:val="22"/>
        </w:rPr>
        <w:t xml:space="preserve"> [My own emphasis]</w:t>
      </w:r>
    </w:p>
    <w:p w:rsidR="00080E39" w:rsidRPr="00943035" w:rsidRDefault="007E56D7" w:rsidP="00361787">
      <w:pPr>
        <w:pStyle w:val="NormalWeb"/>
        <w:shd w:val="clear" w:color="auto" w:fill="FFFFFF"/>
        <w:spacing w:before="0" w:beforeAutospacing="0" w:after="120" w:afterAutospacing="0" w:line="360" w:lineRule="auto"/>
        <w:ind w:firstLine="1134"/>
        <w:jc w:val="both"/>
        <w:rPr>
          <w:rFonts w:ascii="Arial" w:hAnsi="Arial" w:cs="Arial"/>
          <w:sz w:val="21"/>
          <w:szCs w:val="21"/>
        </w:rPr>
      </w:pPr>
      <w:r>
        <w:t xml:space="preserve">It is hardly open to debate </w:t>
      </w:r>
      <w:r w:rsidR="00B545EA">
        <w:t>that t</w:t>
      </w:r>
      <w:r w:rsidR="009F1B40">
        <w:t>he law on w</w:t>
      </w:r>
      <w:r w:rsidR="00A20FB9">
        <w:t>hat constitutes a cause of action is settled in this jurisdiction</w:t>
      </w:r>
      <w:r w:rsidR="00C70246">
        <w:t xml:space="preserve"> and elsewhere</w:t>
      </w:r>
      <w:r w:rsidR="00F3305B">
        <w:t>. In this respect, this court has</w:t>
      </w:r>
      <w:r w:rsidR="006153FA">
        <w:t xml:space="preserve"> stated time and again that</w:t>
      </w:r>
      <w:r w:rsidR="00080E39" w:rsidRPr="00080E39">
        <w:rPr>
          <w:color w:val="4A4A4A"/>
        </w:rPr>
        <w:t xml:space="preserve"> a cause of action c</w:t>
      </w:r>
      <w:r w:rsidR="00B545EA">
        <w:rPr>
          <w:color w:val="4A4A4A"/>
        </w:rPr>
        <w:t>onsists of all the fa</w:t>
      </w:r>
      <w:r w:rsidR="006153FA">
        <w:rPr>
          <w:color w:val="4A4A4A"/>
        </w:rPr>
        <w:t xml:space="preserve">cts that must be pleaded in order to establish the relief </w:t>
      </w:r>
      <w:r w:rsidR="00F2577E">
        <w:rPr>
          <w:color w:val="4A4A4A"/>
        </w:rPr>
        <w:t xml:space="preserve">that is sought by that party. </w:t>
      </w:r>
      <w:r w:rsidR="002C5D83">
        <w:t>For example, i</w:t>
      </w:r>
      <w:r w:rsidR="00080E39" w:rsidRPr="00943035">
        <w:t>n </w:t>
      </w:r>
      <w:r w:rsidR="00080E39" w:rsidRPr="00943035">
        <w:rPr>
          <w:i/>
          <w:iCs/>
        </w:rPr>
        <w:t>Patel v Controller of Customs and Excise</w:t>
      </w:r>
      <w:r w:rsidR="00080E39" w:rsidRPr="00943035">
        <w:t> 1982 (2)</w:t>
      </w:r>
      <w:r w:rsidR="00F2577E" w:rsidRPr="00943035">
        <w:t xml:space="preserve"> ZLR (HC) 82 at 86C-E GUBBAY J (as he then was)</w:t>
      </w:r>
      <w:r w:rsidR="00080E39" w:rsidRPr="00943035">
        <w:t xml:space="preserve"> stated that:</w:t>
      </w:r>
    </w:p>
    <w:p w:rsidR="00080E39" w:rsidRPr="00943035" w:rsidRDefault="00080E39" w:rsidP="00080E39">
      <w:pPr>
        <w:shd w:val="clear" w:color="auto" w:fill="FFFFFF"/>
        <w:spacing w:after="165" w:line="240" w:lineRule="auto"/>
        <w:ind w:left="720"/>
        <w:jc w:val="both"/>
        <w:rPr>
          <w:rFonts w:ascii="Arial" w:eastAsia="Times New Roman" w:hAnsi="Arial" w:cs="Arial"/>
          <w:sz w:val="21"/>
          <w:szCs w:val="21"/>
          <w:lang w:val="en-ZW" w:eastAsia="en-ZW"/>
        </w:rPr>
      </w:pPr>
      <w:r w:rsidRPr="00943035">
        <w:rPr>
          <w:rFonts w:ascii="Times New Roman" w:eastAsia="Times New Roman" w:hAnsi="Times New Roman" w:cs="Times New Roman"/>
          <w:sz w:val="24"/>
          <w:szCs w:val="24"/>
          <w:lang w:val="en-ZW" w:eastAsia="en-ZW"/>
        </w:rPr>
        <w:t xml:space="preserve">"In </w:t>
      </w:r>
      <w:r w:rsidRPr="00B124DE">
        <w:rPr>
          <w:rFonts w:ascii="Times New Roman" w:eastAsia="Times New Roman" w:hAnsi="Times New Roman" w:cs="Times New Roman"/>
          <w:i/>
          <w:sz w:val="24"/>
          <w:szCs w:val="24"/>
          <w:lang w:val="en-ZW" w:eastAsia="en-ZW"/>
        </w:rPr>
        <w:t>Controller of</w:t>
      </w:r>
      <w:r w:rsidRPr="00943035">
        <w:rPr>
          <w:rFonts w:ascii="Times New Roman" w:eastAsia="Times New Roman" w:hAnsi="Times New Roman" w:cs="Times New Roman"/>
          <w:sz w:val="24"/>
          <w:szCs w:val="24"/>
          <w:lang w:val="en-ZW" w:eastAsia="en-ZW"/>
        </w:rPr>
        <w:t> </w:t>
      </w:r>
      <w:r w:rsidRPr="00943035">
        <w:rPr>
          <w:rFonts w:ascii="Times New Roman" w:eastAsia="Times New Roman" w:hAnsi="Times New Roman" w:cs="Times New Roman"/>
          <w:i/>
          <w:iCs/>
          <w:sz w:val="24"/>
          <w:szCs w:val="24"/>
          <w:lang w:val="en-ZW" w:eastAsia="en-ZW"/>
        </w:rPr>
        <w:t>Customs v Guiffre</w:t>
      </w:r>
      <w:r w:rsidRPr="00943035">
        <w:rPr>
          <w:rFonts w:ascii="Times New Roman" w:eastAsia="Times New Roman" w:hAnsi="Times New Roman" w:cs="Times New Roman"/>
          <w:sz w:val="24"/>
          <w:szCs w:val="24"/>
          <w:lang w:val="en-ZW" w:eastAsia="en-ZW"/>
        </w:rPr>
        <w:t> 1971 (2) SA 81 (R) at 84A, BECK J, in </w:t>
      </w:r>
      <w:r w:rsidRPr="00943035">
        <w:rPr>
          <w:rFonts w:ascii="Times New Roman" w:eastAsia="Times New Roman" w:hAnsi="Times New Roman" w:cs="Times New Roman"/>
          <w:i/>
          <w:iCs/>
          <w:sz w:val="24"/>
          <w:szCs w:val="24"/>
          <w:lang w:val="en-ZW" w:eastAsia="en-ZW"/>
        </w:rPr>
        <w:t>Abrahamse &amp; Sons v SA Railways and Harbours</w:t>
      </w:r>
      <w:r w:rsidRPr="00943035">
        <w:rPr>
          <w:rFonts w:ascii="Times New Roman" w:eastAsia="Times New Roman" w:hAnsi="Times New Roman" w:cs="Times New Roman"/>
          <w:sz w:val="24"/>
          <w:szCs w:val="24"/>
          <w:lang w:val="en-ZW" w:eastAsia="en-ZW"/>
        </w:rPr>
        <w:t> 1933 CPD 626 at 637 WATERMEYER J stated:</w:t>
      </w:r>
    </w:p>
    <w:p w:rsidR="00080E39" w:rsidRDefault="00080E39" w:rsidP="002A180B">
      <w:pPr>
        <w:shd w:val="clear" w:color="auto" w:fill="FFFFFF"/>
        <w:spacing w:after="165" w:line="240" w:lineRule="auto"/>
        <w:ind w:left="1440"/>
        <w:jc w:val="both"/>
        <w:rPr>
          <w:rFonts w:ascii="Times New Roman" w:eastAsia="Times New Roman" w:hAnsi="Times New Roman" w:cs="Times New Roman"/>
          <w:b/>
          <w:sz w:val="24"/>
          <w:szCs w:val="24"/>
          <w:lang w:val="en-ZW" w:eastAsia="en-ZW"/>
        </w:rPr>
      </w:pPr>
      <w:r w:rsidRPr="00943035">
        <w:rPr>
          <w:rFonts w:ascii="Times New Roman" w:eastAsia="Times New Roman" w:hAnsi="Times New Roman" w:cs="Times New Roman"/>
          <w:sz w:val="24"/>
          <w:szCs w:val="24"/>
          <w:lang w:val="en-ZW" w:eastAsia="en-ZW"/>
        </w:rPr>
        <w:t>"The proper legal meaning of the expression 'cause of action' is </w:t>
      </w:r>
      <w:r w:rsidRPr="00943035">
        <w:rPr>
          <w:rFonts w:ascii="Times New Roman" w:eastAsia="Times New Roman" w:hAnsi="Times New Roman" w:cs="Times New Roman"/>
          <w:sz w:val="24"/>
          <w:szCs w:val="24"/>
          <w:u w:val="single"/>
          <w:lang w:val="en-ZW" w:eastAsia="en-ZW"/>
        </w:rPr>
        <w:t>the entire set of facts</w:t>
      </w:r>
      <w:r w:rsidRPr="00943035">
        <w:rPr>
          <w:rFonts w:ascii="Times New Roman" w:eastAsia="Times New Roman" w:hAnsi="Times New Roman" w:cs="Times New Roman"/>
          <w:sz w:val="24"/>
          <w:szCs w:val="24"/>
          <w:lang w:val="en-ZW" w:eastAsia="en-ZW"/>
        </w:rPr>
        <w:t> which gives rise to an enforceable claim and </w:t>
      </w:r>
      <w:r w:rsidRPr="00943035">
        <w:rPr>
          <w:rFonts w:ascii="Times New Roman" w:eastAsia="Times New Roman" w:hAnsi="Times New Roman" w:cs="Times New Roman"/>
          <w:sz w:val="24"/>
          <w:szCs w:val="24"/>
          <w:u w:val="single"/>
          <w:lang w:val="en-ZW" w:eastAsia="en-ZW"/>
        </w:rPr>
        <w:t>includes every act which is material to be proved to entitle a plaintiff to succeed in his claim</w:t>
      </w:r>
      <w:r w:rsidRPr="00943035">
        <w:rPr>
          <w:rFonts w:ascii="Times New Roman" w:eastAsia="Times New Roman" w:hAnsi="Times New Roman" w:cs="Times New Roman"/>
          <w:sz w:val="24"/>
          <w:szCs w:val="24"/>
          <w:lang w:val="en-ZW" w:eastAsia="en-ZW"/>
        </w:rPr>
        <w:t xml:space="preserve">.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sec </w:t>
      </w:r>
      <w:r w:rsidR="00BA675B" w:rsidRPr="00943035">
        <w:rPr>
          <w:rFonts w:ascii="Times New Roman" w:eastAsia="Times New Roman" w:hAnsi="Times New Roman" w:cs="Times New Roman"/>
          <w:sz w:val="24"/>
          <w:szCs w:val="24"/>
          <w:lang w:val="en-ZW" w:eastAsia="en-ZW"/>
        </w:rPr>
        <w:t xml:space="preserve">3, and the cases there cited.) </w:t>
      </w:r>
      <w:r w:rsidR="00BA675B" w:rsidRPr="00943035">
        <w:rPr>
          <w:rFonts w:ascii="Times New Roman" w:eastAsia="Times New Roman" w:hAnsi="Times New Roman" w:cs="Times New Roman"/>
          <w:b/>
          <w:sz w:val="24"/>
          <w:szCs w:val="24"/>
          <w:lang w:val="en-ZW" w:eastAsia="en-ZW"/>
        </w:rPr>
        <w:t>[My own emphasis]</w:t>
      </w:r>
      <w:r w:rsidRPr="00943035">
        <w:rPr>
          <w:rFonts w:ascii="Times New Roman" w:eastAsia="Times New Roman" w:hAnsi="Times New Roman" w:cs="Times New Roman"/>
          <w:b/>
          <w:sz w:val="24"/>
          <w:szCs w:val="24"/>
          <w:lang w:val="en-ZW" w:eastAsia="en-ZW"/>
        </w:rPr>
        <w:t>.</w:t>
      </w:r>
    </w:p>
    <w:p w:rsidR="002C5D83" w:rsidRPr="00EB22BD" w:rsidRDefault="002C5D83" w:rsidP="00EB22BD">
      <w:pPr>
        <w:shd w:val="clear" w:color="auto" w:fill="FFFFFF"/>
        <w:spacing w:after="0" w:line="240" w:lineRule="auto"/>
        <w:ind w:left="1440"/>
        <w:jc w:val="both"/>
        <w:rPr>
          <w:rFonts w:ascii="Times New Roman" w:eastAsia="Times New Roman" w:hAnsi="Times New Roman" w:cs="Times New Roman"/>
          <w:sz w:val="18"/>
          <w:szCs w:val="18"/>
          <w:lang w:val="en-ZW" w:eastAsia="en-ZW"/>
        </w:rPr>
      </w:pPr>
    </w:p>
    <w:p w:rsidR="00AA5659" w:rsidRPr="00F65BE2" w:rsidRDefault="002C5D83" w:rsidP="004E6155">
      <w:pPr>
        <w:pStyle w:val="NormalWeb"/>
        <w:shd w:val="clear" w:color="auto" w:fill="FFFFFF"/>
        <w:spacing w:before="0" w:beforeAutospacing="0" w:after="120" w:afterAutospacing="0" w:line="360" w:lineRule="auto"/>
        <w:ind w:firstLine="720"/>
        <w:jc w:val="both"/>
        <w:rPr>
          <w:sz w:val="22"/>
          <w:szCs w:val="22"/>
        </w:rPr>
      </w:pPr>
      <w:r>
        <w:rPr>
          <w:rStyle w:val="Emphasis"/>
          <w:i w:val="0"/>
        </w:rPr>
        <w:lastRenderedPageBreak/>
        <w:t>See also</w:t>
      </w:r>
      <w:r w:rsidR="00AD143E">
        <w:rPr>
          <w:rStyle w:val="Emphasis"/>
          <w:i w:val="0"/>
        </w:rPr>
        <w:t xml:space="preserve"> </w:t>
      </w:r>
      <w:r w:rsidR="00AA5659" w:rsidRPr="005026C9">
        <w:rPr>
          <w:rStyle w:val="Emphasis"/>
        </w:rPr>
        <w:t>Peebles </w:t>
      </w:r>
      <w:r w:rsidR="00AA5659" w:rsidRPr="005026C9">
        <w:t>v </w:t>
      </w:r>
      <w:r w:rsidR="00AA5659" w:rsidRPr="005026C9">
        <w:rPr>
          <w:rStyle w:val="Emphasis"/>
        </w:rPr>
        <w:t>Dairiboard Zimbabwe (Pvt) Ltd</w:t>
      </w:r>
      <w:r w:rsidR="00517FE0">
        <w:t> 1999 (1) ZLR 41</w:t>
      </w:r>
      <w:r w:rsidR="005C65CC">
        <w:t xml:space="preserve"> (H)</w:t>
      </w:r>
      <w:r w:rsidR="00054352">
        <w:t xml:space="preserve"> at 54E-F</w:t>
      </w:r>
      <w:r w:rsidR="00443180">
        <w:t xml:space="preserve">, </w:t>
      </w:r>
      <w:r w:rsidR="00AD143E">
        <w:t>when</w:t>
      </w:r>
      <w:r w:rsidR="00C71C9B">
        <w:t xml:space="preserve"> the concept </w:t>
      </w:r>
      <w:r w:rsidR="00C71C9B" w:rsidRPr="0016767D">
        <w:rPr>
          <w:i/>
        </w:rPr>
        <w:t>“cause of action”</w:t>
      </w:r>
      <w:r w:rsidR="00C71C9B">
        <w:t xml:space="preserve"> </w:t>
      </w:r>
      <w:r w:rsidR="00AD143E">
        <w:t xml:space="preserve">was defined </w:t>
      </w:r>
      <w:r w:rsidR="00406827">
        <w:t xml:space="preserve">by MALABA J (as he then was) </w:t>
      </w:r>
      <w:r w:rsidR="00443180">
        <w:t>to mean</w:t>
      </w:r>
      <w:r w:rsidR="00AA5659" w:rsidRPr="005026C9">
        <w:t>:</w:t>
      </w:r>
    </w:p>
    <w:p w:rsidR="00AA5659" w:rsidRPr="00F65BE2" w:rsidRDefault="00AA5659" w:rsidP="00F65BE2">
      <w:pPr>
        <w:pStyle w:val="NormalWeb"/>
        <w:shd w:val="clear" w:color="auto" w:fill="FFFFFF"/>
        <w:spacing w:before="0" w:beforeAutospacing="0"/>
        <w:ind w:left="720"/>
        <w:jc w:val="both"/>
        <w:rPr>
          <w:sz w:val="22"/>
          <w:szCs w:val="22"/>
        </w:rPr>
      </w:pPr>
      <w:r w:rsidRPr="00F65BE2">
        <w:rPr>
          <w:sz w:val="22"/>
          <w:szCs w:val="22"/>
        </w:rPr>
        <w:t>“simply a factual situation the existence of which entitles one person to obtain from the court a remedy against another person</w:t>
      </w:r>
      <w:r w:rsidR="00F65BE2" w:rsidRPr="00F65BE2">
        <w:rPr>
          <w:sz w:val="22"/>
          <w:szCs w:val="22"/>
        </w:rPr>
        <w:t>”.</w:t>
      </w:r>
    </w:p>
    <w:p w:rsidR="00F349C5" w:rsidRDefault="00016B5A" w:rsidP="00EA21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F349C5">
        <w:rPr>
          <w:rFonts w:ascii="Times New Roman" w:hAnsi="Times New Roman" w:cs="Times New Roman"/>
          <w:i/>
          <w:sz w:val="24"/>
          <w:szCs w:val="24"/>
        </w:rPr>
        <w:t>Abrahamse &amp; Sons v SA Railways and Harbours</w:t>
      </w:r>
      <w:r w:rsidR="00F349C5">
        <w:rPr>
          <w:rFonts w:ascii="Times New Roman" w:hAnsi="Times New Roman" w:cs="Times New Roman"/>
          <w:sz w:val="24"/>
          <w:szCs w:val="24"/>
        </w:rPr>
        <w:t xml:space="preserve"> 1933 CPD 626 at 637.</w:t>
      </w:r>
    </w:p>
    <w:p w:rsidR="00016B5A" w:rsidRPr="00935032" w:rsidRDefault="00016B5A" w:rsidP="00EA212A">
      <w:pPr>
        <w:spacing w:after="0" w:line="360" w:lineRule="auto"/>
        <w:jc w:val="both"/>
        <w:rPr>
          <w:rFonts w:ascii="Times New Roman" w:hAnsi="Times New Roman" w:cs="Times New Roman"/>
          <w:sz w:val="16"/>
          <w:szCs w:val="16"/>
        </w:rPr>
      </w:pPr>
      <w:r>
        <w:rPr>
          <w:rFonts w:ascii="Times New Roman" w:hAnsi="Times New Roman" w:cs="Times New Roman"/>
          <w:sz w:val="24"/>
          <w:szCs w:val="24"/>
        </w:rPr>
        <w:t xml:space="preserve"> </w:t>
      </w:r>
    </w:p>
    <w:p w:rsidR="00BA7D6A" w:rsidRDefault="009D2F45" w:rsidP="00300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already stated, t</w:t>
      </w:r>
      <w:r w:rsidR="00935032">
        <w:rPr>
          <w:rFonts w:ascii="Times New Roman" w:hAnsi="Times New Roman" w:cs="Times New Roman"/>
          <w:sz w:val="24"/>
          <w:szCs w:val="24"/>
        </w:rPr>
        <w:t xml:space="preserve">he </w:t>
      </w:r>
      <w:r w:rsidR="003C3C9E">
        <w:rPr>
          <w:rFonts w:ascii="Times New Roman" w:hAnsi="Times New Roman" w:cs="Times New Roman"/>
          <w:sz w:val="24"/>
          <w:szCs w:val="24"/>
        </w:rPr>
        <w:t>second</w:t>
      </w:r>
      <w:r w:rsidR="00935032">
        <w:rPr>
          <w:rFonts w:ascii="Times New Roman" w:hAnsi="Times New Roman" w:cs="Times New Roman"/>
          <w:sz w:val="24"/>
          <w:szCs w:val="24"/>
        </w:rPr>
        <w:t xml:space="preserve"> respondent</w:t>
      </w:r>
      <w:r w:rsidR="007A4EC1">
        <w:rPr>
          <w:rFonts w:ascii="Times New Roman" w:hAnsi="Times New Roman" w:cs="Times New Roman"/>
          <w:sz w:val="24"/>
          <w:szCs w:val="24"/>
        </w:rPr>
        <w:t xml:space="preserve"> </w:t>
      </w:r>
      <w:r>
        <w:rPr>
          <w:rFonts w:ascii="Times New Roman" w:hAnsi="Times New Roman" w:cs="Times New Roman"/>
          <w:sz w:val="24"/>
          <w:szCs w:val="24"/>
        </w:rPr>
        <w:t xml:space="preserve">argued that no cause of action can be gleaned from the applicant’s founding affidavit. </w:t>
      </w:r>
      <w:r w:rsidR="009F1083">
        <w:rPr>
          <w:rFonts w:ascii="Times New Roman" w:hAnsi="Times New Roman" w:cs="Times New Roman"/>
          <w:sz w:val="24"/>
          <w:szCs w:val="24"/>
        </w:rPr>
        <w:t xml:space="preserve">Therefore, </w:t>
      </w:r>
      <w:r w:rsidR="007A4EC1">
        <w:rPr>
          <w:rFonts w:ascii="Times New Roman" w:hAnsi="Times New Roman" w:cs="Times New Roman"/>
          <w:sz w:val="24"/>
          <w:szCs w:val="24"/>
        </w:rPr>
        <w:t>i</w:t>
      </w:r>
      <w:r w:rsidR="009F1083">
        <w:rPr>
          <w:rFonts w:ascii="Times New Roman" w:hAnsi="Times New Roman" w:cs="Times New Roman"/>
          <w:sz w:val="24"/>
          <w:szCs w:val="24"/>
        </w:rPr>
        <w:t>t is imperative for me</w:t>
      </w:r>
      <w:r w:rsidR="00462567">
        <w:rPr>
          <w:rFonts w:ascii="Times New Roman" w:hAnsi="Times New Roman" w:cs="Times New Roman"/>
          <w:sz w:val="24"/>
          <w:szCs w:val="24"/>
        </w:rPr>
        <w:t xml:space="preserve"> to examine</w:t>
      </w:r>
      <w:r w:rsidR="00626400">
        <w:rPr>
          <w:rFonts w:ascii="Times New Roman" w:hAnsi="Times New Roman" w:cs="Times New Roman"/>
          <w:sz w:val="24"/>
          <w:szCs w:val="24"/>
        </w:rPr>
        <w:t xml:space="preserve"> the principle established by the above authorities and </w:t>
      </w:r>
      <w:r w:rsidR="00631690">
        <w:rPr>
          <w:rFonts w:ascii="Times New Roman" w:hAnsi="Times New Roman" w:cs="Times New Roman"/>
          <w:sz w:val="24"/>
          <w:szCs w:val="24"/>
        </w:rPr>
        <w:t xml:space="preserve">identify </w:t>
      </w:r>
      <w:r w:rsidR="00626400">
        <w:rPr>
          <w:rFonts w:ascii="Times New Roman" w:hAnsi="Times New Roman" w:cs="Times New Roman"/>
          <w:sz w:val="24"/>
          <w:szCs w:val="24"/>
        </w:rPr>
        <w:t xml:space="preserve">the intricate link between a founding affidavit and </w:t>
      </w:r>
      <w:r w:rsidR="00631690">
        <w:rPr>
          <w:rFonts w:ascii="Times New Roman" w:hAnsi="Times New Roman" w:cs="Times New Roman"/>
          <w:sz w:val="24"/>
          <w:szCs w:val="24"/>
        </w:rPr>
        <w:t xml:space="preserve">a </w:t>
      </w:r>
      <w:r w:rsidR="00626400">
        <w:rPr>
          <w:rFonts w:ascii="Times New Roman" w:hAnsi="Times New Roman" w:cs="Times New Roman"/>
          <w:sz w:val="24"/>
          <w:szCs w:val="24"/>
        </w:rPr>
        <w:t>cause of action.</w:t>
      </w:r>
      <w:r w:rsidR="008A520B">
        <w:rPr>
          <w:rFonts w:ascii="Times New Roman" w:hAnsi="Times New Roman" w:cs="Times New Roman"/>
          <w:sz w:val="24"/>
          <w:szCs w:val="24"/>
        </w:rPr>
        <w:t xml:space="preserve"> </w:t>
      </w:r>
      <w:r w:rsidR="00A8170B">
        <w:rPr>
          <w:rFonts w:ascii="Times New Roman" w:hAnsi="Times New Roman" w:cs="Times New Roman"/>
          <w:sz w:val="24"/>
          <w:szCs w:val="24"/>
        </w:rPr>
        <w:t xml:space="preserve">To my knowledge, cases are seldom </w:t>
      </w:r>
      <w:r w:rsidR="009D63F7">
        <w:rPr>
          <w:rFonts w:ascii="Times New Roman" w:hAnsi="Times New Roman" w:cs="Times New Roman"/>
          <w:sz w:val="24"/>
          <w:szCs w:val="24"/>
        </w:rPr>
        <w:t xml:space="preserve">where </w:t>
      </w:r>
      <w:r w:rsidR="00D52A83">
        <w:rPr>
          <w:rFonts w:ascii="Times New Roman" w:hAnsi="Times New Roman" w:cs="Times New Roman"/>
          <w:sz w:val="24"/>
          <w:szCs w:val="24"/>
        </w:rPr>
        <w:t xml:space="preserve">absence of a cause of action </w:t>
      </w:r>
      <w:r w:rsidR="00A8170B">
        <w:rPr>
          <w:rFonts w:ascii="Times New Roman" w:hAnsi="Times New Roman" w:cs="Times New Roman"/>
          <w:sz w:val="24"/>
          <w:szCs w:val="24"/>
        </w:rPr>
        <w:t>has been raised in application proceedings</w:t>
      </w:r>
      <w:r w:rsidR="009D63F7">
        <w:rPr>
          <w:rFonts w:ascii="Times New Roman" w:hAnsi="Times New Roman" w:cs="Times New Roman"/>
          <w:sz w:val="24"/>
          <w:szCs w:val="24"/>
        </w:rPr>
        <w:t xml:space="preserve">. </w:t>
      </w:r>
      <w:r w:rsidR="004802B7">
        <w:rPr>
          <w:rFonts w:ascii="Times New Roman" w:hAnsi="Times New Roman" w:cs="Times New Roman"/>
          <w:sz w:val="24"/>
          <w:szCs w:val="24"/>
        </w:rPr>
        <w:t>However, I must stress that a</w:t>
      </w:r>
      <w:r w:rsidR="00E113AE">
        <w:rPr>
          <w:rFonts w:ascii="Times New Roman" w:hAnsi="Times New Roman" w:cs="Times New Roman"/>
          <w:sz w:val="24"/>
          <w:szCs w:val="24"/>
        </w:rPr>
        <w:t xml:space="preserve">s with </w:t>
      </w:r>
      <w:r w:rsidR="008A520B">
        <w:rPr>
          <w:rFonts w:ascii="Times New Roman" w:hAnsi="Times New Roman" w:cs="Times New Roman"/>
          <w:sz w:val="24"/>
          <w:szCs w:val="24"/>
        </w:rPr>
        <w:t>lawsuit</w:t>
      </w:r>
      <w:r w:rsidR="00E113AE">
        <w:rPr>
          <w:rFonts w:ascii="Times New Roman" w:hAnsi="Times New Roman" w:cs="Times New Roman"/>
          <w:sz w:val="24"/>
          <w:szCs w:val="24"/>
        </w:rPr>
        <w:t>s</w:t>
      </w:r>
      <w:r w:rsidR="008A520B">
        <w:rPr>
          <w:rFonts w:ascii="Times New Roman" w:hAnsi="Times New Roman" w:cs="Times New Roman"/>
          <w:sz w:val="24"/>
          <w:szCs w:val="24"/>
        </w:rPr>
        <w:t xml:space="preserve"> brought to court by way of summons, it is in the founding affidavit that an applicant </w:t>
      </w:r>
      <w:r w:rsidR="002661C6">
        <w:rPr>
          <w:rFonts w:ascii="Times New Roman" w:hAnsi="Times New Roman" w:cs="Times New Roman"/>
          <w:sz w:val="24"/>
          <w:szCs w:val="24"/>
        </w:rPr>
        <w:t>makes averments that establish the relief th</w:t>
      </w:r>
      <w:r w:rsidR="00E113AE">
        <w:rPr>
          <w:rFonts w:ascii="Times New Roman" w:hAnsi="Times New Roman" w:cs="Times New Roman"/>
          <w:sz w:val="24"/>
          <w:szCs w:val="24"/>
        </w:rPr>
        <w:t>at he desires in an application</w:t>
      </w:r>
      <w:r w:rsidR="002661C6">
        <w:rPr>
          <w:rFonts w:ascii="Times New Roman" w:hAnsi="Times New Roman" w:cs="Times New Roman"/>
          <w:sz w:val="24"/>
          <w:szCs w:val="24"/>
        </w:rPr>
        <w:t xml:space="preserve">. </w:t>
      </w:r>
      <w:r w:rsidR="00446FA7">
        <w:rPr>
          <w:rFonts w:ascii="Times New Roman" w:hAnsi="Times New Roman" w:cs="Times New Roman"/>
          <w:sz w:val="24"/>
          <w:szCs w:val="24"/>
        </w:rPr>
        <w:t>In this connection, i</w:t>
      </w:r>
      <w:r w:rsidR="00BA7D6A" w:rsidRPr="00446FA7">
        <w:rPr>
          <w:rFonts w:ascii="Times New Roman" w:hAnsi="Times New Roman" w:cs="Times New Roman"/>
          <w:sz w:val="24"/>
          <w:szCs w:val="24"/>
        </w:rPr>
        <w:t>t has been stated in a number of judgments of this Court that an application stands or fa</w:t>
      </w:r>
      <w:r w:rsidR="00183D2E">
        <w:rPr>
          <w:rFonts w:ascii="Times New Roman" w:hAnsi="Times New Roman" w:cs="Times New Roman"/>
          <w:sz w:val="24"/>
          <w:szCs w:val="24"/>
        </w:rPr>
        <w:t>lls on its founding affidavit. For instance, i</w:t>
      </w:r>
      <w:r w:rsidR="00BA7D6A" w:rsidRPr="00446FA7">
        <w:rPr>
          <w:rFonts w:ascii="Times New Roman" w:hAnsi="Times New Roman" w:cs="Times New Roman"/>
          <w:sz w:val="24"/>
          <w:szCs w:val="24"/>
        </w:rPr>
        <w:t>n </w:t>
      </w:r>
      <w:r w:rsidR="00BA7D6A" w:rsidRPr="00446FA7">
        <w:rPr>
          <w:rFonts w:ascii="Times New Roman" w:hAnsi="Times New Roman" w:cs="Times New Roman"/>
          <w:i/>
          <w:iCs/>
          <w:sz w:val="24"/>
          <w:szCs w:val="24"/>
        </w:rPr>
        <w:t xml:space="preserve">Muchini </w:t>
      </w:r>
      <w:r w:rsidR="00BA7D6A" w:rsidRPr="003C3C9E">
        <w:rPr>
          <w:rFonts w:ascii="Times New Roman" w:hAnsi="Times New Roman" w:cs="Times New Roman"/>
          <w:iCs/>
          <w:sz w:val="24"/>
          <w:szCs w:val="24"/>
        </w:rPr>
        <w:t>v</w:t>
      </w:r>
      <w:r w:rsidR="00BA7D6A" w:rsidRPr="00446FA7">
        <w:rPr>
          <w:rFonts w:ascii="Times New Roman" w:hAnsi="Times New Roman" w:cs="Times New Roman"/>
          <w:i/>
          <w:iCs/>
          <w:sz w:val="24"/>
          <w:szCs w:val="24"/>
        </w:rPr>
        <w:t xml:space="preserve"> Adams &amp; Ors</w:t>
      </w:r>
      <w:r w:rsidR="002E2EC8">
        <w:rPr>
          <w:rFonts w:ascii="Times New Roman" w:hAnsi="Times New Roman" w:cs="Times New Roman"/>
          <w:sz w:val="24"/>
          <w:szCs w:val="24"/>
        </w:rPr>
        <w:t xml:space="preserve"> SC 47/13 at p 4, </w:t>
      </w:r>
      <w:r w:rsidR="002E2EC8">
        <w:rPr>
          <w:rFonts w:ascii="Times New Roman" w:hAnsi="Times New Roman" w:cs="Times New Roman"/>
          <w:smallCaps/>
          <w:sz w:val="24"/>
          <w:szCs w:val="24"/>
        </w:rPr>
        <w:t>ZIYAMBI JA</w:t>
      </w:r>
      <w:r w:rsidR="00BA7D6A" w:rsidRPr="00446FA7">
        <w:rPr>
          <w:rFonts w:ascii="Times New Roman" w:hAnsi="Times New Roman" w:cs="Times New Roman"/>
          <w:sz w:val="24"/>
          <w:szCs w:val="24"/>
        </w:rPr>
        <w:t xml:space="preserve"> pertinently observed that:</w:t>
      </w:r>
    </w:p>
    <w:p w:rsidR="00183D2E" w:rsidRPr="00183D2E" w:rsidRDefault="00183D2E" w:rsidP="00446FA7">
      <w:pPr>
        <w:spacing w:after="0" w:line="360" w:lineRule="auto"/>
        <w:jc w:val="both"/>
        <w:rPr>
          <w:rFonts w:ascii="Times New Roman" w:hAnsi="Times New Roman" w:cs="Times New Roman"/>
          <w:sz w:val="16"/>
          <w:szCs w:val="16"/>
        </w:rPr>
      </w:pPr>
    </w:p>
    <w:p w:rsidR="00BA7D6A" w:rsidRPr="00183D2E" w:rsidRDefault="00BA7D6A" w:rsidP="00BA7D6A">
      <w:pPr>
        <w:pStyle w:val="NormalWeb"/>
        <w:shd w:val="clear" w:color="auto" w:fill="FFFFFF"/>
        <w:spacing w:before="0" w:beforeAutospacing="0" w:after="165" w:afterAutospacing="0"/>
        <w:ind w:left="720"/>
        <w:jc w:val="both"/>
        <w:rPr>
          <w:rFonts w:ascii="Arial" w:hAnsi="Arial" w:cs="Arial"/>
          <w:sz w:val="22"/>
          <w:szCs w:val="22"/>
        </w:rPr>
      </w:pPr>
      <w:r w:rsidRPr="00183D2E">
        <w:rPr>
          <w:sz w:val="22"/>
          <w:szCs w:val="22"/>
        </w:rPr>
        <w:t>“It is trite that an application stands or falls on the averments made in the founding affidavit. See </w:t>
      </w:r>
      <w:r w:rsidRPr="00183D2E">
        <w:rPr>
          <w:i/>
          <w:iCs/>
          <w:sz w:val="22"/>
          <w:szCs w:val="22"/>
        </w:rPr>
        <w:t>Herbstein </w:t>
      </w:r>
      <w:r w:rsidRPr="00183D2E">
        <w:rPr>
          <w:sz w:val="22"/>
          <w:szCs w:val="22"/>
        </w:rPr>
        <w:t>&amp; </w:t>
      </w:r>
      <w:r w:rsidRPr="00183D2E">
        <w:rPr>
          <w:i/>
          <w:iCs/>
          <w:sz w:val="22"/>
          <w:szCs w:val="22"/>
        </w:rPr>
        <w:t>van Winsen</w:t>
      </w:r>
      <w:r w:rsidRPr="00183D2E">
        <w:rPr>
          <w:sz w:val="22"/>
          <w:szCs w:val="22"/>
        </w:rPr>
        <w:t> the Civil Practice of the Superior Courts in South Africa 3</w:t>
      </w:r>
      <w:r w:rsidRPr="00183D2E">
        <w:rPr>
          <w:sz w:val="22"/>
          <w:szCs w:val="22"/>
          <w:vertAlign w:val="superscript"/>
        </w:rPr>
        <w:t>rd</w:t>
      </w:r>
      <w:r w:rsidRPr="00183D2E">
        <w:rPr>
          <w:sz w:val="22"/>
          <w:szCs w:val="22"/>
        </w:rPr>
        <w:t> ed p 80 where the authors state:</w:t>
      </w:r>
    </w:p>
    <w:p w:rsidR="00BA7D6A" w:rsidRPr="00183D2E" w:rsidRDefault="00BA7D6A" w:rsidP="00020646">
      <w:pPr>
        <w:pStyle w:val="NormalWeb"/>
        <w:shd w:val="clear" w:color="auto" w:fill="FFFFFF"/>
        <w:spacing w:before="0" w:beforeAutospacing="0" w:after="0" w:afterAutospacing="0"/>
        <w:ind w:left="1440"/>
        <w:jc w:val="both"/>
        <w:rPr>
          <w:rFonts w:ascii="Arial" w:hAnsi="Arial" w:cs="Arial"/>
          <w:sz w:val="22"/>
          <w:szCs w:val="22"/>
        </w:rPr>
      </w:pPr>
      <w:r w:rsidRPr="00183D2E">
        <w:rPr>
          <w:sz w:val="22"/>
          <w:szCs w:val="22"/>
        </w:rPr>
        <w:t>“</w:t>
      </w:r>
      <w:r w:rsidRPr="0079539C">
        <w:rPr>
          <w:sz w:val="22"/>
          <w:szCs w:val="22"/>
          <w:u w:val="single"/>
        </w:rPr>
        <w:t>The general rule, however, which has been laid down repeatedly is that an applicant must stand or fall by his founding affidavit and the facts alleged therein</w:t>
      </w:r>
      <w:r w:rsidRPr="00183D2E">
        <w:rPr>
          <w:sz w:val="22"/>
          <w:szCs w:val="22"/>
        </w:rPr>
        <w:t>,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r w:rsidR="00A541BC">
        <w:rPr>
          <w:sz w:val="22"/>
          <w:szCs w:val="22"/>
        </w:rPr>
        <w:t xml:space="preserve">. </w:t>
      </w:r>
      <w:r w:rsidR="00A541BC" w:rsidRPr="00A541BC">
        <w:rPr>
          <w:b/>
          <w:sz w:val="22"/>
          <w:szCs w:val="22"/>
        </w:rPr>
        <w:t>[My own emphasis]</w:t>
      </w:r>
    </w:p>
    <w:p w:rsidR="00020646" w:rsidRDefault="00020646" w:rsidP="00EA212A">
      <w:pPr>
        <w:spacing w:after="0" w:line="360" w:lineRule="auto"/>
        <w:jc w:val="both"/>
        <w:rPr>
          <w:rFonts w:ascii="Times New Roman" w:hAnsi="Times New Roman" w:cs="Times New Roman"/>
          <w:sz w:val="24"/>
          <w:szCs w:val="24"/>
        </w:rPr>
      </w:pPr>
    </w:p>
    <w:p w:rsidR="00C477B3" w:rsidRDefault="00737983" w:rsidP="009F69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Bearing in mind</w:t>
      </w:r>
      <w:r w:rsidR="004954FE">
        <w:rPr>
          <w:rFonts w:ascii="Times New Roman" w:hAnsi="Times New Roman" w:cs="Times New Roman"/>
          <w:sz w:val="24"/>
          <w:szCs w:val="24"/>
        </w:rPr>
        <w:t xml:space="preserve"> ZIYAMBI J’s </w:t>
      </w:r>
      <w:r w:rsidR="00025C0A">
        <w:rPr>
          <w:rFonts w:ascii="Times New Roman" w:hAnsi="Times New Roman" w:cs="Times New Roman"/>
          <w:sz w:val="24"/>
          <w:szCs w:val="24"/>
        </w:rPr>
        <w:t>elucidation of the law vis-à-vis founding affidavits in application proceedings</w:t>
      </w:r>
      <w:r w:rsidR="00880DAC">
        <w:rPr>
          <w:rFonts w:ascii="Times New Roman" w:hAnsi="Times New Roman" w:cs="Times New Roman"/>
          <w:sz w:val="24"/>
          <w:szCs w:val="24"/>
        </w:rPr>
        <w:t xml:space="preserve">, </w:t>
      </w:r>
      <w:r w:rsidR="00687AE4">
        <w:rPr>
          <w:rFonts w:ascii="Times New Roman" w:hAnsi="Times New Roman" w:cs="Times New Roman"/>
          <w:sz w:val="24"/>
          <w:szCs w:val="24"/>
        </w:rPr>
        <w:t xml:space="preserve">it is important </w:t>
      </w:r>
      <w:r w:rsidR="00BB090D">
        <w:rPr>
          <w:rFonts w:ascii="Times New Roman" w:hAnsi="Times New Roman" w:cs="Times New Roman"/>
          <w:sz w:val="24"/>
          <w:szCs w:val="24"/>
        </w:rPr>
        <w:t xml:space="preserve">to look at </w:t>
      </w:r>
      <w:r>
        <w:rPr>
          <w:rFonts w:ascii="Times New Roman" w:hAnsi="Times New Roman" w:cs="Times New Roman"/>
          <w:sz w:val="24"/>
          <w:szCs w:val="24"/>
        </w:rPr>
        <w:t xml:space="preserve">the </w:t>
      </w:r>
      <w:r w:rsidR="00462567">
        <w:rPr>
          <w:rFonts w:ascii="Times New Roman" w:hAnsi="Times New Roman" w:cs="Times New Roman"/>
          <w:sz w:val="24"/>
          <w:szCs w:val="24"/>
        </w:rPr>
        <w:t>founding affidavit</w:t>
      </w:r>
      <w:r w:rsidR="00687AE4">
        <w:rPr>
          <w:rFonts w:ascii="Times New Roman" w:hAnsi="Times New Roman" w:cs="Times New Roman"/>
          <w:sz w:val="24"/>
          <w:szCs w:val="24"/>
        </w:rPr>
        <w:t xml:space="preserve"> in order </w:t>
      </w:r>
      <w:r w:rsidR="00462567">
        <w:rPr>
          <w:rFonts w:ascii="Times New Roman" w:hAnsi="Times New Roman" w:cs="Times New Roman"/>
          <w:sz w:val="24"/>
          <w:szCs w:val="24"/>
        </w:rPr>
        <w:t xml:space="preserve">to </w:t>
      </w:r>
      <w:r w:rsidR="003139D1">
        <w:rPr>
          <w:rFonts w:ascii="Times New Roman" w:hAnsi="Times New Roman" w:cs="Times New Roman"/>
          <w:sz w:val="24"/>
          <w:szCs w:val="24"/>
        </w:rPr>
        <w:t>ascertain</w:t>
      </w:r>
      <w:r w:rsidR="00462567">
        <w:rPr>
          <w:rFonts w:ascii="Times New Roman" w:hAnsi="Times New Roman" w:cs="Times New Roman"/>
          <w:sz w:val="24"/>
          <w:szCs w:val="24"/>
        </w:rPr>
        <w:t xml:space="preserve"> whether or not the averments </w:t>
      </w:r>
      <w:r w:rsidR="009F7EAF">
        <w:rPr>
          <w:rFonts w:ascii="Times New Roman" w:hAnsi="Times New Roman" w:cs="Times New Roman"/>
          <w:sz w:val="24"/>
          <w:szCs w:val="24"/>
        </w:rPr>
        <w:t xml:space="preserve">as pleaded disclose a cause of action. </w:t>
      </w:r>
      <w:r w:rsidR="006E7FF5">
        <w:rPr>
          <w:rFonts w:ascii="Times New Roman" w:hAnsi="Times New Roman" w:cs="Times New Roman"/>
          <w:sz w:val="24"/>
          <w:szCs w:val="24"/>
        </w:rPr>
        <w:t>I</w:t>
      </w:r>
      <w:r w:rsidR="004B566E">
        <w:rPr>
          <w:rFonts w:ascii="Times New Roman" w:hAnsi="Times New Roman" w:cs="Times New Roman"/>
          <w:sz w:val="24"/>
          <w:szCs w:val="24"/>
        </w:rPr>
        <w:t xml:space="preserve">n other words, I have to decide if the applicant has </w:t>
      </w:r>
      <w:r w:rsidR="00776DF5">
        <w:rPr>
          <w:rFonts w:ascii="Times New Roman" w:hAnsi="Times New Roman" w:cs="Times New Roman"/>
          <w:sz w:val="24"/>
          <w:szCs w:val="24"/>
        </w:rPr>
        <w:t>alleged facts which meet</w:t>
      </w:r>
      <w:r w:rsidR="006E7FF5">
        <w:rPr>
          <w:rFonts w:ascii="Times New Roman" w:hAnsi="Times New Roman" w:cs="Times New Roman"/>
          <w:sz w:val="24"/>
          <w:szCs w:val="24"/>
        </w:rPr>
        <w:t xml:space="preserve"> the requirements </w:t>
      </w:r>
      <w:r w:rsidR="00776DF5">
        <w:rPr>
          <w:rFonts w:ascii="Times New Roman" w:hAnsi="Times New Roman" w:cs="Times New Roman"/>
          <w:sz w:val="24"/>
          <w:szCs w:val="24"/>
        </w:rPr>
        <w:t>which establish the relief that he is seeking</w:t>
      </w:r>
      <w:r w:rsidR="006D2B20">
        <w:rPr>
          <w:rFonts w:ascii="Times New Roman" w:hAnsi="Times New Roman" w:cs="Times New Roman"/>
          <w:sz w:val="24"/>
          <w:szCs w:val="24"/>
        </w:rPr>
        <w:t>. As a starting point, l</w:t>
      </w:r>
      <w:r w:rsidR="00FE5D9F">
        <w:rPr>
          <w:rFonts w:ascii="Times New Roman" w:hAnsi="Times New Roman" w:cs="Times New Roman"/>
          <w:sz w:val="24"/>
          <w:szCs w:val="24"/>
        </w:rPr>
        <w:t xml:space="preserve">et me return to </w:t>
      </w:r>
      <w:r w:rsidR="006367DC">
        <w:rPr>
          <w:rFonts w:ascii="Times New Roman" w:hAnsi="Times New Roman" w:cs="Times New Roman"/>
          <w:sz w:val="24"/>
          <w:szCs w:val="24"/>
        </w:rPr>
        <w:t xml:space="preserve">examine </w:t>
      </w:r>
      <w:r w:rsidR="00FE5D9F">
        <w:rPr>
          <w:rFonts w:ascii="Times New Roman" w:hAnsi="Times New Roman" w:cs="Times New Roman"/>
          <w:sz w:val="24"/>
          <w:szCs w:val="24"/>
        </w:rPr>
        <w:t xml:space="preserve">the declaratory relief that the applicant is </w:t>
      </w:r>
      <w:r w:rsidR="006367DC">
        <w:rPr>
          <w:rFonts w:ascii="Times New Roman" w:hAnsi="Times New Roman" w:cs="Times New Roman"/>
          <w:sz w:val="24"/>
          <w:szCs w:val="24"/>
        </w:rPr>
        <w:t>for.</w:t>
      </w:r>
      <w:r w:rsidR="00465F0D">
        <w:rPr>
          <w:rFonts w:ascii="Times New Roman" w:hAnsi="Times New Roman" w:cs="Times New Roman"/>
          <w:sz w:val="24"/>
          <w:szCs w:val="24"/>
        </w:rPr>
        <w:t xml:space="preserve"> </w:t>
      </w:r>
      <w:r w:rsidR="00465F0D">
        <w:rPr>
          <w:rFonts w:ascii="Times New Roman" w:hAnsi="Times New Roman" w:cs="Times New Roman"/>
          <w:sz w:val="24"/>
          <w:szCs w:val="24"/>
        </w:rPr>
        <w:lastRenderedPageBreak/>
        <w:t xml:space="preserve">It is </w:t>
      </w:r>
      <w:r w:rsidR="002301DD">
        <w:rPr>
          <w:rFonts w:ascii="Times New Roman" w:hAnsi="Times New Roman" w:cs="Times New Roman"/>
          <w:sz w:val="24"/>
          <w:szCs w:val="24"/>
        </w:rPr>
        <w:t xml:space="preserve">plainly clear that, she seeks a declaratory order </w:t>
      </w:r>
      <w:r w:rsidR="00521372">
        <w:rPr>
          <w:rFonts w:ascii="Times New Roman" w:hAnsi="Times New Roman" w:cs="Times New Roman"/>
          <w:sz w:val="24"/>
          <w:szCs w:val="24"/>
        </w:rPr>
        <w:t xml:space="preserve">which cancels Deed of Transfer No. 538/21 in the name of the </w:t>
      </w:r>
      <w:r w:rsidR="003C3C9E">
        <w:rPr>
          <w:rFonts w:ascii="Times New Roman" w:hAnsi="Times New Roman" w:cs="Times New Roman"/>
          <w:sz w:val="24"/>
          <w:szCs w:val="24"/>
        </w:rPr>
        <w:t>second</w:t>
      </w:r>
      <w:r w:rsidR="006D2B20">
        <w:rPr>
          <w:rFonts w:ascii="Times New Roman" w:hAnsi="Times New Roman" w:cs="Times New Roman"/>
          <w:sz w:val="24"/>
          <w:szCs w:val="24"/>
        </w:rPr>
        <w:t xml:space="preserve"> respondent. The basis for asking for this kind of order is that, firstly, </w:t>
      </w:r>
      <w:r w:rsidR="00397F2B">
        <w:rPr>
          <w:rFonts w:ascii="Times New Roman" w:hAnsi="Times New Roman" w:cs="Times New Roman"/>
          <w:sz w:val="24"/>
          <w:szCs w:val="24"/>
        </w:rPr>
        <w:t xml:space="preserve">the Supreme Court order which awarded her an 80% shareholding in the </w:t>
      </w:r>
      <w:r w:rsidR="003C3C9E">
        <w:rPr>
          <w:rFonts w:ascii="Times New Roman" w:hAnsi="Times New Roman" w:cs="Times New Roman"/>
          <w:sz w:val="24"/>
          <w:szCs w:val="24"/>
        </w:rPr>
        <w:t>first</w:t>
      </w:r>
      <w:r w:rsidR="00CA3292">
        <w:rPr>
          <w:rFonts w:ascii="Times New Roman" w:hAnsi="Times New Roman" w:cs="Times New Roman"/>
          <w:sz w:val="24"/>
          <w:szCs w:val="24"/>
        </w:rPr>
        <w:t xml:space="preserve"> respondent means that the property, Stand 9064, could not be sold to the </w:t>
      </w:r>
      <w:r w:rsidR="003C3C9E">
        <w:rPr>
          <w:rFonts w:ascii="Times New Roman" w:hAnsi="Times New Roman" w:cs="Times New Roman"/>
          <w:sz w:val="24"/>
          <w:szCs w:val="24"/>
        </w:rPr>
        <w:t>second</w:t>
      </w:r>
      <w:r w:rsidR="00CA3292">
        <w:rPr>
          <w:rFonts w:ascii="Times New Roman" w:hAnsi="Times New Roman" w:cs="Times New Roman"/>
          <w:sz w:val="24"/>
          <w:szCs w:val="24"/>
        </w:rPr>
        <w:t xml:space="preserve"> respondent</w:t>
      </w:r>
      <w:r w:rsidR="000F5A9D">
        <w:rPr>
          <w:rFonts w:ascii="Times New Roman" w:hAnsi="Times New Roman" w:cs="Times New Roman"/>
          <w:sz w:val="24"/>
          <w:szCs w:val="24"/>
        </w:rPr>
        <w:t>.</w:t>
      </w:r>
      <w:r w:rsidR="000350BD">
        <w:rPr>
          <w:rFonts w:ascii="Times New Roman" w:hAnsi="Times New Roman" w:cs="Times New Roman"/>
          <w:sz w:val="24"/>
          <w:szCs w:val="24"/>
        </w:rPr>
        <w:t xml:space="preserve"> The case of </w:t>
      </w:r>
      <w:r w:rsidR="000350BD" w:rsidRPr="003A0EF3">
        <w:rPr>
          <w:rFonts w:ascii="Times New Roman" w:hAnsi="Times New Roman" w:cs="Times New Roman"/>
          <w:i/>
          <w:sz w:val="24"/>
          <w:szCs w:val="24"/>
        </w:rPr>
        <w:t xml:space="preserve">Borland’s Trustees v Steel Bros &amp; Co supra </w:t>
      </w:r>
      <w:r w:rsidR="000350BD">
        <w:rPr>
          <w:rFonts w:ascii="Times New Roman" w:hAnsi="Times New Roman" w:cs="Times New Roman"/>
          <w:sz w:val="24"/>
          <w:szCs w:val="24"/>
        </w:rPr>
        <w:t>is germane to this issue.</w:t>
      </w:r>
      <w:r w:rsidR="000F5A9D">
        <w:rPr>
          <w:rFonts w:ascii="Times New Roman" w:hAnsi="Times New Roman" w:cs="Times New Roman"/>
          <w:sz w:val="24"/>
          <w:szCs w:val="24"/>
        </w:rPr>
        <w:t xml:space="preserve"> </w:t>
      </w:r>
      <w:r w:rsidR="00F31DAE">
        <w:rPr>
          <w:rFonts w:ascii="Times New Roman" w:hAnsi="Times New Roman" w:cs="Times New Roman"/>
          <w:sz w:val="24"/>
          <w:szCs w:val="24"/>
        </w:rPr>
        <w:t>FARW</w:t>
      </w:r>
      <w:r w:rsidR="00904E58">
        <w:rPr>
          <w:rFonts w:ascii="Times New Roman" w:hAnsi="Times New Roman" w:cs="Times New Roman"/>
          <w:sz w:val="24"/>
          <w:szCs w:val="24"/>
        </w:rPr>
        <w:t xml:space="preserve">EL J </w:t>
      </w:r>
      <w:r w:rsidR="00A12D03">
        <w:rPr>
          <w:rFonts w:ascii="Times New Roman" w:hAnsi="Times New Roman" w:cs="Times New Roman"/>
          <w:sz w:val="24"/>
          <w:szCs w:val="24"/>
        </w:rPr>
        <w:t xml:space="preserve">(at 287-291) </w:t>
      </w:r>
      <w:r w:rsidR="00904E58">
        <w:rPr>
          <w:rFonts w:ascii="Times New Roman" w:hAnsi="Times New Roman" w:cs="Times New Roman"/>
          <w:sz w:val="24"/>
          <w:szCs w:val="24"/>
        </w:rPr>
        <w:t>had this to say:</w:t>
      </w:r>
    </w:p>
    <w:p w:rsidR="00904E58" w:rsidRPr="00904E58" w:rsidRDefault="00904E58" w:rsidP="00EA212A">
      <w:pPr>
        <w:spacing w:after="0" w:line="360" w:lineRule="auto"/>
        <w:jc w:val="both"/>
        <w:rPr>
          <w:rFonts w:ascii="Times New Roman" w:hAnsi="Times New Roman" w:cs="Times New Roman"/>
          <w:sz w:val="12"/>
          <w:szCs w:val="12"/>
        </w:rPr>
      </w:pPr>
    </w:p>
    <w:p w:rsidR="00904E58" w:rsidRDefault="00904E58" w:rsidP="00904E58">
      <w:pPr>
        <w:spacing w:after="0" w:line="240" w:lineRule="auto"/>
        <w:ind w:left="720"/>
        <w:jc w:val="both"/>
        <w:rPr>
          <w:rFonts w:ascii="Times New Roman" w:hAnsi="Times New Roman" w:cs="Times New Roman"/>
          <w:b/>
          <w:iCs/>
          <w:color w:val="202122"/>
          <w:shd w:val="clear" w:color="auto" w:fill="FFFFFF"/>
        </w:rPr>
      </w:pPr>
      <w:r w:rsidRPr="00904E58">
        <w:rPr>
          <w:rFonts w:ascii="Times New Roman" w:hAnsi="Times New Roman" w:cs="Times New Roman"/>
        </w:rPr>
        <w:t>“</w:t>
      </w:r>
      <w:r w:rsidRPr="00F31DAE">
        <w:rPr>
          <w:rFonts w:ascii="Times New Roman" w:hAnsi="Times New Roman" w:cs="Times New Roman"/>
          <w:color w:val="202122"/>
          <w:shd w:val="clear" w:color="auto" w:fill="FFFFFF"/>
        </w:rPr>
        <w:t>A share is the interest of a shareholder in the company measured by a sum of money, for the purpose of liability in the first place, and of interest in the second, but also consisting of a series of mutual covenants entered into by all the shareholders inter se in accordance with s 16 of the </w:t>
      </w:r>
      <w:hyperlink r:id="rId7" w:tooltip="Companies Act 1862" w:history="1">
        <w:r w:rsidRPr="00F31DAE">
          <w:rPr>
            <w:rStyle w:val="Hyperlink"/>
            <w:rFonts w:ascii="Times New Roman" w:hAnsi="Times New Roman" w:cs="Times New Roman"/>
            <w:color w:val="auto"/>
            <w:u w:val="none"/>
            <w:shd w:val="clear" w:color="auto" w:fill="FFFFFF"/>
          </w:rPr>
          <w:t>Companies Act 1862</w:t>
        </w:r>
      </w:hyperlink>
      <w:r w:rsidRPr="00F31DAE">
        <w:rPr>
          <w:rFonts w:ascii="Times New Roman" w:hAnsi="Times New Roman" w:cs="Times New Roman"/>
          <w:color w:val="202122"/>
          <w:shd w:val="clear" w:color="auto" w:fill="FFFFFF"/>
        </w:rPr>
        <w:t>.</w:t>
      </w:r>
      <w:r w:rsidRPr="00904E58">
        <w:rPr>
          <w:rFonts w:ascii="Times New Roman" w:hAnsi="Times New Roman" w:cs="Times New Roman"/>
          <w:color w:val="202122"/>
          <w:shd w:val="clear" w:color="auto" w:fill="FFFFFF"/>
        </w:rPr>
        <w:t xml:space="preserve"> The contract contained in the articles of association is one of the original incidents of the share. </w:t>
      </w:r>
      <w:r w:rsidRPr="00F31DAE">
        <w:rPr>
          <w:rFonts w:ascii="Times New Roman" w:hAnsi="Times New Roman" w:cs="Times New Roman"/>
          <w:color w:val="202122"/>
          <w:u w:val="single"/>
          <w:shd w:val="clear" w:color="auto" w:fill="FFFFFF"/>
        </w:rPr>
        <w:t>A share is not a sum of money settled in the way suggested, but is an interest measured by a sum of money and made up of various rights contained in the contract, including the right to a sum of money of a more or less amount.</w:t>
      </w:r>
      <w:r w:rsidRPr="00904E58">
        <w:rPr>
          <w:rFonts w:ascii="Times New Roman" w:hAnsi="Times New Roman" w:cs="Times New Roman"/>
          <w:color w:val="202122"/>
          <w:shd w:val="clear" w:color="auto" w:fill="FFFFFF"/>
        </w:rPr>
        <w:t xml:space="preserve"> That view seems to me to be supported by the authority of </w:t>
      </w:r>
      <w:hyperlink r:id="rId8" w:tooltip="New London and Brazilian Bank v Brocklebank (page does not exist)" w:history="1">
        <w:r w:rsidRPr="00E124AA">
          <w:rPr>
            <w:rStyle w:val="Hyperlink"/>
            <w:rFonts w:ascii="Times New Roman" w:hAnsi="Times New Roman" w:cs="Times New Roman"/>
            <w:i/>
            <w:iCs/>
            <w:color w:val="auto"/>
            <w:u w:val="none"/>
            <w:shd w:val="clear" w:color="auto" w:fill="FFFFFF"/>
          </w:rPr>
          <w:t>New London and Brazilian Bank v Brocklebank</w:t>
        </w:r>
      </w:hyperlink>
      <w:r w:rsidR="00E124AA">
        <w:rPr>
          <w:rFonts w:ascii="Times New Roman" w:hAnsi="Times New Roman" w:cs="Times New Roman"/>
          <w:i/>
          <w:iCs/>
          <w:color w:val="202122"/>
          <w:shd w:val="clear" w:color="auto" w:fill="FFFFFF"/>
        </w:rPr>
        <w:t>”.</w:t>
      </w:r>
      <w:r w:rsidR="00F40F10">
        <w:rPr>
          <w:rFonts w:ascii="Times New Roman" w:hAnsi="Times New Roman" w:cs="Times New Roman"/>
          <w:iCs/>
          <w:color w:val="202122"/>
          <w:shd w:val="clear" w:color="auto" w:fill="FFFFFF"/>
        </w:rPr>
        <w:t xml:space="preserve"> </w:t>
      </w:r>
      <w:r w:rsidR="00F40F10" w:rsidRPr="00F40F10">
        <w:rPr>
          <w:rFonts w:ascii="Times New Roman" w:hAnsi="Times New Roman" w:cs="Times New Roman"/>
          <w:b/>
          <w:iCs/>
          <w:color w:val="202122"/>
          <w:shd w:val="clear" w:color="auto" w:fill="FFFFFF"/>
        </w:rPr>
        <w:t>[My own emphasis]</w:t>
      </w:r>
    </w:p>
    <w:p w:rsidR="00A04092" w:rsidRDefault="00A04092" w:rsidP="00904E58">
      <w:pPr>
        <w:spacing w:after="0" w:line="240" w:lineRule="auto"/>
        <w:ind w:left="720"/>
        <w:jc w:val="both"/>
        <w:rPr>
          <w:rFonts w:ascii="Times New Roman" w:hAnsi="Times New Roman" w:cs="Times New Roman"/>
          <w:b/>
          <w:iCs/>
          <w:color w:val="202122"/>
          <w:shd w:val="clear" w:color="auto" w:fill="FFFFFF"/>
        </w:rPr>
      </w:pPr>
    </w:p>
    <w:p w:rsidR="00A04092" w:rsidRPr="00353D75" w:rsidRDefault="00D9204A" w:rsidP="00D9204A">
      <w:pPr>
        <w:spacing w:after="0" w:line="240" w:lineRule="auto"/>
        <w:jc w:val="both"/>
        <w:rPr>
          <w:rFonts w:ascii="Times New Roman" w:hAnsi="Times New Roman" w:cs="Times New Roman"/>
        </w:rPr>
      </w:pPr>
      <w:r w:rsidRPr="00353D75">
        <w:rPr>
          <w:rFonts w:ascii="Times New Roman" w:hAnsi="Times New Roman" w:cs="Times New Roman"/>
          <w:iCs/>
          <w:sz w:val="24"/>
          <w:szCs w:val="24"/>
          <w:shd w:val="clear" w:color="auto" w:fill="FFFFFF"/>
        </w:rPr>
        <w:t xml:space="preserve">See also </w:t>
      </w:r>
      <w:hyperlink r:id="rId9" w:anchor="Navigator/Cambridge_Group_bankruptcy_(2003%E2%80%932006)" w:history="1">
        <w:r w:rsidR="00A04092" w:rsidRPr="00353D75">
          <w:rPr>
            <w:rStyle w:val="Hyperlink"/>
            <w:rFonts w:ascii="Times New Roman" w:hAnsi="Times New Roman" w:cs="Times New Roman"/>
            <w:i/>
            <w:iCs/>
            <w:color w:val="auto"/>
            <w:sz w:val="24"/>
            <w:szCs w:val="24"/>
            <w:u w:val="none"/>
            <w:shd w:val="clear" w:color="auto" w:fill="FFFFFF"/>
          </w:rPr>
          <w:t>Cambridge Gas Transport Corp v Official Committee of Unsecured Creditors (of Navigator Holdings Plc and Others)</w:t>
        </w:r>
      </w:hyperlink>
      <w:r w:rsidR="00A04092" w:rsidRPr="00353D75">
        <w:rPr>
          <w:rFonts w:ascii="Arial" w:hAnsi="Arial" w:cs="Arial"/>
          <w:sz w:val="21"/>
          <w:szCs w:val="21"/>
          <w:shd w:val="clear" w:color="auto" w:fill="FFFFFF"/>
        </w:rPr>
        <w:t> </w:t>
      </w:r>
      <w:r w:rsidR="00353D75" w:rsidRPr="00353D75">
        <w:rPr>
          <w:rFonts w:ascii="Arial" w:hAnsi="Arial" w:cs="Arial"/>
          <w:sz w:val="21"/>
          <w:szCs w:val="21"/>
          <w:shd w:val="clear" w:color="auto" w:fill="FFFFFF"/>
        </w:rPr>
        <w:t>[2007</w:t>
      </w:r>
      <w:r w:rsidR="00A04092" w:rsidRPr="00353D75">
        <w:rPr>
          <w:rFonts w:ascii="Arial" w:hAnsi="Arial" w:cs="Arial"/>
          <w:sz w:val="21"/>
          <w:szCs w:val="21"/>
          <w:shd w:val="clear" w:color="auto" w:fill="FFFFFF"/>
        </w:rPr>
        <w:t>]</w:t>
      </w:r>
      <w:r w:rsidR="00353D75" w:rsidRPr="00353D75">
        <w:rPr>
          <w:rFonts w:ascii="Arial" w:hAnsi="Arial" w:cs="Arial"/>
          <w:sz w:val="21"/>
          <w:szCs w:val="21"/>
          <w:shd w:val="clear" w:color="auto" w:fill="FFFFFF"/>
        </w:rPr>
        <w:t xml:space="preserve"> 1 AC 508</w:t>
      </w:r>
    </w:p>
    <w:p w:rsidR="00C477B3" w:rsidRDefault="00C477B3" w:rsidP="00EA212A">
      <w:pPr>
        <w:spacing w:after="0" w:line="360" w:lineRule="auto"/>
        <w:jc w:val="both"/>
        <w:rPr>
          <w:rFonts w:ascii="Times New Roman" w:hAnsi="Times New Roman" w:cs="Times New Roman"/>
          <w:sz w:val="24"/>
          <w:szCs w:val="24"/>
        </w:rPr>
      </w:pPr>
    </w:p>
    <w:p w:rsidR="00314DBA" w:rsidRPr="003005FD" w:rsidRDefault="00F40F10" w:rsidP="00300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respectfully agree with the learned judge’s conceptualization of shares in a company, and see nothing from the Supreme Court that remotely </w:t>
      </w:r>
      <w:r w:rsidR="00F9033F">
        <w:rPr>
          <w:rFonts w:ascii="Times New Roman" w:hAnsi="Times New Roman" w:cs="Times New Roman"/>
          <w:sz w:val="24"/>
          <w:szCs w:val="24"/>
        </w:rPr>
        <w:t xml:space="preserve">tells me that the apex’s view was anything different from that held by </w:t>
      </w:r>
      <w:r w:rsidR="003C3C9E" w:rsidRPr="003C3C9E">
        <w:rPr>
          <w:rFonts w:ascii="Times New Roman" w:hAnsi="Times New Roman" w:cs="Times New Roman"/>
          <w:smallCaps/>
          <w:sz w:val="24"/>
          <w:szCs w:val="24"/>
        </w:rPr>
        <w:t>farrel</w:t>
      </w:r>
      <w:r w:rsidR="003C3C9E">
        <w:rPr>
          <w:rFonts w:ascii="Times New Roman" w:hAnsi="Times New Roman" w:cs="Times New Roman"/>
          <w:sz w:val="24"/>
          <w:szCs w:val="24"/>
        </w:rPr>
        <w:t xml:space="preserve"> </w:t>
      </w:r>
      <w:r w:rsidR="00F9033F">
        <w:rPr>
          <w:rFonts w:ascii="Times New Roman" w:hAnsi="Times New Roman" w:cs="Times New Roman"/>
          <w:sz w:val="24"/>
          <w:szCs w:val="24"/>
        </w:rPr>
        <w:t>J.</w:t>
      </w:r>
      <w:r w:rsidR="00482883">
        <w:rPr>
          <w:rFonts w:ascii="Times New Roman" w:hAnsi="Times New Roman" w:cs="Times New Roman"/>
          <w:sz w:val="24"/>
          <w:szCs w:val="24"/>
        </w:rPr>
        <w:t xml:space="preserve"> </w:t>
      </w:r>
      <w:r w:rsidR="000F5A9D">
        <w:rPr>
          <w:rFonts w:ascii="Times New Roman" w:hAnsi="Times New Roman" w:cs="Times New Roman"/>
          <w:sz w:val="24"/>
          <w:szCs w:val="24"/>
        </w:rPr>
        <w:t xml:space="preserve">The </w:t>
      </w:r>
      <w:r w:rsidR="00AF0885">
        <w:rPr>
          <w:rFonts w:ascii="Times New Roman" w:hAnsi="Times New Roman" w:cs="Times New Roman"/>
          <w:sz w:val="24"/>
          <w:szCs w:val="24"/>
        </w:rPr>
        <w:t>second</w:t>
      </w:r>
      <w:r w:rsidR="000F5A9D">
        <w:rPr>
          <w:rFonts w:ascii="Times New Roman" w:hAnsi="Times New Roman" w:cs="Times New Roman"/>
          <w:sz w:val="24"/>
          <w:szCs w:val="24"/>
        </w:rPr>
        <w:t xml:space="preserve"> basis contended by the </w:t>
      </w:r>
      <w:r w:rsidR="00AF0885">
        <w:rPr>
          <w:rFonts w:ascii="Times New Roman" w:hAnsi="Times New Roman" w:cs="Times New Roman"/>
          <w:sz w:val="24"/>
          <w:szCs w:val="24"/>
        </w:rPr>
        <w:t xml:space="preserve">applicant is that the aforesaid property was sold and transferred to the </w:t>
      </w:r>
      <w:r w:rsidR="003C3C9E">
        <w:rPr>
          <w:rFonts w:ascii="Times New Roman" w:hAnsi="Times New Roman" w:cs="Times New Roman"/>
          <w:sz w:val="24"/>
          <w:szCs w:val="24"/>
        </w:rPr>
        <w:t>second</w:t>
      </w:r>
      <w:r w:rsidR="00AF0885">
        <w:rPr>
          <w:rFonts w:ascii="Times New Roman" w:hAnsi="Times New Roman" w:cs="Times New Roman"/>
          <w:sz w:val="24"/>
          <w:szCs w:val="24"/>
        </w:rPr>
        <w:t xml:space="preserve"> respondent as a result of the fraudulent conduct of Mr Coumbis whose aim was to defeat the Supreme Court order. </w:t>
      </w:r>
      <w:r w:rsidR="00405F08">
        <w:rPr>
          <w:rFonts w:ascii="Times New Roman" w:hAnsi="Times New Roman" w:cs="Times New Roman"/>
          <w:sz w:val="24"/>
          <w:szCs w:val="24"/>
        </w:rPr>
        <w:t xml:space="preserve">I have to ask whether the case for the relief </w:t>
      </w:r>
      <w:r w:rsidR="00AE3338">
        <w:rPr>
          <w:rFonts w:ascii="Times New Roman" w:hAnsi="Times New Roman" w:cs="Times New Roman"/>
          <w:sz w:val="24"/>
          <w:szCs w:val="24"/>
        </w:rPr>
        <w:t xml:space="preserve">asked for was properly pleaded and is evident from the papers before me. </w:t>
      </w:r>
      <w:r w:rsidR="00E947CF">
        <w:rPr>
          <w:rFonts w:ascii="Times New Roman" w:hAnsi="Times New Roman" w:cs="Times New Roman"/>
          <w:sz w:val="24"/>
          <w:szCs w:val="24"/>
        </w:rPr>
        <w:t xml:space="preserve">My view is </w:t>
      </w:r>
      <w:r w:rsidR="00DE520C">
        <w:rPr>
          <w:rFonts w:ascii="Times New Roman" w:hAnsi="Times New Roman" w:cs="Times New Roman"/>
          <w:sz w:val="24"/>
          <w:szCs w:val="24"/>
        </w:rPr>
        <w:t xml:space="preserve">that the case as pleaded </w:t>
      </w:r>
      <w:r w:rsidR="00E947CF">
        <w:rPr>
          <w:rFonts w:ascii="Times New Roman" w:hAnsi="Times New Roman" w:cs="Times New Roman"/>
          <w:sz w:val="24"/>
          <w:szCs w:val="24"/>
        </w:rPr>
        <w:t>in the applicant’s founding affidavit</w:t>
      </w:r>
      <w:r w:rsidR="00397F2B">
        <w:rPr>
          <w:rFonts w:ascii="Times New Roman" w:hAnsi="Times New Roman" w:cs="Times New Roman"/>
          <w:sz w:val="24"/>
          <w:szCs w:val="24"/>
        </w:rPr>
        <w:t xml:space="preserve"> </w:t>
      </w:r>
      <w:r w:rsidR="00DE520C">
        <w:rPr>
          <w:rFonts w:ascii="Times New Roman" w:hAnsi="Times New Roman" w:cs="Times New Roman"/>
          <w:sz w:val="24"/>
          <w:szCs w:val="24"/>
        </w:rPr>
        <w:t xml:space="preserve">cannot found the relief sought. </w:t>
      </w:r>
      <w:r w:rsidR="00191FEB">
        <w:rPr>
          <w:rFonts w:ascii="Times New Roman" w:hAnsi="Times New Roman" w:cs="Times New Roman"/>
          <w:sz w:val="24"/>
          <w:szCs w:val="24"/>
        </w:rPr>
        <w:t>The Supreme Court order is clear that what was awarded to the applicant are shares in the company, Theright Investments (Pvt) Ltd, and not the property, Stand 9064.</w:t>
      </w:r>
      <w:r w:rsidR="00A6039C">
        <w:rPr>
          <w:rFonts w:ascii="Times New Roman" w:hAnsi="Times New Roman" w:cs="Times New Roman"/>
          <w:sz w:val="24"/>
          <w:szCs w:val="24"/>
        </w:rPr>
        <w:t xml:space="preserve"> It seems to me that such an court order cannot be </w:t>
      </w:r>
      <w:r w:rsidR="00741F69">
        <w:rPr>
          <w:rFonts w:ascii="Times New Roman" w:hAnsi="Times New Roman" w:cs="Times New Roman"/>
          <w:sz w:val="24"/>
          <w:szCs w:val="24"/>
        </w:rPr>
        <w:t xml:space="preserve">interpreted to mean that, shares </w:t>
      </w:r>
      <w:r w:rsidR="00741F69" w:rsidRPr="00741F69">
        <w:rPr>
          <w:rFonts w:ascii="Times New Roman" w:hAnsi="Times New Roman" w:cs="Times New Roman"/>
          <w:i/>
          <w:sz w:val="24"/>
          <w:szCs w:val="24"/>
        </w:rPr>
        <w:t>ipso facto</w:t>
      </w:r>
      <w:r w:rsidR="00741F69">
        <w:rPr>
          <w:rFonts w:ascii="Times New Roman" w:hAnsi="Times New Roman" w:cs="Times New Roman"/>
          <w:sz w:val="24"/>
          <w:szCs w:val="24"/>
        </w:rPr>
        <w:t xml:space="preserve"> mean, Stand 9064.</w:t>
      </w:r>
      <w:r w:rsidR="00A6039C">
        <w:rPr>
          <w:rFonts w:ascii="Times New Roman" w:hAnsi="Times New Roman" w:cs="Times New Roman"/>
          <w:sz w:val="24"/>
          <w:szCs w:val="24"/>
        </w:rPr>
        <w:t xml:space="preserve"> </w:t>
      </w:r>
      <w:r w:rsidR="00A410BE">
        <w:rPr>
          <w:rFonts w:ascii="Times New Roman" w:hAnsi="Times New Roman" w:cs="Times New Roman"/>
          <w:sz w:val="24"/>
          <w:szCs w:val="24"/>
        </w:rPr>
        <w:t>If that was the case, the Supreme Court would have said so in specific terms.</w:t>
      </w:r>
      <w:r w:rsidR="00AF0636">
        <w:rPr>
          <w:rFonts w:ascii="Times New Roman" w:hAnsi="Times New Roman" w:cs="Times New Roman"/>
          <w:sz w:val="24"/>
          <w:szCs w:val="24"/>
        </w:rPr>
        <w:t xml:space="preserve"> At any rate, the decision in </w:t>
      </w:r>
      <w:r w:rsidR="00AF0636" w:rsidRPr="00951E51">
        <w:rPr>
          <w:rFonts w:ascii="Times New Roman" w:hAnsi="Times New Roman" w:cs="Times New Roman"/>
          <w:i/>
          <w:sz w:val="24"/>
          <w:szCs w:val="24"/>
        </w:rPr>
        <w:t xml:space="preserve">Magauzi and Anor </w:t>
      </w:r>
      <w:r w:rsidR="00AF0636" w:rsidRPr="003C3C9E">
        <w:rPr>
          <w:rFonts w:ascii="Times New Roman" w:hAnsi="Times New Roman" w:cs="Times New Roman"/>
          <w:sz w:val="24"/>
          <w:szCs w:val="24"/>
        </w:rPr>
        <w:t>v</w:t>
      </w:r>
      <w:r w:rsidR="00AF0636" w:rsidRPr="00951E51">
        <w:rPr>
          <w:rFonts w:ascii="Times New Roman" w:hAnsi="Times New Roman" w:cs="Times New Roman"/>
          <w:i/>
          <w:sz w:val="24"/>
          <w:szCs w:val="24"/>
        </w:rPr>
        <w:t xml:space="preserve"> </w:t>
      </w:r>
      <w:r w:rsidR="00951E51" w:rsidRPr="00951E51">
        <w:rPr>
          <w:rFonts w:ascii="Times New Roman" w:hAnsi="Times New Roman" w:cs="Times New Roman"/>
          <w:i/>
          <w:sz w:val="24"/>
          <w:szCs w:val="24"/>
        </w:rPr>
        <w:t>Jekera supra</w:t>
      </w:r>
      <w:r w:rsidR="00951E51">
        <w:rPr>
          <w:rFonts w:ascii="Times New Roman" w:hAnsi="Times New Roman" w:cs="Times New Roman"/>
          <w:sz w:val="24"/>
          <w:szCs w:val="24"/>
        </w:rPr>
        <w:t xml:space="preserve"> cannot</w:t>
      </w:r>
      <w:r w:rsidR="00A5075F">
        <w:rPr>
          <w:rFonts w:ascii="Times New Roman" w:hAnsi="Times New Roman" w:cs="Times New Roman"/>
          <w:sz w:val="24"/>
          <w:szCs w:val="24"/>
        </w:rPr>
        <w:t xml:space="preserve"> be interpreted as authority for the proposition </w:t>
      </w:r>
      <w:r w:rsidR="00066086">
        <w:rPr>
          <w:rFonts w:ascii="Times New Roman" w:hAnsi="Times New Roman" w:cs="Times New Roman"/>
          <w:sz w:val="24"/>
          <w:szCs w:val="24"/>
        </w:rPr>
        <w:t>that a</w:t>
      </w:r>
      <w:r w:rsidR="00D54A93">
        <w:rPr>
          <w:rFonts w:ascii="Times New Roman" w:hAnsi="Times New Roman" w:cs="Times New Roman"/>
          <w:sz w:val="24"/>
          <w:szCs w:val="24"/>
        </w:rPr>
        <w:t xml:space="preserve"> judgement has </w:t>
      </w:r>
      <w:r w:rsidR="00951E51">
        <w:rPr>
          <w:rFonts w:ascii="Times New Roman" w:hAnsi="Times New Roman" w:cs="Times New Roman"/>
          <w:sz w:val="24"/>
          <w:szCs w:val="24"/>
        </w:rPr>
        <w:t xml:space="preserve">retrospective </w:t>
      </w:r>
      <w:r w:rsidR="00D54A93">
        <w:rPr>
          <w:rFonts w:ascii="Times New Roman" w:hAnsi="Times New Roman" w:cs="Times New Roman"/>
          <w:sz w:val="24"/>
          <w:szCs w:val="24"/>
        </w:rPr>
        <w:t>operation.</w:t>
      </w:r>
      <w:r w:rsidR="00415745">
        <w:rPr>
          <w:rFonts w:ascii="Times New Roman" w:hAnsi="Times New Roman" w:cs="Times New Roman"/>
          <w:sz w:val="24"/>
          <w:szCs w:val="24"/>
        </w:rPr>
        <w:t xml:space="preserve"> The interpretation urged</w:t>
      </w:r>
      <w:r w:rsidR="000E1076">
        <w:rPr>
          <w:rFonts w:ascii="Times New Roman" w:hAnsi="Times New Roman" w:cs="Times New Roman"/>
          <w:sz w:val="24"/>
          <w:szCs w:val="24"/>
        </w:rPr>
        <w:t xml:space="preserve"> by Counsel for the </w:t>
      </w:r>
      <w:r w:rsidR="003C3C9E">
        <w:rPr>
          <w:rFonts w:ascii="Times New Roman" w:hAnsi="Times New Roman" w:cs="Times New Roman"/>
          <w:sz w:val="24"/>
          <w:szCs w:val="24"/>
        </w:rPr>
        <w:t>second</w:t>
      </w:r>
      <w:r w:rsidR="000E1076">
        <w:rPr>
          <w:rFonts w:ascii="Times New Roman" w:hAnsi="Times New Roman" w:cs="Times New Roman"/>
          <w:sz w:val="24"/>
          <w:szCs w:val="24"/>
        </w:rPr>
        <w:t xml:space="preserve"> respondent appears to me to be the correct one.</w:t>
      </w:r>
      <w:r w:rsidR="00D54A93">
        <w:rPr>
          <w:rFonts w:ascii="Times New Roman" w:hAnsi="Times New Roman" w:cs="Times New Roman"/>
          <w:sz w:val="24"/>
          <w:szCs w:val="24"/>
        </w:rPr>
        <w:t xml:space="preserve"> </w:t>
      </w:r>
    </w:p>
    <w:p w:rsidR="009914CA" w:rsidRPr="00FF5CC8" w:rsidRDefault="002A0840" w:rsidP="00314DBA">
      <w:pPr>
        <w:spacing w:after="0" w:line="360" w:lineRule="auto"/>
        <w:jc w:val="both"/>
        <w:rPr>
          <w:rFonts w:ascii="Times New Roman" w:hAnsi="Times New Roman" w:cs="Times New Roman"/>
        </w:rPr>
      </w:pPr>
      <w:r>
        <w:rPr>
          <w:rFonts w:ascii="Times New Roman" w:hAnsi="Times New Roman" w:cs="Times New Roman"/>
          <w:sz w:val="24"/>
          <w:szCs w:val="24"/>
        </w:rPr>
        <w:lastRenderedPageBreak/>
        <w:tab/>
      </w:r>
      <w:r w:rsidR="00FF131F">
        <w:rPr>
          <w:rFonts w:ascii="Times New Roman" w:hAnsi="Times New Roman" w:cs="Times New Roman"/>
          <w:sz w:val="24"/>
          <w:szCs w:val="24"/>
        </w:rPr>
        <w:t>I move to focus on the aspect of the allegation that the sale was tainted by fraud and, therefore, susceptible to being set aside.</w:t>
      </w:r>
      <w:r w:rsidR="004C7210">
        <w:rPr>
          <w:rFonts w:ascii="Times New Roman" w:hAnsi="Times New Roman" w:cs="Times New Roman"/>
          <w:sz w:val="24"/>
          <w:szCs w:val="24"/>
        </w:rPr>
        <w:t xml:space="preserve"> Hav</w:t>
      </w:r>
      <w:r w:rsidR="00A253EF">
        <w:rPr>
          <w:rFonts w:ascii="Times New Roman" w:hAnsi="Times New Roman" w:cs="Times New Roman"/>
          <w:sz w:val="24"/>
          <w:szCs w:val="24"/>
        </w:rPr>
        <w:t>ing looked at the pleadings (</w:t>
      </w:r>
      <w:r w:rsidR="004C7210">
        <w:rPr>
          <w:rFonts w:ascii="Times New Roman" w:hAnsi="Times New Roman" w:cs="Times New Roman"/>
          <w:sz w:val="24"/>
          <w:szCs w:val="24"/>
        </w:rPr>
        <w:t>particular</w:t>
      </w:r>
      <w:r w:rsidR="00A253EF">
        <w:rPr>
          <w:rFonts w:ascii="Times New Roman" w:hAnsi="Times New Roman" w:cs="Times New Roman"/>
          <w:sz w:val="24"/>
          <w:szCs w:val="24"/>
        </w:rPr>
        <w:t>ly,</w:t>
      </w:r>
      <w:r w:rsidR="004C7210">
        <w:rPr>
          <w:rFonts w:ascii="Times New Roman" w:hAnsi="Times New Roman" w:cs="Times New Roman"/>
          <w:sz w:val="24"/>
          <w:szCs w:val="24"/>
        </w:rPr>
        <w:t xml:space="preserve"> </w:t>
      </w:r>
      <w:r w:rsidR="00A253EF">
        <w:rPr>
          <w:rFonts w:ascii="Times New Roman" w:hAnsi="Times New Roman" w:cs="Times New Roman"/>
          <w:sz w:val="24"/>
          <w:szCs w:val="24"/>
        </w:rPr>
        <w:t>paragraphs 17 and 25 of th</w:t>
      </w:r>
      <w:r w:rsidR="004D3A57">
        <w:rPr>
          <w:rFonts w:ascii="Times New Roman" w:hAnsi="Times New Roman" w:cs="Times New Roman"/>
          <w:sz w:val="24"/>
          <w:szCs w:val="24"/>
        </w:rPr>
        <w:t xml:space="preserve">e founding affidavit), I observe that the particulars of the alleged fraud and malicious conduct on the part of the contracting parties (the </w:t>
      </w:r>
      <w:r w:rsidR="003C3C9E">
        <w:rPr>
          <w:rFonts w:ascii="Times New Roman" w:hAnsi="Times New Roman" w:cs="Times New Roman"/>
          <w:sz w:val="24"/>
          <w:szCs w:val="24"/>
        </w:rPr>
        <w:t>first</w:t>
      </w:r>
      <w:r w:rsidR="004D3A57">
        <w:rPr>
          <w:rFonts w:ascii="Times New Roman" w:hAnsi="Times New Roman" w:cs="Times New Roman"/>
          <w:sz w:val="24"/>
          <w:szCs w:val="24"/>
        </w:rPr>
        <w:t xml:space="preserve"> and </w:t>
      </w:r>
      <w:r w:rsidR="003C3C9E">
        <w:rPr>
          <w:rFonts w:ascii="Times New Roman" w:hAnsi="Times New Roman" w:cs="Times New Roman"/>
          <w:sz w:val="24"/>
          <w:szCs w:val="24"/>
        </w:rPr>
        <w:t>second</w:t>
      </w:r>
      <w:r w:rsidR="004D3A57">
        <w:rPr>
          <w:rFonts w:ascii="Times New Roman" w:hAnsi="Times New Roman" w:cs="Times New Roman"/>
          <w:sz w:val="24"/>
          <w:szCs w:val="24"/>
        </w:rPr>
        <w:t xml:space="preserve"> respondents) have not been given and proved. In my view, it is not enough to make a bald allegation of fraud, without </w:t>
      </w:r>
      <w:r w:rsidR="00CE1CA4">
        <w:rPr>
          <w:rFonts w:ascii="Times New Roman" w:hAnsi="Times New Roman" w:cs="Times New Roman"/>
          <w:sz w:val="24"/>
          <w:szCs w:val="24"/>
        </w:rPr>
        <w:t>giving a minimum of particulars supporting the alleged deleterious conduct.</w:t>
      </w:r>
      <w:r w:rsidR="007B69A3">
        <w:rPr>
          <w:rFonts w:ascii="Times New Roman" w:hAnsi="Times New Roman" w:cs="Times New Roman"/>
          <w:sz w:val="24"/>
          <w:szCs w:val="24"/>
        </w:rPr>
        <w:t xml:space="preserve"> It is helpful to point out that, in cases where setting aside </w:t>
      </w:r>
      <w:r w:rsidR="003929D9">
        <w:rPr>
          <w:rFonts w:ascii="Times New Roman" w:hAnsi="Times New Roman" w:cs="Times New Roman"/>
          <w:sz w:val="24"/>
          <w:szCs w:val="24"/>
        </w:rPr>
        <w:t xml:space="preserve">a sale after transfer under common law, our courts have stresses the need to allege and prove </w:t>
      </w:r>
      <w:r w:rsidR="006050C6">
        <w:rPr>
          <w:rFonts w:ascii="Times New Roman" w:hAnsi="Times New Roman" w:cs="Times New Roman"/>
          <w:sz w:val="24"/>
          <w:szCs w:val="24"/>
        </w:rPr>
        <w:t>the allegation of fraud or bad faith. In this context</w:t>
      </w:r>
      <w:r w:rsidR="00FF5CC8">
        <w:rPr>
          <w:rFonts w:ascii="Times New Roman" w:hAnsi="Times New Roman" w:cs="Times New Roman"/>
          <w:sz w:val="24"/>
          <w:szCs w:val="24"/>
        </w:rPr>
        <w:t>,</w:t>
      </w:r>
      <w:r w:rsidR="00FE2CD2">
        <w:rPr>
          <w:rFonts w:ascii="Times New Roman" w:hAnsi="Times New Roman" w:cs="Times New Roman"/>
          <w:sz w:val="24"/>
          <w:szCs w:val="24"/>
        </w:rPr>
        <w:t xml:space="preserve"> in </w:t>
      </w:r>
      <w:r w:rsidR="00FE2CD2" w:rsidRPr="00893E23">
        <w:rPr>
          <w:rFonts w:ascii="Times New Roman" w:hAnsi="Times New Roman" w:cs="Times New Roman"/>
          <w:i/>
          <w:sz w:val="24"/>
          <w:szCs w:val="24"/>
        </w:rPr>
        <w:t xml:space="preserve">Makuyana and Anor </w:t>
      </w:r>
      <w:r w:rsidR="00FE2CD2" w:rsidRPr="003C3C9E">
        <w:rPr>
          <w:rFonts w:ascii="Times New Roman" w:hAnsi="Times New Roman" w:cs="Times New Roman"/>
          <w:sz w:val="24"/>
          <w:szCs w:val="24"/>
        </w:rPr>
        <w:t>v</w:t>
      </w:r>
      <w:r w:rsidR="00FE2CD2" w:rsidRPr="00893E23">
        <w:rPr>
          <w:rFonts w:ascii="Times New Roman" w:hAnsi="Times New Roman" w:cs="Times New Roman"/>
          <w:i/>
          <w:sz w:val="24"/>
          <w:szCs w:val="24"/>
        </w:rPr>
        <w:t xml:space="preserve"> Standard Bank </w:t>
      </w:r>
      <w:r w:rsidR="00F2646C">
        <w:rPr>
          <w:rFonts w:ascii="Times New Roman" w:hAnsi="Times New Roman" w:cs="Times New Roman"/>
          <w:i/>
          <w:sz w:val="24"/>
          <w:szCs w:val="24"/>
        </w:rPr>
        <w:t xml:space="preserve">of Zimbabwe </w:t>
      </w:r>
      <w:r w:rsidR="00B93CAF" w:rsidRPr="00893E23">
        <w:rPr>
          <w:rFonts w:ascii="Times New Roman" w:hAnsi="Times New Roman" w:cs="Times New Roman"/>
          <w:i/>
          <w:sz w:val="24"/>
          <w:szCs w:val="24"/>
        </w:rPr>
        <w:t>and Ors</w:t>
      </w:r>
      <w:r w:rsidR="00B93CAF">
        <w:rPr>
          <w:rFonts w:ascii="Times New Roman" w:hAnsi="Times New Roman" w:cs="Times New Roman"/>
          <w:sz w:val="24"/>
          <w:szCs w:val="24"/>
        </w:rPr>
        <w:t xml:space="preserve"> HB 52-07, </w:t>
      </w:r>
      <w:r w:rsidR="008B5BB7">
        <w:rPr>
          <w:rFonts w:ascii="Times New Roman" w:hAnsi="Times New Roman" w:cs="Times New Roman"/>
          <w:sz w:val="24"/>
          <w:szCs w:val="24"/>
        </w:rPr>
        <w:t>NDOU J</w:t>
      </w:r>
      <w:r w:rsidR="00893E23">
        <w:rPr>
          <w:rFonts w:ascii="Times New Roman" w:hAnsi="Times New Roman" w:cs="Times New Roman"/>
          <w:sz w:val="24"/>
          <w:szCs w:val="24"/>
        </w:rPr>
        <w:t xml:space="preserve"> stated</w:t>
      </w:r>
      <w:r w:rsidR="009A588C">
        <w:rPr>
          <w:rFonts w:ascii="Times New Roman" w:hAnsi="Times New Roman" w:cs="Times New Roman"/>
          <w:sz w:val="24"/>
          <w:szCs w:val="24"/>
        </w:rPr>
        <w:t xml:space="preserve"> the law as follows</w:t>
      </w:r>
      <w:r w:rsidR="00893E23">
        <w:rPr>
          <w:rFonts w:ascii="Times New Roman" w:hAnsi="Times New Roman" w:cs="Times New Roman"/>
          <w:sz w:val="24"/>
          <w:szCs w:val="24"/>
        </w:rPr>
        <w:t>:</w:t>
      </w:r>
    </w:p>
    <w:p w:rsidR="009A588C" w:rsidRPr="009A588C" w:rsidRDefault="009A588C" w:rsidP="00314DBA">
      <w:pPr>
        <w:spacing w:after="0" w:line="360" w:lineRule="auto"/>
        <w:jc w:val="both"/>
        <w:rPr>
          <w:rFonts w:ascii="Times New Roman" w:hAnsi="Times New Roman" w:cs="Times New Roman"/>
          <w:sz w:val="12"/>
          <w:szCs w:val="12"/>
        </w:rPr>
      </w:pPr>
    </w:p>
    <w:p w:rsidR="009A588C" w:rsidRPr="009A588C" w:rsidRDefault="009A588C" w:rsidP="009A588C">
      <w:pPr>
        <w:spacing w:after="0" w:line="240" w:lineRule="auto"/>
        <w:ind w:left="720"/>
        <w:jc w:val="both"/>
        <w:rPr>
          <w:rFonts w:ascii="Times New Roman" w:hAnsi="Times New Roman" w:cs="Times New Roman"/>
        </w:rPr>
      </w:pPr>
      <w:r w:rsidRPr="009A588C">
        <w:rPr>
          <w:rFonts w:ascii="Times New Roman" w:hAnsi="Times New Roman" w:cs="Times New Roman"/>
        </w:rPr>
        <w:t>“</w:t>
      </w:r>
      <w:r w:rsidRPr="00404B7C">
        <w:rPr>
          <w:rFonts w:ascii="Times New Roman" w:hAnsi="Times New Roman" w:cs="Times New Roman"/>
          <w:u w:val="single"/>
        </w:rPr>
        <w:t>Once transfer has been effected, the person seeking to impeach the sale and transfer must allege and prove fraud, bad faith or knowledge of any defect on the part of the purchaser</w:t>
      </w:r>
      <w:r w:rsidRPr="009A588C">
        <w:rPr>
          <w:rFonts w:ascii="Times New Roman" w:hAnsi="Times New Roman" w:cs="Times New Roman"/>
        </w:rPr>
        <w:t xml:space="preserve"> when he bought the property at such sale – </w:t>
      </w:r>
      <w:r w:rsidRPr="009A588C">
        <w:rPr>
          <w:rFonts w:ascii="Times New Roman" w:hAnsi="Times New Roman" w:cs="Times New Roman"/>
          <w:i/>
          <w:iCs/>
        </w:rPr>
        <w:t xml:space="preserve">Sookdeyi &amp; Ors </w:t>
      </w:r>
      <w:r w:rsidRPr="009A588C">
        <w:rPr>
          <w:rFonts w:ascii="Times New Roman" w:hAnsi="Times New Roman" w:cs="Times New Roman"/>
        </w:rPr>
        <w:t xml:space="preserve">v </w:t>
      </w:r>
      <w:r w:rsidRPr="009A588C">
        <w:rPr>
          <w:rFonts w:ascii="Times New Roman" w:hAnsi="Times New Roman" w:cs="Times New Roman"/>
          <w:i/>
          <w:iCs/>
        </w:rPr>
        <w:t>Sahadeo &amp; Ors</w:t>
      </w:r>
      <w:r w:rsidRPr="009A588C">
        <w:rPr>
          <w:rFonts w:ascii="Times New Roman" w:hAnsi="Times New Roman" w:cs="Times New Roman"/>
        </w:rPr>
        <w:t xml:space="preserve"> 1952(4) SA 568(A) at 571H-572A and also 569H; </w:t>
      </w:r>
      <w:r w:rsidRPr="009A588C">
        <w:rPr>
          <w:rFonts w:ascii="Times New Roman" w:hAnsi="Times New Roman" w:cs="Times New Roman"/>
          <w:i/>
          <w:iCs/>
        </w:rPr>
        <w:t xml:space="preserve">Twine Wire Agencies (Pvt) Ltd </w:t>
      </w:r>
      <w:r w:rsidRPr="009A588C">
        <w:rPr>
          <w:rFonts w:ascii="Times New Roman" w:hAnsi="Times New Roman" w:cs="Times New Roman"/>
        </w:rPr>
        <w:t xml:space="preserve">v </w:t>
      </w:r>
      <w:r w:rsidRPr="009A588C">
        <w:rPr>
          <w:rFonts w:ascii="Times New Roman" w:hAnsi="Times New Roman" w:cs="Times New Roman"/>
          <w:i/>
          <w:iCs/>
        </w:rPr>
        <w:t>CABS, supra</w:t>
      </w:r>
      <w:r w:rsidRPr="009A588C">
        <w:rPr>
          <w:rFonts w:ascii="Times New Roman" w:hAnsi="Times New Roman" w:cs="Times New Roman"/>
        </w:rPr>
        <w:t xml:space="preserve"> and </w:t>
      </w:r>
      <w:r w:rsidRPr="009A588C">
        <w:rPr>
          <w:rFonts w:ascii="Times New Roman" w:hAnsi="Times New Roman" w:cs="Times New Roman"/>
          <w:i/>
          <w:iCs/>
        </w:rPr>
        <w:t xml:space="preserve">Mapedzamombe </w:t>
      </w:r>
      <w:r w:rsidRPr="009A588C">
        <w:rPr>
          <w:rFonts w:ascii="Times New Roman" w:hAnsi="Times New Roman" w:cs="Times New Roman"/>
        </w:rPr>
        <w:t xml:space="preserve">v </w:t>
      </w:r>
      <w:r w:rsidRPr="009A588C">
        <w:rPr>
          <w:rFonts w:ascii="Times New Roman" w:hAnsi="Times New Roman" w:cs="Times New Roman"/>
          <w:i/>
          <w:iCs/>
        </w:rPr>
        <w:t>CBZ, supra</w:t>
      </w:r>
      <w:r w:rsidRPr="009A588C">
        <w:rPr>
          <w:rFonts w:ascii="Times New Roman" w:hAnsi="Times New Roman" w:cs="Times New Roman"/>
        </w:rPr>
        <w:t>, at 260E-H”.</w:t>
      </w:r>
      <w:r w:rsidR="00404B7C">
        <w:rPr>
          <w:rFonts w:ascii="Times New Roman" w:hAnsi="Times New Roman" w:cs="Times New Roman"/>
        </w:rPr>
        <w:t xml:space="preserve"> </w:t>
      </w:r>
      <w:r w:rsidR="00404B7C" w:rsidRPr="00404B7C">
        <w:rPr>
          <w:rFonts w:ascii="Times New Roman" w:hAnsi="Times New Roman" w:cs="Times New Roman"/>
          <w:b/>
        </w:rPr>
        <w:t>[My own emphasis]</w:t>
      </w:r>
    </w:p>
    <w:p w:rsidR="00486700" w:rsidRDefault="00486700" w:rsidP="00314DBA">
      <w:pPr>
        <w:spacing w:after="0" w:line="360" w:lineRule="auto"/>
        <w:jc w:val="both"/>
        <w:rPr>
          <w:rFonts w:ascii="Times New Roman" w:hAnsi="Times New Roman" w:cs="Times New Roman"/>
          <w:sz w:val="24"/>
          <w:szCs w:val="24"/>
        </w:rPr>
      </w:pPr>
    </w:p>
    <w:p w:rsidR="00A0308D" w:rsidRDefault="00513230" w:rsidP="00314D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remarks were made</w:t>
      </w:r>
      <w:r w:rsidR="00020EB5">
        <w:rPr>
          <w:rFonts w:ascii="Times New Roman" w:hAnsi="Times New Roman" w:cs="Times New Roman"/>
          <w:sz w:val="24"/>
          <w:szCs w:val="24"/>
        </w:rPr>
        <w:t xml:space="preserve"> in a different context, but the view I take is that </w:t>
      </w:r>
      <w:r w:rsidR="005A5452">
        <w:rPr>
          <w:rFonts w:ascii="Times New Roman" w:hAnsi="Times New Roman" w:cs="Times New Roman"/>
          <w:sz w:val="24"/>
          <w:szCs w:val="24"/>
        </w:rPr>
        <w:t xml:space="preserve">they are equally apposite where one seeks to have a transfer of a property cancelled after title has already passed to a third party. </w:t>
      </w:r>
      <w:r w:rsidR="008B0698">
        <w:rPr>
          <w:rFonts w:ascii="Times New Roman" w:hAnsi="Times New Roman" w:cs="Times New Roman"/>
          <w:sz w:val="24"/>
          <w:szCs w:val="24"/>
        </w:rPr>
        <w:t>I have already noted that</w:t>
      </w:r>
      <w:r w:rsidR="00486700">
        <w:rPr>
          <w:rFonts w:ascii="Times New Roman" w:hAnsi="Times New Roman" w:cs="Times New Roman"/>
          <w:sz w:val="24"/>
          <w:szCs w:val="24"/>
        </w:rPr>
        <w:t xml:space="preserve"> the </w:t>
      </w:r>
      <w:r w:rsidR="00894BE5">
        <w:rPr>
          <w:rFonts w:ascii="Times New Roman" w:hAnsi="Times New Roman" w:cs="Times New Roman"/>
          <w:sz w:val="24"/>
          <w:szCs w:val="24"/>
        </w:rPr>
        <w:t>applicant did not allege and give particulars w</w:t>
      </w:r>
      <w:r w:rsidR="008B0698">
        <w:rPr>
          <w:rFonts w:ascii="Times New Roman" w:hAnsi="Times New Roman" w:cs="Times New Roman"/>
          <w:sz w:val="24"/>
          <w:szCs w:val="24"/>
        </w:rPr>
        <w:t xml:space="preserve">hich show that there was fraud or </w:t>
      </w:r>
      <w:r w:rsidR="00894BE5">
        <w:rPr>
          <w:rFonts w:ascii="Times New Roman" w:hAnsi="Times New Roman" w:cs="Times New Roman"/>
          <w:sz w:val="24"/>
          <w:szCs w:val="24"/>
        </w:rPr>
        <w:t xml:space="preserve">bad </w:t>
      </w:r>
      <w:r w:rsidR="008B0698">
        <w:rPr>
          <w:rFonts w:ascii="Times New Roman" w:hAnsi="Times New Roman" w:cs="Times New Roman"/>
          <w:sz w:val="24"/>
          <w:szCs w:val="24"/>
        </w:rPr>
        <w:t>faith on the part of either the seller (</w:t>
      </w:r>
      <w:r w:rsidR="003C3C9E">
        <w:rPr>
          <w:rFonts w:ascii="Times New Roman" w:hAnsi="Times New Roman" w:cs="Times New Roman"/>
          <w:sz w:val="24"/>
          <w:szCs w:val="24"/>
        </w:rPr>
        <w:t>first</w:t>
      </w:r>
      <w:r w:rsidR="008B0698">
        <w:rPr>
          <w:rFonts w:ascii="Times New Roman" w:hAnsi="Times New Roman" w:cs="Times New Roman"/>
          <w:sz w:val="24"/>
          <w:szCs w:val="24"/>
        </w:rPr>
        <w:t xml:space="preserve"> respondent) or the</w:t>
      </w:r>
      <w:r w:rsidR="00E82596">
        <w:rPr>
          <w:rFonts w:ascii="Times New Roman" w:hAnsi="Times New Roman" w:cs="Times New Roman"/>
          <w:sz w:val="24"/>
          <w:szCs w:val="24"/>
        </w:rPr>
        <w:t xml:space="preserve"> purchaser (</w:t>
      </w:r>
      <w:r w:rsidR="003C3C9E">
        <w:rPr>
          <w:rFonts w:ascii="Times New Roman" w:hAnsi="Times New Roman" w:cs="Times New Roman"/>
          <w:sz w:val="24"/>
          <w:szCs w:val="24"/>
        </w:rPr>
        <w:t>second</w:t>
      </w:r>
      <w:r w:rsidR="00E82596">
        <w:rPr>
          <w:rFonts w:ascii="Times New Roman" w:hAnsi="Times New Roman" w:cs="Times New Roman"/>
          <w:sz w:val="24"/>
          <w:szCs w:val="24"/>
        </w:rPr>
        <w:t xml:space="preserve"> respondent).</w:t>
      </w:r>
      <w:r w:rsidR="00894BE5">
        <w:rPr>
          <w:rFonts w:ascii="Times New Roman" w:hAnsi="Times New Roman" w:cs="Times New Roman"/>
          <w:sz w:val="24"/>
          <w:szCs w:val="24"/>
        </w:rPr>
        <w:t xml:space="preserve"> </w:t>
      </w:r>
      <w:r w:rsidR="00E82596">
        <w:rPr>
          <w:rFonts w:ascii="Times New Roman" w:hAnsi="Times New Roman" w:cs="Times New Roman"/>
          <w:sz w:val="24"/>
          <w:szCs w:val="24"/>
        </w:rPr>
        <w:t>T</w:t>
      </w:r>
      <w:r w:rsidR="00166AEA">
        <w:rPr>
          <w:rFonts w:ascii="Times New Roman" w:hAnsi="Times New Roman" w:cs="Times New Roman"/>
          <w:sz w:val="24"/>
          <w:szCs w:val="24"/>
        </w:rPr>
        <w:t xml:space="preserve">hese </w:t>
      </w:r>
      <w:r w:rsidR="00E82596">
        <w:rPr>
          <w:rFonts w:ascii="Times New Roman" w:hAnsi="Times New Roman" w:cs="Times New Roman"/>
          <w:sz w:val="24"/>
          <w:szCs w:val="24"/>
        </w:rPr>
        <w:t>are the particulars</w:t>
      </w:r>
      <w:r w:rsidR="00166AEA">
        <w:rPr>
          <w:rFonts w:ascii="Times New Roman" w:hAnsi="Times New Roman" w:cs="Times New Roman"/>
          <w:sz w:val="24"/>
          <w:szCs w:val="24"/>
        </w:rPr>
        <w:t xml:space="preserve"> which</w:t>
      </w:r>
      <w:r w:rsidR="00E82596">
        <w:rPr>
          <w:rFonts w:ascii="Times New Roman" w:hAnsi="Times New Roman" w:cs="Times New Roman"/>
          <w:sz w:val="24"/>
          <w:szCs w:val="24"/>
        </w:rPr>
        <w:t>, in my view,</w:t>
      </w:r>
      <w:r w:rsidR="00166AEA">
        <w:rPr>
          <w:rFonts w:ascii="Times New Roman" w:hAnsi="Times New Roman" w:cs="Times New Roman"/>
          <w:sz w:val="24"/>
          <w:szCs w:val="24"/>
        </w:rPr>
        <w:t xml:space="preserve"> necessarily establish a</w:t>
      </w:r>
      <w:r w:rsidR="00AD6A8C">
        <w:rPr>
          <w:rFonts w:ascii="Times New Roman" w:hAnsi="Times New Roman" w:cs="Times New Roman"/>
          <w:sz w:val="24"/>
          <w:szCs w:val="24"/>
        </w:rPr>
        <w:t xml:space="preserve"> cause of action for an applicant </w:t>
      </w:r>
      <w:r w:rsidR="00166AEA">
        <w:rPr>
          <w:rFonts w:ascii="Times New Roman" w:hAnsi="Times New Roman" w:cs="Times New Roman"/>
          <w:sz w:val="24"/>
          <w:szCs w:val="24"/>
        </w:rPr>
        <w:t xml:space="preserve">who </w:t>
      </w:r>
      <w:r w:rsidR="003A6A11">
        <w:rPr>
          <w:rFonts w:ascii="Times New Roman" w:hAnsi="Times New Roman" w:cs="Times New Roman"/>
          <w:sz w:val="24"/>
          <w:szCs w:val="24"/>
        </w:rPr>
        <w:t>makes an application to cancel</w:t>
      </w:r>
      <w:r w:rsidR="00594925">
        <w:rPr>
          <w:rFonts w:ascii="Times New Roman" w:hAnsi="Times New Roman" w:cs="Times New Roman"/>
          <w:sz w:val="24"/>
          <w:szCs w:val="24"/>
        </w:rPr>
        <w:t xml:space="preserve"> title</w:t>
      </w:r>
      <w:r w:rsidR="00166AEA">
        <w:rPr>
          <w:rFonts w:ascii="Times New Roman" w:hAnsi="Times New Roman" w:cs="Times New Roman"/>
          <w:sz w:val="24"/>
          <w:szCs w:val="24"/>
        </w:rPr>
        <w:t xml:space="preserve"> </w:t>
      </w:r>
      <w:r w:rsidR="00B8366D">
        <w:rPr>
          <w:rFonts w:ascii="Times New Roman" w:hAnsi="Times New Roman" w:cs="Times New Roman"/>
          <w:sz w:val="24"/>
          <w:szCs w:val="24"/>
        </w:rPr>
        <w:t>a</w:t>
      </w:r>
      <w:r w:rsidR="00725095">
        <w:rPr>
          <w:rFonts w:ascii="Times New Roman" w:hAnsi="Times New Roman" w:cs="Times New Roman"/>
          <w:sz w:val="24"/>
          <w:szCs w:val="24"/>
        </w:rPr>
        <w:t>fter transfer has been effected.</w:t>
      </w:r>
      <w:r w:rsidR="00B8366D">
        <w:rPr>
          <w:rFonts w:ascii="Times New Roman" w:hAnsi="Times New Roman" w:cs="Times New Roman"/>
          <w:sz w:val="24"/>
          <w:szCs w:val="24"/>
        </w:rPr>
        <w:t xml:space="preserve"> </w:t>
      </w:r>
    </w:p>
    <w:p w:rsidR="000413BE" w:rsidRDefault="00013367" w:rsidP="00C451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now turn my attention to the </w:t>
      </w:r>
      <w:r w:rsidR="008A1573">
        <w:rPr>
          <w:rFonts w:ascii="Times New Roman" w:hAnsi="Times New Roman" w:cs="Times New Roman"/>
          <w:sz w:val="24"/>
          <w:szCs w:val="24"/>
        </w:rPr>
        <w:t xml:space="preserve">question whether, in any event, the allegations of fraud or malice on the </w:t>
      </w:r>
      <w:r w:rsidR="00C06B04">
        <w:rPr>
          <w:rFonts w:ascii="Times New Roman" w:hAnsi="Times New Roman" w:cs="Times New Roman"/>
          <w:sz w:val="24"/>
          <w:szCs w:val="24"/>
        </w:rPr>
        <w:t xml:space="preserve">part of Mr Coumbis, who is not before the court, is </w:t>
      </w:r>
      <w:r w:rsidR="00AF68E6">
        <w:rPr>
          <w:rFonts w:ascii="Times New Roman" w:hAnsi="Times New Roman" w:cs="Times New Roman"/>
          <w:sz w:val="24"/>
          <w:szCs w:val="24"/>
        </w:rPr>
        <w:t xml:space="preserve">a </w:t>
      </w:r>
      <w:r w:rsidR="00C06B04">
        <w:rPr>
          <w:rFonts w:ascii="Times New Roman" w:hAnsi="Times New Roman" w:cs="Times New Roman"/>
          <w:sz w:val="24"/>
          <w:szCs w:val="24"/>
        </w:rPr>
        <w:t xml:space="preserve">sufficient </w:t>
      </w:r>
      <w:r w:rsidR="00AF68E6">
        <w:rPr>
          <w:rFonts w:ascii="Times New Roman" w:hAnsi="Times New Roman" w:cs="Times New Roman"/>
          <w:sz w:val="24"/>
          <w:szCs w:val="24"/>
        </w:rPr>
        <w:t xml:space="preserve">reason for cancelling the transfer of Stand 9064 to the </w:t>
      </w:r>
      <w:r w:rsidR="003C3C9E">
        <w:rPr>
          <w:rFonts w:ascii="Times New Roman" w:hAnsi="Times New Roman" w:cs="Times New Roman"/>
          <w:sz w:val="24"/>
          <w:szCs w:val="24"/>
        </w:rPr>
        <w:t>second</w:t>
      </w:r>
      <w:r w:rsidR="00AF68E6">
        <w:rPr>
          <w:rFonts w:ascii="Times New Roman" w:hAnsi="Times New Roman" w:cs="Times New Roman"/>
          <w:sz w:val="24"/>
          <w:szCs w:val="24"/>
        </w:rPr>
        <w:t xml:space="preserve"> respondent. </w:t>
      </w:r>
      <w:r w:rsidR="004A19D5">
        <w:rPr>
          <w:rFonts w:ascii="Times New Roman" w:hAnsi="Times New Roman" w:cs="Times New Roman"/>
          <w:sz w:val="24"/>
          <w:szCs w:val="24"/>
        </w:rPr>
        <w:t xml:space="preserve">My answer is that </w:t>
      </w:r>
      <w:r w:rsidR="00D82B5A">
        <w:rPr>
          <w:rFonts w:ascii="Times New Roman" w:hAnsi="Times New Roman" w:cs="Times New Roman"/>
          <w:sz w:val="24"/>
          <w:szCs w:val="24"/>
        </w:rPr>
        <w:t xml:space="preserve">such a basis </w:t>
      </w:r>
      <w:r w:rsidR="000B668D">
        <w:rPr>
          <w:rFonts w:ascii="Times New Roman" w:hAnsi="Times New Roman" w:cs="Times New Roman"/>
          <w:sz w:val="24"/>
          <w:szCs w:val="24"/>
        </w:rPr>
        <w:t>far-fetched</w:t>
      </w:r>
      <w:r w:rsidR="00D82B5A">
        <w:rPr>
          <w:rFonts w:ascii="Times New Roman" w:hAnsi="Times New Roman" w:cs="Times New Roman"/>
          <w:sz w:val="24"/>
          <w:szCs w:val="24"/>
        </w:rPr>
        <w:t xml:space="preserve"> and unreasonable</w:t>
      </w:r>
      <w:r w:rsidR="000B668D">
        <w:rPr>
          <w:rFonts w:ascii="Times New Roman" w:hAnsi="Times New Roman" w:cs="Times New Roman"/>
          <w:sz w:val="24"/>
          <w:szCs w:val="24"/>
        </w:rPr>
        <w:t xml:space="preserve">. Common sense </w:t>
      </w:r>
      <w:r w:rsidR="00D82B5A">
        <w:rPr>
          <w:rFonts w:ascii="Times New Roman" w:hAnsi="Times New Roman" w:cs="Times New Roman"/>
          <w:sz w:val="24"/>
          <w:szCs w:val="24"/>
        </w:rPr>
        <w:t>dictates that it would have required the applicant to cite Mr Coumbis so that he is placed in a position to answer the serious and damaging allegations against him.</w:t>
      </w:r>
      <w:r w:rsidR="00185596">
        <w:rPr>
          <w:rFonts w:ascii="Times New Roman" w:hAnsi="Times New Roman" w:cs="Times New Roman"/>
          <w:sz w:val="24"/>
          <w:szCs w:val="24"/>
        </w:rPr>
        <w:t xml:space="preserve"> As things stand, I am unable to make any adverse findings against a</w:t>
      </w:r>
      <w:r w:rsidR="00251FCB">
        <w:rPr>
          <w:rFonts w:ascii="Times New Roman" w:hAnsi="Times New Roman" w:cs="Times New Roman"/>
          <w:sz w:val="24"/>
          <w:szCs w:val="24"/>
        </w:rPr>
        <w:t xml:space="preserve"> party who is not before me to found the relief that the applicant is seeking.</w:t>
      </w:r>
      <w:r w:rsidR="00111BBD">
        <w:rPr>
          <w:rFonts w:ascii="Times New Roman" w:hAnsi="Times New Roman" w:cs="Times New Roman"/>
          <w:sz w:val="24"/>
          <w:szCs w:val="24"/>
        </w:rPr>
        <w:t xml:space="preserve"> </w:t>
      </w:r>
      <w:r w:rsidR="00E912E4">
        <w:rPr>
          <w:rFonts w:ascii="Times New Roman" w:hAnsi="Times New Roman" w:cs="Times New Roman"/>
          <w:sz w:val="24"/>
          <w:szCs w:val="24"/>
        </w:rPr>
        <w:t xml:space="preserve">If the applicant believes that Mr Coumbis </w:t>
      </w:r>
      <w:r w:rsidR="00E912E4">
        <w:rPr>
          <w:rFonts w:ascii="Times New Roman" w:hAnsi="Times New Roman" w:cs="Times New Roman"/>
          <w:sz w:val="24"/>
          <w:szCs w:val="24"/>
        </w:rPr>
        <w:lastRenderedPageBreak/>
        <w:t xml:space="preserve">acted in a manner detrimental to her 80% shareholding, </w:t>
      </w:r>
      <w:r w:rsidR="00FC653F">
        <w:rPr>
          <w:rFonts w:ascii="Times New Roman" w:hAnsi="Times New Roman" w:cs="Times New Roman"/>
          <w:sz w:val="24"/>
          <w:szCs w:val="24"/>
        </w:rPr>
        <w:t xml:space="preserve">there would obviously be a remedy which resides </w:t>
      </w:r>
      <w:r w:rsidR="00857AF8">
        <w:rPr>
          <w:rFonts w:ascii="Times New Roman" w:hAnsi="Times New Roman" w:cs="Times New Roman"/>
          <w:sz w:val="24"/>
          <w:szCs w:val="24"/>
        </w:rPr>
        <w:t xml:space="preserve">in other areas of the law, but certainly not in the application in </w:t>
      </w:r>
      <w:r w:rsidR="00857AF8" w:rsidRPr="00857AF8">
        <w:rPr>
          <w:rFonts w:ascii="Times New Roman" w:hAnsi="Times New Roman" w:cs="Times New Roman"/>
          <w:i/>
          <w:sz w:val="24"/>
          <w:szCs w:val="24"/>
        </w:rPr>
        <w:t>casu</w:t>
      </w:r>
      <w:r w:rsidR="00857AF8">
        <w:rPr>
          <w:rFonts w:ascii="Times New Roman" w:hAnsi="Times New Roman" w:cs="Times New Roman"/>
          <w:sz w:val="24"/>
          <w:szCs w:val="24"/>
        </w:rPr>
        <w:t>.</w:t>
      </w:r>
      <w:r w:rsidR="001E61A1">
        <w:rPr>
          <w:rFonts w:ascii="Times New Roman" w:hAnsi="Times New Roman" w:cs="Times New Roman"/>
          <w:sz w:val="24"/>
          <w:szCs w:val="24"/>
        </w:rPr>
        <w:tab/>
      </w:r>
    </w:p>
    <w:p w:rsidR="009538FB" w:rsidRDefault="009538FB" w:rsidP="00F9465E">
      <w:pPr>
        <w:spacing w:after="0"/>
        <w:jc w:val="both"/>
        <w:rPr>
          <w:rFonts w:ascii="Times New Roman" w:hAnsi="Times New Roman" w:cs="Times New Roman"/>
          <w:sz w:val="24"/>
          <w:szCs w:val="24"/>
        </w:rPr>
      </w:pPr>
    </w:p>
    <w:p w:rsidR="006805B0" w:rsidRPr="005E5448" w:rsidRDefault="008632EE" w:rsidP="009F4C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DC7C91" w:rsidRDefault="00A41184" w:rsidP="00A4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come to the conclusion that the 80% shareholding that the Supreme Court order awarded the applicant in the judgment in SC 130</w:t>
      </w:r>
      <w:r w:rsidR="00DC7C91">
        <w:rPr>
          <w:rFonts w:ascii="Times New Roman" w:hAnsi="Times New Roman" w:cs="Times New Roman"/>
          <w:sz w:val="24"/>
          <w:szCs w:val="24"/>
        </w:rPr>
        <w:t xml:space="preserve">/21 is not the same as saying that she was awarded the property, Stand 9064. As I have said, that is a misinterpretation of that order. </w:t>
      </w:r>
      <w:r w:rsidR="00FC7009">
        <w:rPr>
          <w:rFonts w:ascii="Times New Roman" w:hAnsi="Times New Roman" w:cs="Times New Roman"/>
          <w:sz w:val="24"/>
          <w:szCs w:val="24"/>
        </w:rPr>
        <w:t>In any event, I am also satisfied that the applicant has not establish</w:t>
      </w:r>
      <w:r w:rsidR="00265EA3">
        <w:rPr>
          <w:rFonts w:ascii="Times New Roman" w:hAnsi="Times New Roman" w:cs="Times New Roman"/>
          <w:sz w:val="24"/>
          <w:szCs w:val="24"/>
        </w:rPr>
        <w:t>ed the cause of action that is the foundation of the relief sought. Either wa</w:t>
      </w:r>
      <w:r w:rsidR="00B87BAD">
        <w:rPr>
          <w:rFonts w:ascii="Times New Roman" w:hAnsi="Times New Roman" w:cs="Times New Roman"/>
          <w:sz w:val="24"/>
          <w:szCs w:val="24"/>
        </w:rPr>
        <w:t xml:space="preserve">y, I am </w:t>
      </w:r>
      <w:r w:rsidR="00EE5FAA">
        <w:rPr>
          <w:rFonts w:ascii="Times New Roman" w:hAnsi="Times New Roman" w:cs="Times New Roman"/>
          <w:sz w:val="24"/>
          <w:szCs w:val="24"/>
        </w:rPr>
        <w:t xml:space="preserve">not </w:t>
      </w:r>
      <w:r w:rsidR="00B87BAD">
        <w:rPr>
          <w:rFonts w:ascii="Times New Roman" w:hAnsi="Times New Roman" w:cs="Times New Roman"/>
          <w:sz w:val="24"/>
          <w:szCs w:val="24"/>
        </w:rPr>
        <w:t>incli</w:t>
      </w:r>
      <w:r w:rsidR="00EE5FAA">
        <w:rPr>
          <w:rFonts w:ascii="Times New Roman" w:hAnsi="Times New Roman" w:cs="Times New Roman"/>
          <w:sz w:val="24"/>
          <w:szCs w:val="24"/>
        </w:rPr>
        <w:t xml:space="preserve">ned </w:t>
      </w:r>
      <w:r w:rsidR="00B87BAD">
        <w:rPr>
          <w:rFonts w:ascii="Times New Roman" w:hAnsi="Times New Roman" w:cs="Times New Roman"/>
          <w:sz w:val="24"/>
          <w:szCs w:val="24"/>
        </w:rPr>
        <w:t>to grant her the declaraters that she has asked for.</w:t>
      </w:r>
      <w:r w:rsidR="00DC7C91">
        <w:rPr>
          <w:rFonts w:ascii="Times New Roman" w:hAnsi="Times New Roman" w:cs="Times New Roman"/>
          <w:sz w:val="24"/>
          <w:szCs w:val="24"/>
        </w:rPr>
        <w:t xml:space="preserve"> </w:t>
      </w:r>
    </w:p>
    <w:p w:rsidR="00523E38" w:rsidRDefault="006E39E5" w:rsidP="00A4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15652B">
        <w:rPr>
          <w:rFonts w:ascii="Times New Roman" w:hAnsi="Times New Roman" w:cs="Times New Roman"/>
          <w:sz w:val="24"/>
          <w:szCs w:val="24"/>
        </w:rPr>
        <w:t xml:space="preserve">, </w:t>
      </w:r>
      <w:r>
        <w:rPr>
          <w:rFonts w:ascii="Times New Roman" w:hAnsi="Times New Roman" w:cs="Times New Roman"/>
          <w:sz w:val="24"/>
          <w:szCs w:val="24"/>
        </w:rPr>
        <w:t xml:space="preserve">the issue of costs arises. The </w:t>
      </w:r>
      <w:r w:rsidR="003C3C9E">
        <w:rPr>
          <w:rFonts w:ascii="Times New Roman" w:hAnsi="Times New Roman" w:cs="Times New Roman"/>
          <w:sz w:val="24"/>
          <w:szCs w:val="24"/>
        </w:rPr>
        <w:t>second</w:t>
      </w:r>
      <w:r>
        <w:rPr>
          <w:rFonts w:ascii="Times New Roman" w:hAnsi="Times New Roman" w:cs="Times New Roman"/>
          <w:sz w:val="24"/>
          <w:szCs w:val="24"/>
        </w:rPr>
        <w:t xml:space="preserve"> respondent has asked for costs on an attorney and client scale. I find </w:t>
      </w:r>
      <w:r w:rsidR="0015652B">
        <w:rPr>
          <w:rFonts w:ascii="Times New Roman" w:hAnsi="Times New Roman" w:cs="Times New Roman"/>
          <w:sz w:val="24"/>
          <w:szCs w:val="24"/>
        </w:rPr>
        <w:t>no reason to depart from the general rule that costs follow the result.</w:t>
      </w:r>
      <w:r w:rsidR="002C20B0">
        <w:rPr>
          <w:rFonts w:ascii="Times New Roman" w:hAnsi="Times New Roman" w:cs="Times New Roman"/>
          <w:sz w:val="24"/>
          <w:szCs w:val="24"/>
        </w:rPr>
        <w:t xml:space="preserve"> </w:t>
      </w:r>
      <w:r w:rsidR="000461DD">
        <w:rPr>
          <w:rFonts w:ascii="Times New Roman" w:hAnsi="Times New Roman" w:cs="Times New Roman"/>
          <w:sz w:val="24"/>
          <w:szCs w:val="24"/>
        </w:rPr>
        <w:t>The issues before me were not complex. The Supreme Court order, upon which the relief sought was based, is clear on wha</w:t>
      </w:r>
      <w:r w:rsidR="007D2204">
        <w:rPr>
          <w:rFonts w:ascii="Times New Roman" w:hAnsi="Times New Roman" w:cs="Times New Roman"/>
          <w:sz w:val="24"/>
          <w:szCs w:val="24"/>
        </w:rPr>
        <w:t>t was awarded to the applicant, and is not in any way ambivalent.</w:t>
      </w:r>
      <w:r w:rsidR="0045073D">
        <w:rPr>
          <w:rFonts w:ascii="Times New Roman" w:hAnsi="Times New Roman" w:cs="Times New Roman"/>
          <w:sz w:val="24"/>
          <w:szCs w:val="24"/>
        </w:rPr>
        <w:t xml:space="preserve"> Moreover, </w:t>
      </w:r>
      <w:r w:rsidR="00B2252F">
        <w:rPr>
          <w:rFonts w:ascii="Times New Roman" w:hAnsi="Times New Roman" w:cs="Times New Roman"/>
          <w:sz w:val="24"/>
          <w:szCs w:val="24"/>
        </w:rPr>
        <w:t>what intrigued me were</w:t>
      </w:r>
      <w:r w:rsidR="0045073D">
        <w:rPr>
          <w:rFonts w:ascii="Times New Roman" w:hAnsi="Times New Roman" w:cs="Times New Roman"/>
          <w:sz w:val="24"/>
          <w:szCs w:val="24"/>
        </w:rPr>
        <w:t xml:space="preserve"> </w:t>
      </w:r>
      <w:r w:rsidR="00B2252F">
        <w:rPr>
          <w:rFonts w:ascii="Times New Roman" w:hAnsi="Times New Roman" w:cs="Times New Roman"/>
          <w:sz w:val="24"/>
          <w:szCs w:val="24"/>
        </w:rPr>
        <w:t xml:space="preserve">the allegations of fraud and malice made against a party not before the court and the invitation that I make an adverse finding against such a party in order to found the relief sought before the court. That is unacceptable. </w:t>
      </w:r>
      <w:r w:rsidR="000D2853">
        <w:rPr>
          <w:rFonts w:ascii="Times New Roman" w:hAnsi="Times New Roman" w:cs="Times New Roman"/>
          <w:sz w:val="24"/>
          <w:szCs w:val="24"/>
        </w:rPr>
        <w:t xml:space="preserve">Hence, the displeasure of the court had to be reflected in my treatment of the aspect of costs. </w:t>
      </w:r>
      <w:r w:rsidR="007D2204">
        <w:rPr>
          <w:rFonts w:ascii="Times New Roman" w:hAnsi="Times New Roman" w:cs="Times New Roman"/>
          <w:sz w:val="24"/>
          <w:szCs w:val="24"/>
        </w:rPr>
        <w:t>Thus, I do not have any reason for not granting costs</w:t>
      </w:r>
      <w:r w:rsidR="002C20B0">
        <w:rPr>
          <w:rFonts w:ascii="Times New Roman" w:hAnsi="Times New Roman" w:cs="Times New Roman"/>
          <w:sz w:val="24"/>
          <w:szCs w:val="24"/>
        </w:rPr>
        <w:t xml:space="preserve"> on the higher scale of attorney and client</w:t>
      </w:r>
      <w:r w:rsidR="00DE73D2">
        <w:rPr>
          <w:rFonts w:ascii="Times New Roman" w:hAnsi="Times New Roman" w:cs="Times New Roman"/>
          <w:sz w:val="24"/>
          <w:szCs w:val="24"/>
        </w:rPr>
        <w:t xml:space="preserve"> a</w:t>
      </w:r>
      <w:r w:rsidR="007D2204">
        <w:rPr>
          <w:rFonts w:ascii="Times New Roman" w:hAnsi="Times New Roman" w:cs="Times New Roman"/>
          <w:sz w:val="24"/>
          <w:szCs w:val="24"/>
        </w:rPr>
        <w:t xml:space="preserve">s prayed for by the </w:t>
      </w:r>
      <w:r w:rsidR="003C3C9E">
        <w:rPr>
          <w:rFonts w:ascii="Times New Roman" w:hAnsi="Times New Roman" w:cs="Times New Roman"/>
          <w:sz w:val="24"/>
          <w:szCs w:val="24"/>
        </w:rPr>
        <w:t>second</w:t>
      </w:r>
      <w:r w:rsidR="0045073D">
        <w:rPr>
          <w:rFonts w:ascii="Times New Roman" w:hAnsi="Times New Roman" w:cs="Times New Roman"/>
          <w:sz w:val="24"/>
          <w:szCs w:val="24"/>
        </w:rPr>
        <w:t xml:space="preserve"> respondent</w:t>
      </w:r>
      <w:r w:rsidR="00122DF2">
        <w:rPr>
          <w:rFonts w:ascii="Times New Roman" w:hAnsi="Times New Roman" w:cs="Times New Roman"/>
          <w:sz w:val="24"/>
          <w:szCs w:val="24"/>
        </w:rPr>
        <w:t>.</w:t>
      </w:r>
    </w:p>
    <w:p w:rsidR="00DA746B" w:rsidRPr="001D59E3" w:rsidRDefault="002B30FD" w:rsidP="00DA746B">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p>
    <w:p w:rsidR="00DA746B" w:rsidRPr="003F36E2" w:rsidRDefault="003F36E2" w:rsidP="00DA746B">
      <w:pPr>
        <w:spacing w:after="0" w:line="360" w:lineRule="auto"/>
        <w:jc w:val="both"/>
        <w:rPr>
          <w:rFonts w:ascii="Times New Roman" w:hAnsi="Times New Roman" w:cs="Times New Roman"/>
          <w:b/>
          <w:sz w:val="24"/>
          <w:szCs w:val="24"/>
        </w:rPr>
      </w:pPr>
      <w:r w:rsidRPr="003F36E2">
        <w:rPr>
          <w:rFonts w:ascii="Times New Roman" w:hAnsi="Times New Roman" w:cs="Times New Roman"/>
          <w:b/>
          <w:sz w:val="24"/>
          <w:szCs w:val="24"/>
        </w:rPr>
        <w:t>Disposition</w:t>
      </w:r>
    </w:p>
    <w:p w:rsidR="003F36E2" w:rsidRPr="003F36E2" w:rsidRDefault="003F36E2" w:rsidP="00DA746B">
      <w:pPr>
        <w:spacing w:after="0" w:line="360" w:lineRule="auto"/>
        <w:jc w:val="both"/>
        <w:rPr>
          <w:rFonts w:ascii="Times New Roman" w:hAnsi="Times New Roman" w:cs="Times New Roman"/>
          <w:sz w:val="10"/>
          <w:szCs w:val="10"/>
        </w:rPr>
      </w:pPr>
      <w:r>
        <w:rPr>
          <w:rFonts w:ascii="Times New Roman" w:hAnsi="Times New Roman" w:cs="Times New Roman"/>
          <w:sz w:val="24"/>
          <w:szCs w:val="24"/>
        </w:rPr>
        <w:tab/>
      </w:r>
    </w:p>
    <w:p w:rsidR="003F36E2" w:rsidRDefault="003F36E2" w:rsidP="00DA74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grant the following order.</w:t>
      </w:r>
    </w:p>
    <w:p w:rsidR="003F7DE0" w:rsidRPr="003F7DE0" w:rsidRDefault="003F7DE0" w:rsidP="00DA746B">
      <w:pPr>
        <w:spacing w:after="0" w:line="360" w:lineRule="auto"/>
        <w:jc w:val="both"/>
        <w:rPr>
          <w:rFonts w:ascii="Times New Roman" w:hAnsi="Times New Roman" w:cs="Times New Roman"/>
          <w:sz w:val="12"/>
          <w:szCs w:val="12"/>
        </w:rPr>
      </w:pPr>
    </w:p>
    <w:p w:rsidR="00A32E19" w:rsidRDefault="00A32E19" w:rsidP="00781FC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in </w:t>
      </w:r>
      <w:r w:rsidRPr="00A32E19">
        <w:rPr>
          <w:rFonts w:ascii="Times New Roman" w:hAnsi="Times New Roman" w:cs="Times New Roman"/>
          <w:i/>
          <w:sz w:val="24"/>
          <w:szCs w:val="24"/>
        </w:rPr>
        <w:t>limine</w:t>
      </w:r>
      <w:r>
        <w:rPr>
          <w:rFonts w:ascii="Times New Roman" w:hAnsi="Times New Roman" w:cs="Times New Roman"/>
          <w:sz w:val="24"/>
          <w:szCs w:val="24"/>
        </w:rPr>
        <w:t xml:space="preserve"> on locus standi be and is hereby dismissed.</w:t>
      </w:r>
    </w:p>
    <w:p w:rsidR="001D7C04" w:rsidRPr="00A32E19" w:rsidRDefault="00D93379" w:rsidP="00A32E1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r w:rsidR="00A32E19">
        <w:rPr>
          <w:rFonts w:ascii="Times New Roman" w:hAnsi="Times New Roman" w:cs="Times New Roman"/>
          <w:sz w:val="24"/>
          <w:szCs w:val="24"/>
        </w:rPr>
        <w:t>.</w:t>
      </w:r>
    </w:p>
    <w:p w:rsidR="003F7DE0" w:rsidRDefault="00D93379" w:rsidP="00781FC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the </w:t>
      </w:r>
      <w:r w:rsidR="003C3C9E">
        <w:rPr>
          <w:rFonts w:ascii="Times New Roman" w:hAnsi="Times New Roman" w:cs="Times New Roman"/>
          <w:sz w:val="24"/>
          <w:szCs w:val="24"/>
        </w:rPr>
        <w:t>second</w:t>
      </w:r>
      <w:r>
        <w:rPr>
          <w:rFonts w:ascii="Times New Roman" w:hAnsi="Times New Roman" w:cs="Times New Roman"/>
          <w:sz w:val="24"/>
          <w:szCs w:val="24"/>
        </w:rPr>
        <w:t xml:space="preserve"> respondent’s costs on the scale of attorney and client.</w:t>
      </w:r>
    </w:p>
    <w:p w:rsidR="001D7C04" w:rsidRPr="001D7C04" w:rsidRDefault="001D7C04" w:rsidP="001D7C04">
      <w:pPr>
        <w:spacing w:after="0" w:line="360" w:lineRule="auto"/>
        <w:jc w:val="both"/>
        <w:rPr>
          <w:rFonts w:ascii="Times New Roman" w:hAnsi="Times New Roman" w:cs="Times New Roman"/>
          <w:sz w:val="8"/>
          <w:szCs w:val="8"/>
        </w:rPr>
      </w:pPr>
    </w:p>
    <w:p w:rsidR="003F36E2" w:rsidRDefault="003F36E2" w:rsidP="00DA746B">
      <w:pPr>
        <w:spacing w:after="0" w:line="360" w:lineRule="auto"/>
        <w:jc w:val="both"/>
        <w:rPr>
          <w:rFonts w:ascii="Times New Roman" w:hAnsi="Times New Roman" w:cs="Times New Roman"/>
          <w:sz w:val="24"/>
          <w:szCs w:val="24"/>
        </w:rPr>
      </w:pPr>
    </w:p>
    <w:p w:rsidR="003F36E2" w:rsidRDefault="003F36E2" w:rsidP="00DA746B">
      <w:pPr>
        <w:spacing w:after="0" w:line="360" w:lineRule="auto"/>
        <w:jc w:val="both"/>
        <w:rPr>
          <w:rFonts w:ascii="Times New Roman" w:hAnsi="Times New Roman" w:cs="Times New Roman"/>
          <w:sz w:val="24"/>
          <w:szCs w:val="24"/>
        </w:rPr>
      </w:pPr>
    </w:p>
    <w:p w:rsidR="00DA746B" w:rsidRDefault="00D6029F" w:rsidP="00DA74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Sibanda Commercial Lawyers</w:t>
      </w:r>
      <w:r w:rsidR="00DA746B">
        <w:rPr>
          <w:rFonts w:ascii="Times New Roman" w:hAnsi="Times New Roman" w:cs="Times New Roman"/>
          <w:sz w:val="24"/>
          <w:szCs w:val="24"/>
        </w:rPr>
        <w:t xml:space="preserve">, </w:t>
      </w:r>
      <w:r>
        <w:rPr>
          <w:rFonts w:ascii="Times New Roman" w:hAnsi="Times New Roman" w:cs="Times New Roman"/>
          <w:sz w:val="24"/>
          <w:szCs w:val="24"/>
        </w:rPr>
        <w:t>applicant’s legal practitioners</w:t>
      </w:r>
    </w:p>
    <w:p w:rsidR="00DA746B" w:rsidRPr="00DA746B" w:rsidRDefault="00353611" w:rsidP="00DA74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Samukange Hungwe Attorneys</w:t>
      </w:r>
      <w:r w:rsidR="007B4EC1">
        <w:rPr>
          <w:rFonts w:ascii="Times New Roman" w:hAnsi="Times New Roman" w:cs="Times New Roman"/>
          <w:sz w:val="24"/>
          <w:szCs w:val="24"/>
        </w:rPr>
        <w:t xml:space="preserve">, </w:t>
      </w:r>
      <w:r w:rsidR="003C3C9E">
        <w:rPr>
          <w:rFonts w:ascii="Times New Roman" w:hAnsi="Times New Roman" w:cs="Times New Roman"/>
          <w:sz w:val="24"/>
          <w:szCs w:val="24"/>
        </w:rPr>
        <w:t>second</w:t>
      </w:r>
      <w:r w:rsidR="007B4EC1">
        <w:rPr>
          <w:rFonts w:ascii="Times New Roman" w:hAnsi="Times New Roman" w:cs="Times New Roman"/>
          <w:sz w:val="24"/>
          <w:szCs w:val="24"/>
        </w:rPr>
        <w:t xml:space="preserve"> </w:t>
      </w:r>
      <w:r w:rsidR="00DA746B">
        <w:rPr>
          <w:rFonts w:ascii="Times New Roman" w:hAnsi="Times New Roman" w:cs="Times New Roman"/>
          <w:sz w:val="24"/>
          <w:szCs w:val="24"/>
        </w:rPr>
        <w:t xml:space="preserve">respondent’s legal practitioners </w:t>
      </w:r>
    </w:p>
    <w:p w:rsidR="0029605C" w:rsidRPr="005C636A" w:rsidRDefault="0029605C" w:rsidP="009F4C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29605C" w:rsidRPr="005C63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30" w:rsidRDefault="006A6D30" w:rsidP="00DF2C2E">
      <w:pPr>
        <w:spacing w:after="0" w:line="240" w:lineRule="auto"/>
      </w:pPr>
      <w:r>
        <w:separator/>
      </w:r>
    </w:p>
  </w:endnote>
  <w:endnote w:type="continuationSeparator" w:id="0">
    <w:p w:rsidR="006A6D30" w:rsidRDefault="006A6D30" w:rsidP="00DF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30" w:rsidRDefault="006A6D30" w:rsidP="00DF2C2E">
      <w:pPr>
        <w:spacing w:after="0" w:line="240" w:lineRule="auto"/>
      </w:pPr>
      <w:r>
        <w:separator/>
      </w:r>
    </w:p>
  </w:footnote>
  <w:footnote w:type="continuationSeparator" w:id="0">
    <w:p w:rsidR="006A6D30" w:rsidRDefault="006A6D30" w:rsidP="00DF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43061"/>
      <w:docPartObj>
        <w:docPartGallery w:val="Page Numbers (Top of Page)"/>
        <w:docPartUnique/>
      </w:docPartObj>
    </w:sdtPr>
    <w:sdtEndPr>
      <w:rPr>
        <w:noProof/>
      </w:rPr>
    </w:sdtEndPr>
    <w:sdtContent>
      <w:p w:rsidR="006A6D30" w:rsidRDefault="006A6D30">
        <w:pPr>
          <w:pStyle w:val="Header"/>
          <w:jc w:val="right"/>
          <w:rPr>
            <w:noProof/>
          </w:rPr>
        </w:pPr>
        <w:r>
          <w:fldChar w:fldCharType="begin"/>
        </w:r>
        <w:r>
          <w:instrText xml:space="preserve"> PAGE   \* MERGEFORMAT </w:instrText>
        </w:r>
        <w:r>
          <w:fldChar w:fldCharType="separate"/>
        </w:r>
        <w:r w:rsidR="002B2EBF">
          <w:rPr>
            <w:noProof/>
          </w:rPr>
          <w:t>1</w:t>
        </w:r>
        <w:r>
          <w:rPr>
            <w:noProof/>
          </w:rPr>
          <w:fldChar w:fldCharType="end"/>
        </w:r>
      </w:p>
      <w:p w:rsidR="006A6D30" w:rsidRDefault="006A6D30">
        <w:pPr>
          <w:pStyle w:val="Header"/>
          <w:jc w:val="right"/>
          <w:rPr>
            <w:noProof/>
          </w:rPr>
        </w:pPr>
        <w:r>
          <w:rPr>
            <w:noProof/>
          </w:rPr>
          <w:t>HH</w:t>
        </w:r>
        <w:r w:rsidR="006C64FA">
          <w:rPr>
            <w:noProof/>
          </w:rPr>
          <w:t xml:space="preserve"> 740-22</w:t>
        </w:r>
      </w:p>
      <w:p w:rsidR="006A6D30" w:rsidRDefault="006A6D30">
        <w:pPr>
          <w:pStyle w:val="Header"/>
          <w:jc w:val="right"/>
          <w:rPr>
            <w:noProof/>
          </w:rPr>
        </w:pPr>
        <w:r>
          <w:rPr>
            <w:noProof/>
          </w:rPr>
          <w:t>HC 2000/22</w:t>
        </w:r>
      </w:p>
      <w:p w:rsidR="006A6D30" w:rsidRDefault="006A6D30">
        <w:pPr>
          <w:pStyle w:val="Header"/>
          <w:jc w:val="right"/>
          <w:rPr>
            <w:noProof/>
          </w:rPr>
        </w:pPr>
        <w:r>
          <w:rPr>
            <w:noProof/>
          </w:rPr>
          <w:t>REF CASE: SC 130/21</w:t>
        </w:r>
      </w:p>
      <w:p w:rsidR="006A6D30" w:rsidRDefault="002B2EBF">
        <w:pPr>
          <w:pStyle w:val="Header"/>
          <w:jc w:val="right"/>
        </w:pPr>
      </w:p>
    </w:sdtContent>
  </w:sdt>
  <w:p w:rsidR="006A6D30" w:rsidRDefault="006A6D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8F69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A1079"/>
    <w:multiLevelType w:val="hybridMultilevel"/>
    <w:tmpl w:val="1E7AA4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5037D5"/>
    <w:multiLevelType w:val="hybridMultilevel"/>
    <w:tmpl w:val="7988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A0A3C"/>
    <w:multiLevelType w:val="hybridMultilevel"/>
    <w:tmpl w:val="6C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2112F"/>
    <w:multiLevelType w:val="hybridMultilevel"/>
    <w:tmpl w:val="A6F0D964"/>
    <w:lvl w:ilvl="0" w:tplc="8CBC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C7027"/>
    <w:multiLevelType w:val="hybridMultilevel"/>
    <w:tmpl w:val="CE00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1202B"/>
    <w:multiLevelType w:val="hybridMultilevel"/>
    <w:tmpl w:val="A1B64F3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C292F81"/>
    <w:multiLevelType w:val="hybridMultilevel"/>
    <w:tmpl w:val="508C6B5A"/>
    <w:lvl w:ilvl="0" w:tplc="E20EE4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E7971BA"/>
    <w:multiLevelType w:val="hybridMultilevel"/>
    <w:tmpl w:val="0F36EFC2"/>
    <w:lvl w:ilvl="0" w:tplc="4730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47B2B"/>
    <w:multiLevelType w:val="hybridMultilevel"/>
    <w:tmpl w:val="B2CA5B9E"/>
    <w:lvl w:ilvl="0" w:tplc="198A3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3"/>
  </w:num>
  <w:num w:numId="5">
    <w:abstractNumId w:val="2"/>
  </w:num>
  <w:num w:numId="6">
    <w:abstractNumId w:val="9"/>
  </w:num>
  <w:num w:numId="7">
    <w:abstractNumId w:val="0"/>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A"/>
    <w:rsid w:val="00006350"/>
    <w:rsid w:val="00013367"/>
    <w:rsid w:val="000153D4"/>
    <w:rsid w:val="00015D67"/>
    <w:rsid w:val="00016B5A"/>
    <w:rsid w:val="00020646"/>
    <w:rsid w:val="00020EB5"/>
    <w:rsid w:val="000211A9"/>
    <w:rsid w:val="0002427E"/>
    <w:rsid w:val="000249FA"/>
    <w:rsid w:val="00025C0A"/>
    <w:rsid w:val="00026756"/>
    <w:rsid w:val="00026BB7"/>
    <w:rsid w:val="000350BD"/>
    <w:rsid w:val="000369B3"/>
    <w:rsid w:val="00037844"/>
    <w:rsid w:val="00037C56"/>
    <w:rsid w:val="00037C75"/>
    <w:rsid w:val="000412DC"/>
    <w:rsid w:val="000413BE"/>
    <w:rsid w:val="0004426A"/>
    <w:rsid w:val="000461DD"/>
    <w:rsid w:val="00047356"/>
    <w:rsid w:val="0005168A"/>
    <w:rsid w:val="00054352"/>
    <w:rsid w:val="00057C41"/>
    <w:rsid w:val="00061717"/>
    <w:rsid w:val="00061BF4"/>
    <w:rsid w:val="00061CD6"/>
    <w:rsid w:val="00062C0C"/>
    <w:rsid w:val="00062E7B"/>
    <w:rsid w:val="00062F8D"/>
    <w:rsid w:val="000632C6"/>
    <w:rsid w:val="00064C01"/>
    <w:rsid w:val="00066086"/>
    <w:rsid w:val="00067AE4"/>
    <w:rsid w:val="00072243"/>
    <w:rsid w:val="000724F4"/>
    <w:rsid w:val="00073FE7"/>
    <w:rsid w:val="00080519"/>
    <w:rsid w:val="00080E39"/>
    <w:rsid w:val="00081722"/>
    <w:rsid w:val="00082B3F"/>
    <w:rsid w:val="00082B57"/>
    <w:rsid w:val="000830A8"/>
    <w:rsid w:val="0008376A"/>
    <w:rsid w:val="0008486A"/>
    <w:rsid w:val="00085205"/>
    <w:rsid w:val="00092E14"/>
    <w:rsid w:val="000A6E14"/>
    <w:rsid w:val="000B668D"/>
    <w:rsid w:val="000C129B"/>
    <w:rsid w:val="000C4CC4"/>
    <w:rsid w:val="000C7B0A"/>
    <w:rsid w:val="000D1C45"/>
    <w:rsid w:val="000D2853"/>
    <w:rsid w:val="000D4C0D"/>
    <w:rsid w:val="000D5343"/>
    <w:rsid w:val="000E07BB"/>
    <w:rsid w:val="000E0808"/>
    <w:rsid w:val="000E1076"/>
    <w:rsid w:val="000E1208"/>
    <w:rsid w:val="000E5F9E"/>
    <w:rsid w:val="000E6815"/>
    <w:rsid w:val="000E7775"/>
    <w:rsid w:val="000E7F1E"/>
    <w:rsid w:val="000F5A9D"/>
    <w:rsid w:val="000F6D9C"/>
    <w:rsid w:val="0010230D"/>
    <w:rsid w:val="00105B2A"/>
    <w:rsid w:val="00105F76"/>
    <w:rsid w:val="00110794"/>
    <w:rsid w:val="00110C69"/>
    <w:rsid w:val="00111BBD"/>
    <w:rsid w:val="0011440F"/>
    <w:rsid w:val="0011537A"/>
    <w:rsid w:val="00122DF2"/>
    <w:rsid w:val="00132B4E"/>
    <w:rsid w:val="00133AA3"/>
    <w:rsid w:val="00137767"/>
    <w:rsid w:val="001412EF"/>
    <w:rsid w:val="001464BB"/>
    <w:rsid w:val="00151CD9"/>
    <w:rsid w:val="00152452"/>
    <w:rsid w:val="0015505A"/>
    <w:rsid w:val="00155748"/>
    <w:rsid w:val="0015652B"/>
    <w:rsid w:val="0016269F"/>
    <w:rsid w:val="00166AEA"/>
    <w:rsid w:val="0016747B"/>
    <w:rsid w:val="0016767D"/>
    <w:rsid w:val="0016783A"/>
    <w:rsid w:val="001702E0"/>
    <w:rsid w:val="001709A8"/>
    <w:rsid w:val="00173AAE"/>
    <w:rsid w:val="001755C4"/>
    <w:rsid w:val="0017631A"/>
    <w:rsid w:val="0018077B"/>
    <w:rsid w:val="001808FD"/>
    <w:rsid w:val="00182A52"/>
    <w:rsid w:val="00183D2E"/>
    <w:rsid w:val="00185596"/>
    <w:rsid w:val="00186507"/>
    <w:rsid w:val="00191FEB"/>
    <w:rsid w:val="001971C9"/>
    <w:rsid w:val="001A00D2"/>
    <w:rsid w:val="001A1785"/>
    <w:rsid w:val="001A50F0"/>
    <w:rsid w:val="001A62FB"/>
    <w:rsid w:val="001A7235"/>
    <w:rsid w:val="001B08FB"/>
    <w:rsid w:val="001B1313"/>
    <w:rsid w:val="001B2C9F"/>
    <w:rsid w:val="001B54B6"/>
    <w:rsid w:val="001B6988"/>
    <w:rsid w:val="001B6A4C"/>
    <w:rsid w:val="001C0D72"/>
    <w:rsid w:val="001C1E95"/>
    <w:rsid w:val="001C3952"/>
    <w:rsid w:val="001C50C3"/>
    <w:rsid w:val="001C75B9"/>
    <w:rsid w:val="001D162F"/>
    <w:rsid w:val="001D255B"/>
    <w:rsid w:val="001D2965"/>
    <w:rsid w:val="001D2B22"/>
    <w:rsid w:val="001D3B09"/>
    <w:rsid w:val="001D3D23"/>
    <w:rsid w:val="001D58E1"/>
    <w:rsid w:val="001D59E3"/>
    <w:rsid w:val="001D5A7D"/>
    <w:rsid w:val="001D7C04"/>
    <w:rsid w:val="001E61A1"/>
    <w:rsid w:val="001E7A0C"/>
    <w:rsid w:val="001F1FD8"/>
    <w:rsid w:val="001F469A"/>
    <w:rsid w:val="001F7D45"/>
    <w:rsid w:val="002024CC"/>
    <w:rsid w:val="00206125"/>
    <w:rsid w:val="00207B08"/>
    <w:rsid w:val="00207E5A"/>
    <w:rsid w:val="0022214A"/>
    <w:rsid w:val="00222DAB"/>
    <w:rsid w:val="00223238"/>
    <w:rsid w:val="002232D0"/>
    <w:rsid w:val="00223AB0"/>
    <w:rsid w:val="00224DEB"/>
    <w:rsid w:val="002272CB"/>
    <w:rsid w:val="00227BFB"/>
    <w:rsid w:val="002301DD"/>
    <w:rsid w:val="00232703"/>
    <w:rsid w:val="00233C28"/>
    <w:rsid w:val="002348D2"/>
    <w:rsid w:val="00234F26"/>
    <w:rsid w:val="0023611C"/>
    <w:rsid w:val="002368CC"/>
    <w:rsid w:val="00236B42"/>
    <w:rsid w:val="00237757"/>
    <w:rsid w:val="0024497A"/>
    <w:rsid w:val="00251FCB"/>
    <w:rsid w:val="00253014"/>
    <w:rsid w:val="002530E9"/>
    <w:rsid w:val="00256EE7"/>
    <w:rsid w:val="00257751"/>
    <w:rsid w:val="0026122E"/>
    <w:rsid w:val="00264F6A"/>
    <w:rsid w:val="00265EA3"/>
    <w:rsid w:val="002661C6"/>
    <w:rsid w:val="0026650A"/>
    <w:rsid w:val="00266513"/>
    <w:rsid w:val="00275A5D"/>
    <w:rsid w:val="002834CA"/>
    <w:rsid w:val="00283E33"/>
    <w:rsid w:val="00287511"/>
    <w:rsid w:val="00287DF0"/>
    <w:rsid w:val="00290B1A"/>
    <w:rsid w:val="00291F17"/>
    <w:rsid w:val="00292D54"/>
    <w:rsid w:val="00292D87"/>
    <w:rsid w:val="00293A27"/>
    <w:rsid w:val="0029605C"/>
    <w:rsid w:val="002A0840"/>
    <w:rsid w:val="002A0B26"/>
    <w:rsid w:val="002A180B"/>
    <w:rsid w:val="002A2104"/>
    <w:rsid w:val="002A2FDD"/>
    <w:rsid w:val="002A3497"/>
    <w:rsid w:val="002A612B"/>
    <w:rsid w:val="002A7E70"/>
    <w:rsid w:val="002B25BC"/>
    <w:rsid w:val="002B2EBF"/>
    <w:rsid w:val="002B30FD"/>
    <w:rsid w:val="002B320B"/>
    <w:rsid w:val="002B3F72"/>
    <w:rsid w:val="002B627E"/>
    <w:rsid w:val="002B67D4"/>
    <w:rsid w:val="002B71DA"/>
    <w:rsid w:val="002C024C"/>
    <w:rsid w:val="002C07E7"/>
    <w:rsid w:val="002C20B0"/>
    <w:rsid w:val="002C2FB1"/>
    <w:rsid w:val="002C3074"/>
    <w:rsid w:val="002C3CCC"/>
    <w:rsid w:val="002C5D83"/>
    <w:rsid w:val="002D2ABA"/>
    <w:rsid w:val="002D3135"/>
    <w:rsid w:val="002D353E"/>
    <w:rsid w:val="002D37D2"/>
    <w:rsid w:val="002E2234"/>
    <w:rsid w:val="002E2BDA"/>
    <w:rsid w:val="002E2EC8"/>
    <w:rsid w:val="002E5922"/>
    <w:rsid w:val="002E6076"/>
    <w:rsid w:val="002E63C2"/>
    <w:rsid w:val="002E70D2"/>
    <w:rsid w:val="003005FD"/>
    <w:rsid w:val="003059F8"/>
    <w:rsid w:val="00310B62"/>
    <w:rsid w:val="003139D1"/>
    <w:rsid w:val="00314960"/>
    <w:rsid w:val="00314DBA"/>
    <w:rsid w:val="003151DE"/>
    <w:rsid w:val="00315304"/>
    <w:rsid w:val="003220F5"/>
    <w:rsid w:val="0032379D"/>
    <w:rsid w:val="00323B86"/>
    <w:rsid w:val="0032594B"/>
    <w:rsid w:val="003259A3"/>
    <w:rsid w:val="003335F6"/>
    <w:rsid w:val="00334C36"/>
    <w:rsid w:val="00335B45"/>
    <w:rsid w:val="003365D9"/>
    <w:rsid w:val="00340063"/>
    <w:rsid w:val="003407F2"/>
    <w:rsid w:val="0034135A"/>
    <w:rsid w:val="00341D0C"/>
    <w:rsid w:val="00341DF7"/>
    <w:rsid w:val="0034473D"/>
    <w:rsid w:val="00345615"/>
    <w:rsid w:val="00353611"/>
    <w:rsid w:val="00353D75"/>
    <w:rsid w:val="0035785C"/>
    <w:rsid w:val="00361787"/>
    <w:rsid w:val="003630C6"/>
    <w:rsid w:val="0036518C"/>
    <w:rsid w:val="003654C1"/>
    <w:rsid w:val="003660DD"/>
    <w:rsid w:val="00374A27"/>
    <w:rsid w:val="003762B4"/>
    <w:rsid w:val="003809FA"/>
    <w:rsid w:val="003833B6"/>
    <w:rsid w:val="00384429"/>
    <w:rsid w:val="00386B0C"/>
    <w:rsid w:val="00390E74"/>
    <w:rsid w:val="00391A95"/>
    <w:rsid w:val="003929D9"/>
    <w:rsid w:val="00397835"/>
    <w:rsid w:val="00397F2B"/>
    <w:rsid w:val="003A0EF3"/>
    <w:rsid w:val="003A1806"/>
    <w:rsid w:val="003A4B5E"/>
    <w:rsid w:val="003A5021"/>
    <w:rsid w:val="003A6A11"/>
    <w:rsid w:val="003A6E04"/>
    <w:rsid w:val="003B1CBB"/>
    <w:rsid w:val="003B58EF"/>
    <w:rsid w:val="003C3C01"/>
    <w:rsid w:val="003C3C9E"/>
    <w:rsid w:val="003C4043"/>
    <w:rsid w:val="003C6183"/>
    <w:rsid w:val="003C6543"/>
    <w:rsid w:val="003D0078"/>
    <w:rsid w:val="003D0F5C"/>
    <w:rsid w:val="003D1A20"/>
    <w:rsid w:val="003D3C26"/>
    <w:rsid w:val="003D479B"/>
    <w:rsid w:val="003D5E8C"/>
    <w:rsid w:val="003D62B7"/>
    <w:rsid w:val="003D711E"/>
    <w:rsid w:val="003D7529"/>
    <w:rsid w:val="003D7D0F"/>
    <w:rsid w:val="003E08A7"/>
    <w:rsid w:val="003E1DA2"/>
    <w:rsid w:val="003E1DB0"/>
    <w:rsid w:val="003E289A"/>
    <w:rsid w:val="003E3853"/>
    <w:rsid w:val="003E5DA2"/>
    <w:rsid w:val="003E73FE"/>
    <w:rsid w:val="003F0B50"/>
    <w:rsid w:val="003F36E2"/>
    <w:rsid w:val="003F3701"/>
    <w:rsid w:val="003F47B1"/>
    <w:rsid w:val="003F6CA6"/>
    <w:rsid w:val="003F7550"/>
    <w:rsid w:val="003F77B2"/>
    <w:rsid w:val="003F7DE0"/>
    <w:rsid w:val="004017BF"/>
    <w:rsid w:val="0040314A"/>
    <w:rsid w:val="00403C1B"/>
    <w:rsid w:val="0040481E"/>
    <w:rsid w:val="00404B7C"/>
    <w:rsid w:val="00405F08"/>
    <w:rsid w:val="004066FC"/>
    <w:rsid w:val="00406735"/>
    <w:rsid w:val="00406827"/>
    <w:rsid w:val="00406AE9"/>
    <w:rsid w:val="00407128"/>
    <w:rsid w:val="00407FD2"/>
    <w:rsid w:val="0041017E"/>
    <w:rsid w:val="00410FAF"/>
    <w:rsid w:val="004132DD"/>
    <w:rsid w:val="00414BAC"/>
    <w:rsid w:val="00414FAF"/>
    <w:rsid w:val="00415745"/>
    <w:rsid w:val="004168CE"/>
    <w:rsid w:val="00417E91"/>
    <w:rsid w:val="004212C1"/>
    <w:rsid w:val="00422AB3"/>
    <w:rsid w:val="004248B8"/>
    <w:rsid w:val="00426089"/>
    <w:rsid w:val="004266B8"/>
    <w:rsid w:val="00427C79"/>
    <w:rsid w:val="00430625"/>
    <w:rsid w:val="00430E35"/>
    <w:rsid w:val="00433AAB"/>
    <w:rsid w:val="0043710F"/>
    <w:rsid w:val="0044146E"/>
    <w:rsid w:val="00442939"/>
    <w:rsid w:val="00443180"/>
    <w:rsid w:val="004460C3"/>
    <w:rsid w:val="00446FA7"/>
    <w:rsid w:val="0045073D"/>
    <w:rsid w:val="00452622"/>
    <w:rsid w:val="004528AB"/>
    <w:rsid w:val="004552E2"/>
    <w:rsid w:val="00455BE8"/>
    <w:rsid w:val="00456D0F"/>
    <w:rsid w:val="00460DE5"/>
    <w:rsid w:val="00461E96"/>
    <w:rsid w:val="00462567"/>
    <w:rsid w:val="00463537"/>
    <w:rsid w:val="00465B25"/>
    <w:rsid w:val="00465F0D"/>
    <w:rsid w:val="00466444"/>
    <w:rsid w:val="004679BE"/>
    <w:rsid w:val="00473672"/>
    <w:rsid w:val="004746FC"/>
    <w:rsid w:val="00474DFB"/>
    <w:rsid w:val="004769A9"/>
    <w:rsid w:val="00476D34"/>
    <w:rsid w:val="004802B7"/>
    <w:rsid w:val="00481272"/>
    <w:rsid w:val="00482883"/>
    <w:rsid w:val="0048345A"/>
    <w:rsid w:val="00483BE5"/>
    <w:rsid w:val="00484032"/>
    <w:rsid w:val="00486700"/>
    <w:rsid w:val="00494024"/>
    <w:rsid w:val="00495036"/>
    <w:rsid w:val="004954FE"/>
    <w:rsid w:val="00495692"/>
    <w:rsid w:val="00496310"/>
    <w:rsid w:val="004A19D5"/>
    <w:rsid w:val="004A2FA6"/>
    <w:rsid w:val="004A30C6"/>
    <w:rsid w:val="004A511B"/>
    <w:rsid w:val="004A5572"/>
    <w:rsid w:val="004A58A2"/>
    <w:rsid w:val="004B0400"/>
    <w:rsid w:val="004B2ABF"/>
    <w:rsid w:val="004B3819"/>
    <w:rsid w:val="004B4FDF"/>
    <w:rsid w:val="004B566E"/>
    <w:rsid w:val="004C5300"/>
    <w:rsid w:val="004C6511"/>
    <w:rsid w:val="004C7210"/>
    <w:rsid w:val="004D3A57"/>
    <w:rsid w:val="004D749A"/>
    <w:rsid w:val="004D7587"/>
    <w:rsid w:val="004E1308"/>
    <w:rsid w:val="004E1B9F"/>
    <w:rsid w:val="004E1ED7"/>
    <w:rsid w:val="004E24B2"/>
    <w:rsid w:val="004E3441"/>
    <w:rsid w:val="004E43BA"/>
    <w:rsid w:val="004E4D7C"/>
    <w:rsid w:val="004E5DD5"/>
    <w:rsid w:val="004E6155"/>
    <w:rsid w:val="004E6200"/>
    <w:rsid w:val="004E75D2"/>
    <w:rsid w:val="004E7C9B"/>
    <w:rsid w:val="004F0C6F"/>
    <w:rsid w:val="004F0F6C"/>
    <w:rsid w:val="004F4443"/>
    <w:rsid w:val="004F6391"/>
    <w:rsid w:val="004F76FA"/>
    <w:rsid w:val="004F79B0"/>
    <w:rsid w:val="00501174"/>
    <w:rsid w:val="005026C9"/>
    <w:rsid w:val="0050438F"/>
    <w:rsid w:val="0050600D"/>
    <w:rsid w:val="00511128"/>
    <w:rsid w:val="0051141D"/>
    <w:rsid w:val="00512725"/>
    <w:rsid w:val="00513230"/>
    <w:rsid w:val="00514A81"/>
    <w:rsid w:val="00514DCE"/>
    <w:rsid w:val="00515BF8"/>
    <w:rsid w:val="00517FE0"/>
    <w:rsid w:val="0052066A"/>
    <w:rsid w:val="00521372"/>
    <w:rsid w:val="005221C1"/>
    <w:rsid w:val="00523E38"/>
    <w:rsid w:val="005241D8"/>
    <w:rsid w:val="00524752"/>
    <w:rsid w:val="005275EE"/>
    <w:rsid w:val="0053000A"/>
    <w:rsid w:val="005310AD"/>
    <w:rsid w:val="00531407"/>
    <w:rsid w:val="00534E30"/>
    <w:rsid w:val="00535569"/>
    <w:rsid w:val="0053611D"/>
    <w:rsid w:val="005366FD"/>
    <w:rsid w:val="005407AC"/>
    <w:rsid w:val="0054190E"/>
    <w:rsid w:val="00542D17"/>
    <w:rsid w:val="005436CC"/>
    <w:rsid w:val="0054486C"/>
    <w:rsid w:val="00544C65"/>
    <w:rsid w:val="0054574C"/>
    <w:rsid w:val="00545B6D"/>
    <w:rsid w:val="00546687"/>
    <w:rsid w:val="00547D3D"/>
    <w:rsid w:val="005543C8"/>
    <w:rsid w:val="00562565"/>
    <w:rsid w:val="005662F7"/>
    <w:rsid w:val="00566CB9"/>
    <w:rsid w:val="00576278"/>
    <w:rsid w:val="00577159"/>
    <w:rsid w:val="00582C53"/>
    <w:rsid w:val="005837DA"/>
    <w:rsid w:val="00585421"/>
    <w:rsid w:val="005864FA"/>
    <w:rsid w:val="00586F76"/>
    <w:rsid w:val="00587327"/>
    <w:rsid w:val="0058736C"/>
    <w:rsid w:val="005904C2"/>
    <w:rsid w:val="00590CEA"/>
    <w:rsid w:val="005937E3"/>
    <w:rsid w:val="00594925"/>
    <w:rsid w:val="005965C8"/>
    <w:rsid w:val="00597D90"/>
    <w:rsid w:val="005A1513"/>
    <w:rsid w:val="005A45BD"/>
    <w:rsid w:val="005A474B"/>
    <w:rsid w:val="005A5452"/>
    <w:rsid w:val="005A7749"/>
    <w:rsid w:val="005B5BBE"/>
    <w:rsid w:val="005B6DB6"/>
    <w:rsid w:val="005C28C0"/>
    <w:rsid w:val="005C47AD"/>
    <w:rsid w:val="005C4DF3"/>
    <w:rsid w:val="005C612B"/>
    <w:rsid w:val="005C636A"/>
    <w:rsid w:val="005C65CC"/>
    <w:rsid w:val="005C7C28"/>
    <w:rsid w:val="005D214C"/>
    <w:rsid w:val="005D3B22"/>
    <w:rsid w:val="005D5BEF"/>
    <w:rsid w:val="005D7AA8"/>
    <w:rsid w:val="005E5448"/>
    <w:rsid w:val="005E54BF"/>
    <w:rsid w:val="005F1922"/>
    <w:rsid w:val="005F5074"/>
    <w:rsid w:val="005F54EE"/>
    <w:rsid w:val="005F66D4"/>
    <w:rsid w:val="005F69D0"/>
    <w:rsid w:val="006016BF"/>
    <w:rsid w:val="00603045"/>
    <w:rsid w:val="006050C6"/>
    <w:rsid w:val="00605758"/>
    <w:rsid w:val="00605CB8"/>
    <w:rsid w:val="00611F03"/>
    <w:rsid w:val="0061250A"/>
    <w:rsid w:val="006153FA"/>
    <w:rsid w:val="00615D98"/>
    <w:rsid w:val="00621B0D"/>
    <w:rsid w:val="00622174"/>
    <w:rsid w:val="00626400"/>
    <w:rsid w:val="00630041"/>
    <w:rsid w:val="00631690"/>
    <w:rsid w:val="00631A63"/>
    <w:rsid w:val="00631D4B"/>
    <w:rsid w:val="006367DC"/>
    <w:rsid w:val="00640DE8"/>
    <w:rsid w:val="00641C9D"/>
    <w:rsid w:val="0064768E"/>
    <w:rsid w:val="0065289E"/>
    <w:rsid w:val="006531F2"/>
    <w:rsid w:val="00655532"/>
    <w:rsid w:val="00661B8F"/>
    <w:rsid w:val="00662E7F"/>
    <w:rsid w:val="00662EF9"/>
    <w:rsid w:val="00666B75"/>
    <w:rsid w:val="0066781E"/>
    <w:rsid w:val="00671B91"/>
    <w:rsid w:val="0067281E"/>
    <w:rsid w:val="0067368A"/>
    <w:rsid w:val="006745DF"/>
    <w:rsid w:val="00677796"/>
    <w:rsid w:val="006805B0"/>
    <w:rsid w:val="006844BB"/>
    <w:rsid w:val="00685D66"/>
    <w:rsid w:val="00686D64"/>
    <w:rsid w:val="00686F2D"/>
    <w:rsid w:val="00687AE4"/>
    <w:rsid w:val="00690568"/>
    <w:rsid w:val="00693175"/>
    <w:rsid w:val="006931C5"/>
    <w:rsid w:val="00694338"/>
    <w:rsid w:val="00696F8C"/>
    <w:rsid w:val="006A6D30"/>
    <w:rsid w:val="006B0938"/>
    <w:rsid w:val="006B2C7D"/>
    <w:rsid w:val="006B3988"/>
    <w:rsid w:val="006B3BB9"/>
    <w:rsid w:val="006B4440"/>
    <w:rsid w:val="006B4674"/>
    <w:rsid w:val="006B601F"/>
    <w:rsid w:val="006C0334"/>
    <w:rsid w:val="006C0757"/>
    <w:rsid w:val="006C1121"/>
    <w:rsid w:val="006C1CE6"/>
    <w:rsid w:val="006C2A53"/>
    <w:rsid w:val="006C2AEF"/>
    <w:rsid w:val="006C64FA"/>
    <w:rsid w:val="006C72BB"/>
    <w:rsid w:val="006D004E"/>
    <w:rsid w:val="006D2B20"/>
    <w:rsid w:val="006D48C7"/>
    <w:rsid w:val="006D6858"/>
    <w:rsid w:val="006E07EC"/>
    <w:rsid w:val="006E1A82"/>
    <w:rsid w:val="006E228B"/>
    <w:rsid w:val="006E39E5"/>
    <w:rsid w:val="006E50E2"/>
    <w:rsid w:val="006E51E5"/>
    <w:rsid w:val="006E76BD"/>
    <w:rsid w:val="006E7FF5"/>
    <w:rsid w:val="006F5CE8"/>
    <w:rsid w:val="00702524"/>
    <w:rsid w:val="00704FB1"/>
    <w:rsid w:val="00705B35"/>
    <w:rsid w:val="00707204"/>
    <w:rsid w:val="00712F34"/>
    <w:rsid w:val="007170F1"/>
    <w:rsid w:val="00721006"/>
    <w:rsid w:val="007219C6"/>
    <w:rsid w:val="007223D1"/>
    <w:rsid w:val="00725095"/>
    <w:rsid w:val="00726190"/>
    <w:rsid w:val="007269A9"/>
    <w:rsid w:val="0073065D"/>
    <w:rsid w:val="00731C52"/>
    <w:rsid w:val="00732EF4"/>
    <w:rsid w:val="00733EEB"/>
    <w:rsid w:val="00737983"/>
    <w:rsid w:val="00740CE0"/>
    <w:rsid w:val="00741D81"/>
    <w:rsid w:val="00741F69"/>
    <w:rsid w:val="00742EFC"/>
    <w:rsid w:val="00743FBC"/>
    <w:rsid w:val="00744016"/>
    <w:rsid w:val="00744088"/>
    <w:rsid w:val="007448B0"/>
    <w:rsid w:val="00745681"/>
    <w:rsid w:val="00751962"/>
    <w:rsid w:val="00753C3A"/>
    <w:rsid w:val="007556DD"/>
    <w:rsid w:val="007559F6"/>
    <w:rsid w:val="00771E25"/>
    <w:rsid w:val="00774335"/>
    <w:rsid w:val="00774765"/>
    <w:rsid w:val="00776DF5"/>
    <w:rsid w:val="00781E53"/>
    <w:rsid w:val="00781FC2"/>
    <w:rsid w:val="00785219"/>
    <w:rsid w:val="00785C51"/>
    <w:rsid w:val="00790BFC"/>
    <w:rsid w:val="00792306"/>
    <w:rsid w:val="00794484"/>
    <w:rsid w:val="0079539C"/>
    <w:rsid w:val="00796FEB"/>
    <w:rsid w:val="007974B3"/>
    <w:rsid w:val="007A3461"/>
    <w:rsid w:val="007A4349"/>
    <w:rsid w:val="007A48F3"/>
    <w:rsid w:val="007A4E59"/>
    <w:rsid w:val="007A4EC1"/>
    <w:rsid w:val="007A5514"/>
    <w:rsid w:val="007A6037"/>
    <w:rsid w:val="007B3338"/>
    <w:rsid w:val="007B39F7"/>
    <w:rsid w:val="007B4EC1"/>
    <w:rsid w:val="007B69A3"/>
    <w:rsid w:val="007C4FF2"/>
    <w:rsid w:val="007C55F6"/>
    <w:rsid w:val="007C7A86"/>
    <w:rsid w:val="007D0E5F"/>
    <w:rsid w:val="007D2204"/>
    <w:rsid w:val="007D23AE"/>
    <w:rsid w:val="007D3400"/>
    <w:rsid w:val="007D49DF"/>
    <w:rsid w:val="007D64C0"/>
    <w:rsid w:val="007E278D"/>
    <w:rsid w:val="007E3498"/>
    <w:rsid w:val="007E3BCF"/>
    <w:rsid w:val="007E56D7"/>
    <w:rsid w:val="007E6AB7"/>
    <w:rsid w:val="007E7BA2"/>
    <w:rsid w:val="007F36F6"/>
    <w:rsid w:val="007F4001"/>
    <w:rsid w:val="007F6013"/>
    <w:rsid w:val="007F73A1"/>
    <w:rsid w:val="007F7C6A"/>
    <w:rsid w:val="008025C1"/>
    <w:rsid w:val="00804A54"/>
    <w:rsid w:val="0080615E"/>
    <w:rsid w:val="00806819"/>
    <w:rsid w:val="00811F34"/>
    <w:rsid w:val="00812AE5"/>
    <w:rsid w:val="0081572E"/>
    <w:rsid w:val="00815E72"/>
    <w:rsid w:val="00816B4B"/>
    <w:rsid w:val="00817778"/>
    <w:rsid w:val="00821365"/>
    <w:rsid w:val="00822CFC"/>
    <w:rsid w:val="00823BDB"/>
    <w:rsid w:val="00824D57"/>
    <w:rsid w:val="00825074"/>
    <w:rsid w:val="00831BA4"/>
    <w:rsid w:val="008329E1"/>
    <w:rsid w:val="00834750"/>
    <w:rsid w:val="008438FA"/>
    <w:rsid w:val="00851A6A"/>
    <w:rsid w:val="008520D3"/>
    <w:rsid w:val="00856A07"/>
    <w:rsid w:val="00857AF8"/>
    <w:rsid w:val="0086038F"/>
    <w:rsid w:val="008632EE"/>
    <w:rsid w:val="00864659"/>
    <w:rsid w:val="00864D15"/>
    <w:rsid w:val="00865877"/>
    <w:rsid w:val="008678BC"/>
    <w:rsid w:val="00871C27"/>
    <w:rsid w:val="00880DAC"/>
    <w:rsid w:val="00881F89"/>
    <w:rsid w:val="008827C5"/>
    <w:rsid w:val="00882A0A"/>
    <w:rsid w:val="00886612"/>
    <w:rsid w:val="00887634"/>
    <w:rsid w:val="00887D87"/>
    <w:rsid w:val="0089362E"/>
    <w:rsid w:val="00893E23"/>
    <w:rsid w:val="008943FE"/>
    <w:rsid w:val="00894BE5"/>
    <w:rsid w:val="00895C20"/>
    <w:rsid w:val="008A0D35"/>
    <w:rsid w:val="008A1573"/>
    <w:rsid w:val="008A1F20"/>
    <w:rsid w:val="008A2170"/>
    <w:rsid w:val="008A40AA"/>
    <w:rsid w:val="008A4F25"/>
    <w:rsid w:val="008A520B"/>
    <w:rsid w:val="008A62EB"/>
    <w:rsid w:val="008A63F4"/>
    <w:rsid w:val="008A74BD"/>
    <w:rsid w:val="008B0698"/>
    <w:rsid w:val="008B138A"/>
    <w:rsid w:val="008B1DFB"/>
    <w:rsid w:val="008B5BB7"/>
    <w:rsid w:val="008C1D60"/>
    <w:rsid w:val="008C275C"/>
    <w:rsid w:val="008C2F57"/>
    <w:rsid w:val="008D21CB"/>
    <w:rsid w:val="008D3BF3"/>
    <w:rsid w:val="008D3D2F"/>
    <w:rsid w:val="008D46AC"/>
    <w:rsid w:val="008D6F32"/>
    <w:rsid w:val="008E3484"/>
    <w:rsid w:val="008E5167"/>
    <w:rsid w:val="008E51BC"/>
    <w:rsid w:val="008E5E70"/>
    <w:rsid w:val="008E61C0"/>
    <w:rsid w:val="008E6C58"/>
    <w:rsid w:val="008E7E9B"/>
    <w:rsid w:val="008F0D44"/>
    <w:rsid w:val="008F0F93"/>
    <w:rsid w:val="008F430A"/>
    <w:rsid w:val="008F4C55"/>
    <w:rsid w:val="008F559A"/>
    <w:rsid w:val="008F699F"/>
    <w:rsid w:val="00901347"/>
    <w:rsid w:val="00904E58"/>
    <w:rsid w:val="00905B58"/>
    <w:rsid w:val="00907684"/>
    <w:rsid w:val="009102AF"/>
    <w:rsid w:val="00910C01"/>
    <w:rsid w:val="00914A5E"/>
    <w:rsid w:val="00914B63"/>
    <w:rsid w:val="0091567E"/>
    <w:rsid w:val="00917747"/>
    <w:rsid w:val="00923B41"/>
    <w:rsid w:val="009249A5"/>
    <w:rsid w:val="00927276"/>
    <w:rsid w:val="00930751"/>
    <w:rsid w:val="00932504"/>
    <w:rsid w:val="00932CEC"/>
    <w:rsid w:val="00933490"/>
    <w:rsid w:val="00933C44"/>
    <w:rsid w:val="00934283"/>
    <w:rsid w:val="00934862"/>
    <w:rsid w:val="00935032"/>
    <w:rsid w:val="009378A6"/>
    <w:rsid w:val="00940131"/>
    <w:rsid w:val="00942742"/>
    <w:rsid w:val="009429BF"/>
    <w:rsid w:val="00942C38"/>
    <w:rsid w:val="00943035"/>
    <w:rsid w:val="0094370B"/>
    <w:rsid w:val="00944929"/>
    <w:rsid w:val="009469F6"/>
    <w:rsid w:val="00950FE1"/>
    <w:rsid w:val="00951E51"/>
    <w:rsid w:val="00952A9F"/>
    <w:rsid w:val="009538FB"/>
    <w:rsid w:val="009548DC"/>
    <w:rsid w:val="00954D54"/>
    <w:rsid w:val="00954DF5"/>
    <w:rsid w:val="00960628"/>
    <w:rsid w:val="00960D3B"/>
    <w:rsid w:val="009651AC"/>
    <w:rsid w:val="00967289"/>
    <w:rsid w:val="0097158B"/>
    <w:rsid w:val="00971B6C"/>
    <w:rsid w:val="009827C9"/>
    <w:rsid w:val="0098388A"/>
    <w:rsid w:val="00983A3C"/>
    <w:rsid w:val="0098494B"/>
    <w:rsid w:val="00985044"/>
    <w:rsid w:val="00987B63"/>
    <w:rsid w:val="009902CA"/>
    <w:rsid w:val="009905C7"/>
    <w:rsid w:val="009914CA"/>
    <w:rsid w:val="00991F07"/>
    <w:rsid w:val="009937B1"/>
    <w:rsid w:val="009A1A51"/>
    <w:rsid w:val="009A1E14"/>
    <w:rsid w:val="009A2E13"/>
    <w:rsid w:val="009A588C"/>
    <w:rsid w:val="009B0A1E"/>
    <w:rsid w:val="009B2334"/>
    <w:rsid w:val="009B34B5"/>
    <w:rsid w:val="009B5A34"/>
    <w:rsid w:val="009B6B17"/>
    <w:rsid w:val="009C126B"/>
    <w:rsid w:val="009C4379"/>
    <w:rsid w:val="009C6A94"/>
    <w:rsid w:val="009D2F45"/>
    <w:rsid w:val="009D5B6A"/>
    <w:rsid w:val="009D63F7"/>
    <w:rsid w:val="009E0445"/>
    <w:rsid w:val="009E289A"/>
    <w:rsid w:val="009E3219"/>
    <w:rsid w:val="009E33FB"/>
    <w:rsid w:val="009E50D4"/>
    <w:rsid w:val="009E54AF"/>
    <w:rsid w:val="009E5A5C"/>
    <w:rsid w:val="009E5C8D"/>
    <w:rsid w:val="009E69DF"/>
    <w:rsid w:val="009F1083"/>
    <w:rsid w:val="009F1B40"/>
    <w:rsid w:val="009F4C24"/>
    <w:rsid w:val="009F5E4D"/>
    <w:rsid w:val="009F655B"/>
    <w:rsid w:val="009F669C"/>
    <w:rsid w:val="009F6942"/>
    <w:rsid w:val="009F77AE"/>
    <w:rsid w:val="009F7EAF"/>
    <w:rsid w:val="00A018BE"/>
    <w:rsid w:val="00A0308D"/>
    <w:rsid w:val="00A0312F"/>
    <w:rsid w:val="00A04092"/>
    <w:rsid w:val="00A055F9"/>
    <w:rsid w:val="00A12D03"/>
    <w:rsid w:val="00A1365B"/>
    <w:rsid w:val="00A15CEB"/>
    <w:rsid w:val="00A179AA"/>
    <w:rsid w:val="00A20214"/>
    <w:rsid w:val="00A20FB9"/>
    <w:rsid w:val="00A2148F"/>
    <w:rsid w:val="00A214CE"/>
    <w:rsid w:val="00A22434"/>
    <w:rsid w:val="00A22CDE"/>
    <w:rsid w:val="00A23D35"/>
    <w:rsid w:val="00A253EF"/>
    <w:rsid w:val="00A30FD1"/>
    <w:rsid w:val="00A32E19"/>
    <w:rsid w:val="00A338DA"/>
    <w:rsid w:val="00A34BE1"/>
    <w:rsid w:val="00A35D52"/>
    <w:rsid w:val="00A361EF"/>
    <w:rsid w:val="00A373C6"/>
    <w:rsid w:val="00A404FE"/>
    <w:rsid w:val="00A410BE"/>
    <w:rsid w:val="00A41184"/>
    <w:rsid w:val="00A42B7B"/>
    <w:rsid w:val="00A43F55"/>
    <w:rsid w:val="00A44E3A"/>
    <w:rsid w:val="00A45807"/>
    <w:rsid w:val="00A46EB4"/>
    <w:rsid w:val="00A47A18"/>
    <w:rsid w:val="00A5075F"/>
    <w:rsid w:val="00A53AA7"/>
    <w:rsid w:val="00A541BC"/>
    <w:rsid w:val="00A558F5"/>
    <w:rsid w:val="00A6039C"/>
    <w:rsid w:val="00A60A8C"/>
    <w:rsid w:val="00A63B22"/>
    <w:rsid w:val="00A655B4"/>
    <w:rsid w:val="00A65FC1"/>
    <w:rsid w:val="00A711D0"/>
    <w:rsid w:val="00A7448A"/>
    <w:rsid w:val="00A759C0"/>
    <w:rsid w:val="00A8170B"/>
    <w:rsid w:val="00A852AC"/>
    <w:rsid w:val="00A92B15"/>
    <w:rsid w:val="00A965FA"/>
    <w:rsid w:val="00A97535"/>
    <w:rsid w:val="00AA1C44"/>
    <w:rsid w:val="00AA202F"/>
    <w:rsid w:val="00AA5659"/>
    <w:rsid w:val="00AA6BD4"/>
    <w:rsid w:val="00AA7FE8"/>
    <w:rsid w:val="00AB314E"/>
    <w:rsid w:val="00AB53BA"/>
    <w:rsid w:val="00AB68FC"/>
    <w:rsid w:val="00AB7789"/>
    <w:rsid w:val="00AC0FCA"/>
    <w:rsid w:val="00AC13D2"/>
    <w:rsid w:val="00AC6999"/>
    <w:rsid w:val="00AC7FD0"/>
    <w:rsid w:val="00AD101E"/>
    <w:rsid w:val="00AD143E"/>
    <w:rsid w:val="00AD5F5D"/>
    <w:rsid w:val="00AD6A8C"/>
    <w:rsid w:val="00AE3338"/>
    <w:rsid w:val="00AE5B97"/>
    <w:rsid w:val="00AF0636"/>
    <w:rsid w:val="00AF0885"/>
    <w:rsid w:val="00AF2555"/>
    <w:rsid w:val="00AF3A3F"/>
    <w:rsid w:val="00AF68E6"/>
    <w:rsid w:val="00B0166B"/>
    <w:rsid w:val="00B042CB"/>
    <w:rsid w:val="00B06D4E"/>
    <w:rsid w:val="00B10B05"/>
    <w:rsid w:val="00B11EF0"/>
    <w:rsid w:val="00B1238B"/>
    <w:rsid w:val="00B124DE"/>
    <w:rsid w:val="00B138BC"/>
    <w:rsid w:val="00B13A05"/>
    <w:rsid w:val="00B2252F"/>
    <w:rsid w:val="00B22AF0"/>
    <w:rsid w:val="00B23A51"/>
    <w:rsid w:val="00B25F0E"/>
    <w:rsid w:val="00B26C15"/>
    <w:rsid w:val="00B31790"/>
    <w:rsid w:val="00B3204E"/>
    <w:rsid w:val="00B362B0"/>
    <w:rsid w:val="00B40060"/>
    <w:rsid w:val="00B40948"/>
    <w:rsid w:val="00B43DD6"/>
    <w:rsid w:val="00B4496F"/>
    <w:rsid w:val="00B458CD"/>
    <w:rsid w:val="00B46813"/>
    <w:rsid w:val="00B52723"/>
    <w:rsid w:val="00B52A73"/>
    <w:rsid w:val="00B539EA"/>
    <w:rsid w:val="00B545EA"/>
    <w:rsid w:val="00B577E6"/>
    <w:rsid w:val="00B60E58"/>
    <w:rsid w:val="00B6134D"/>
    <w:rsid w:val="00B628DF"/>
    <w:rsid w:val="00B6515C"/>
    <w:rsid w:val="00B6791A"/>
    <w:rsid w:val="00B67ADD"/>
    <w:rsid w:val="00B71A3D"/>
    <w:rsid w:val="00B72976"/>
    <w:rsid w:val="00B7496B"/>
    <w:rsid w:val="00B7566E"/>
    <w:rsid w:val="00B76EFF"/>
    <w:rsid w:val="00B8366D"/>
    <w:rsid w:val="00B83D27"/>
    <w:rsid w:val="00B84160"/>
    <w:rsid w:val="00B87BAD"/>
    <w:rsid w:val="00B922DC"/>
    <w:rsid w:val="00B9345F"/>
    <w:rsid w:val="00B93517"/>
    <w:rsid w:val="00B93B66"/>
    <w:rsid w:val="00B93C63"/>
    <w:rsid w:val="00B93CAF"/>
    <w:rsid w:val="00B95451"/>
    <w:rsid w:val="00B9619E"/>
    <w:rsid w:val="00BA1620"/>
    <w:rsid w:val="00BA1EC6"/>
    <w:rsid w:val="00BA50E9"/>
    <w:rsid w:val="00BA675B"/>
    <w:rsid w:val="00BA752E"/>
    <w:rsid w:val="00BA7D6A"/>
    <w:rsid w:val="00BB090D"/>
    <w:rsid w:val="00BB6790"/>
    <w:rsid w:val="00BB6EDC"/>
    <w:rsid w:val="00BB755E"/>
    <w:rsid w:val="00BC395D"/>
    <w:rsid w:val="00BC584E"/>
    <w:rsid w:val="00BC67C0"/>
    <w:rsid w:val="00BC6B5A"/>
    <w:rsid w:val="00BD0665"/>
    <w:rsid w:val="00BD1241"/>
    <w:rsid w:val="00BD234B"/>
    <w:rsid w:val="00BD68AC"/>
    <w:rsid w:val="00BD6A19"/>
    <w:rsid w:val="00BE73D0"/>
    <w:rsid w:val="00BF19BA"/>
    <w:rsid w:val="00BF1A13"/>
    <w:rsid w:val="00BF610B"/>
    <w:rsid w:val="00BF73BF"/>
    <w:rsid w:val="00BF7973"/>
    <w:rsid w:val="00C00034"/>
    <w:rsid w:val="00C00A5E"/>
    <w:rsid w:val="00C01588"/>
    <w:rsid w:val="00C03691"/>
    <w:rsid w:val="00C03FB1"/>
    <w:rsid w:val="00C059B5"/>
    <w:rsid w:val="00C06B04"/>
    <w:rsid w:val="00C06EBE"/>
    <w:rsid w:val="00C07E71"/>
    <w:rsid w:val="00C11F5F"/>
    <w:rsid w:val="00C1436C"/>
    <w:rsid w:val="00C164D3"/>
    <w:rsid w:val="00C16DBF"/>
    <w:rsid w:val="00C2033D"/>
    <w:rsid w:val="00C20348"/>
    <w:rsid w:val="00C229BC"/>
    <w:rsid w:val="00C24F0D"/>
    <w:rsid w:val="00C27F48"/>
    <w:rsid w:val="00C30C5D"/>
    <w:rsid w:val="00C30DEC"/>
    <w:rsid w:val="00C329F5"/>
    <w:rsid w:val="00C33023"/>
    <w:rsid w:val="00C339CC"/>
    <w:rsid w:val="00C33B05"/>
    <w:rsid w:val="00C34AB0"/>
    <w:rsid w:val="00C34C87"/>
    <w:rsid w:val="00C3668E"/>
    <w:rsid w:val="00C36A26"/>
    <w:rsid w:val="00C40E24"/>
    <w:rsid w:val="00C41D41"/>
    <w:rsid w:val="00C43812"/>
    <w:rsid w:val="00C442C6"/>
    <w:rsid w:val="00C45137"/>
    <w:rsid w:val="00C477B3"/>
    <w:rsid w:val="00C51CF4"/>
    <w:rsid w:val="00C52802"/>
    <w:rsid w:val="00C543EA"/>
    <w:rsid w:val="00C55744"/>
    <w:rsid w:val="00C558D2"/>
    <w:rsid w:val="00C61F2F"/>
    <w:rsid w:val="00C627BF"/>
    <w:rsid w:val="00C64914"/>
    <w:rsid w:val="00C70246"/>
    <w:rsid w:val="00C7074E"/>
    <w:rsid w:val="00C70847"/>
    <w:rsid w:val="00C71C9B"/>
    <w:rsid w:val="00C71DFD"/>
    <w:rsid w:val="00C72DA9"/>
    <w:rsid w:val="00C7355E"/>
    <w:rsid w:val="00C740C8"/>
    <w:rsid w:val="00C745C3"/>
    <w:rsid w:val="00C753DC"/>
    <w:rsid w:val="00C75EC5"/>
    <w:rsid w:val="00C76F05"/>
    <w:rsid w:val="00C8169B"/>
    <w:rsid w:val="00C85918"/>
    <w:rsid w:val="00C90208"/>
    <w:rsid w:val="00C91F3A"/>
    <w:rsid w:val="00C92B23"/>
    <w:rsid w:val="00C947AF"/>
    <w:rsid w:val="00CA0C70"/>
    <w:rsid w:val="00CA254A"/>
    <w:rsid w:val="00CA3292"/>
    <w:rsid w:val="00CA4B76"/>
    <w:rsid w:val="00CB1884"/>
    <w:rsid w:val="00CC6B76"/>
    <w:rsid w:val="00CC7F19"/>
    <w:rsid w:val="00CD3B8C"/>
    <w:rsid w:val="00CD4720"/>
    <w:rsid w:val="00CD5188"/>
    <w:rsid w:val="00CE1CA4"/>
    <w:rsid w:val="00CE1D7A"/>
    <w:rsid w:val="00CE3FF2"/>
    <w:rsid w:val="00D03726"/>
    <w:rsid w:val="00D048A2"/>
    <w:rsid w:val="00D04A6E"/>
    <w:rsid w:val="00D06D26"/>
    <w:rsid w:val="00D07EA0"/>
    <w:rsid w:val="00D07EAD"/>
    <w:rsid w:val="00D11B36"/>
    <w:rsid w:val="00D20ADC"/>
    <w:rsid w:val="00D21194"/>
    <w:rsid w:val="00D2158F"/>
    <w:rsid w:val="00D22170"/>
    <w:rsid w:val="00D230FA"/>
    <w:rsid w:val="00D23ABB"/>
    <w:rsid w:val="00D24DE2"/>
    <w:rsid w:val="00D27E6C"/>
    <w:rsid w:val="00D329D1"/>
    <w:rsid w:val="00D33000"/>
    <w:rsid w:val="00D34554"/>
    <w:rsid w:val="00D37FD2"/>
    <w:rsid w:val="00D47822"/>
    <w:rsid w:val="00D52A83"/>
    <w:rsid w:val="00D54A93"/>
    <w:rsid w:val="00D6029F"/>
    <w:rsid w:val="00D6591B"/>
    <w:rsid w:val="00D65995"/>
    <w:rsid w:val="00D663B0"/>
    <w:rsid w:val="00D66664"/>
    <w:rsid w:val="00D72C74"/>
    <w:rsid w:val="00D7469B"/>
    <w:rsid w:val="00D74A67"/>
    <w:rsid w:val="00D821ED"/>
    <w:rsid w:val="00D82B5A"/>
    <w:rsid w:val="00D83C91"/>
    <w:rsid w:val="00D84637"/>
    <w:rsid w:val="00D849B5"/>
    <w:rsid w:val="00D85477"/>
    <w:rsid w:val="00D87ADC"/>
    <w:rsid w:val="00D919CF"/>
    <w:rsid w:val="00D9204A"/>
    <w:rsid w:val="00D9221B"/>
    <w:rsid w:val="00D93379"/>
    <w:rsid w:val="00D94EBA"/>
    <w:rsid w:val="00D95B08"/>
    <w:rsid w:val="00D95D3E"/>
    <w:rsid w:val="00D96C9D"/>
    <w:rsid w:val="00DA05E6"/>
    <w:rsid w:val="00DA2BF9"/>
    <w:rsid w:val="00DA59E4"/>
    <w:rsid w:val="00DA746B"/>
    <w:rsid w:val="00DA74B1"/>
    <w:rsid w:val="00DB3F48"/>
    <w:rsid w:val="00DB519C"/>
    <w:rsid w:val="00DB59CB"/>
    <w:rsid w:val="00DB70EF"/>
    <w:rsid w:val="00DC41A4"/>
    <w:rsid w:val="00DC7C91"/>
    <w:rsid w:val="00DD0B7A"/>
    <w:rsid w:val="00DD33B5"/>
    <w:rsid w:val="00DD4E65"/>
    <w:rsid w:val="00DD7D71"/>
    <w:rsid w:val="00DE520C"/>
    <w:rsid w:val="00DE6A36"/>
    <w:rsid w:val="00DE73D2"/>
    <w:rsid w:val="00DE7628"/>
    <w:rsid w:val="00DF1638"/>
    <w:rsid w:val="00DF2C2E"/>
    <w:rsid w:val="00DF3F27"/>
    <w:rsid w:val="00E02329"/>
    <w:rsid w:val="00E03563"/>
    <w:rsid w:val="00E0634E"/>
    <w:rsid w:val="00E113AE"/>
    <w:rsid w:val="00E11ED6"/>
    <w:rsid w:val="00E124AA"/>
    <w:rsid w:val="00E12CED"/>
    <w:rsid w:val="00E2316F"/>
    <w:rsid w:val="00E34169"/>
    <w:rsid w:val="00E4376C"/>
    <w:rsid w:val="00E44C88"/>
    <w:rsid w:val="00E45AD4"/>
    <w:rsid w:val="00E539DC"/>
    <w:rsid w:val="00E543A6"/>
    <w:rsid w:val="00E56915"/>
    <w:rsid w:val="00E60CC4"/>
    <w:rsid w:val="00E60D99"/>
    <w:rsid w:val="00E60E08"/>
    <w:rsid w:val="00E61A19"/>
    <w:rsid w:val="00E643E2"/>
    <w:rsid w:val="00E66878"/>
    <w:rsid w:val="00E66B43"/>
    <w:rsid w:val="00E67572"/>
    <w:rsid w:val="00E67697"/>
    <w:rsid w:val="00E73727"/>
    <w:rsid w:val="00E81182"/>
    <w:rsid w:val="00E82596"/>
    <w:rsid w:val="00E840B8"/>
    <w:rsid w:val="00E87296"/>
    <w:rsid w:val="00E876E8"/>
    <w:rsid w:val="00E912E4"/>
    <w:rsid w:val="00E914AB"/>
    <w:rsid w:val="00E947CF"/>
    <w:rsid w:val="00EA212A"/>
    <w:rsid w:val="00EA43B8"/>
    <w:rsid w:val="00EA781A"/>
    <w:rsid w:val="00EB22BD"/>
    <w:rsid w:val="00EB5649"/>
    <w:rsid w:val="00EB6204"/>
    <w:rsid w:val="00EC150D"/>
    <w:rsid w:val="00EC1953"/>
    <w:rsid w:val="00EC767C"/>
    <w:rsid w:val="00ED2D29"/>
    <w:rsid w:val="00ED6F8D"/>
    <w:rsid w:val="00EE055F"/>
    <w:rsid w:val="00EE09F6"/>
    <w:rsid w:val="00EE1854"/>
    <w:rsid w:val="00EE5FAA"/>
    <w:rsid w:val="00EE60BE"/>
    <w:rsid w:val="00EF117C"/>
    <w:rsid w:val="00EF1ACB"/>
    <w:rsid w:val="00EF38D5"/>
    <w:rsid w:val="00EF66AC"/>
    <w:rsid w:val="00EF7AD7"/>
    <w:rsid w:val="00F00711"/>
    <w:rsid w:val="00F00748"/>
    <w:rsid w:val="00F00B71"/>
    <w:rsid w:val="00F00E12"/>
    <w:rsid w:val="00F05501"/>
    <w:rsid w:val="00F06C79"/>
    <w:rsid w:val="00F07844"/>
    <w:rsid w:val="00F07A05"/>
    <w:rsid w:val="00F11465"/>
    <w:rsid w:val="00F142E9"/>
    <w:rsid w:val="00F149C2"/>
    <w:rsid w:val="00F14CAD"/>
    <w:rsid w:val="00F17A50"/>
    <w:rsid w:val="00F20EB3"/>
    <w:rsid w:val="00F2231D"/>
    <w:rsid w:val="00F232E6"/>
    <w:rsid w:val="00F247B1"/>
    <w:rsid w:val="00F2577E"/>
    <w:rsid w:val="00F25B89"/>
    <w:rsid w:val="00F26426"/>
    <w:rsid w:val="00F2646C"/>
    <w:rsid w:val="00F31DAE"/>
    <w:rsid w:val="00F3305B"/>
    <w:rsid w:val="00F338DB"/>
    <w:rsid w:val="00F349C5"/>
    <w:rsid w:val="00F35DEA"/>
    <w:rsid w:val="00F4010C"/>
    <w:rsid w:val="00F40F10"/>
    <w:rsid w:val="00F46DAB"/>
    <w:rsid w:val="00F53E90"/>
    <w:rsid w:val="00F543A5"/>
    <w:rsid w:val="00F65BE2"/>
    <w:rsid w:val="00F67FA8"/>
    <w:rsid w:val="00F70A61"/>
    <w:rsid w:val="00F719A6"/>
    <w:rsid w:val="00F726C4"/>
    <w:rsid w:val="00F729E5"/>
    <w:rsid w:val="00F73288"/>
    <w:rsid w:val="00F8560C"/>
    <w:rsid w:val="00F9033F"/>
    <w:rsid w:val="00F90D31"/>
    <w:rsid w:val="00F90F31"/>
    <w:rsid w:val="00F91C67"/>
    <w:rsid w:val="00F93EA3"/>
    <w:rsid w:val="00F9465E"/>
    <w:rsid w:val="00FA21DE"/>
    <w:rsid w:val="00FA4214"/>
    <w:rsid w:val="00FA6375"/>
    <w:rsid w:val="00FB6F6A"/>
    <w:rsid w:val="00FC29A0"/>
    <w:rsid w:val="00FC653F"/>
    <w:rsid w:val="00FC7009"/>
    <w:rsid w:val="00FD5AC4"/>
    <w:rsid w:val="00FD6DE7"/>
    <w:rsid w:val="00FE2CD2"/>
    <w:rsid w:val="00FE34F2"/>
    <w:rsid w:val="00FE42C7"/>
    <w:rsid w:val="00FE4475"/>
    <w:rsid w:val="00FE44DF"/>
    <w:rsid w:val="00FE5029"/>
    <w:rsid w:val="00FE5D9F"/>
    <w:rsid w:val="00FF131F"/>
    <w:rsid w:val="00FF25C7"/>
    <w:rsid w:val="00FF4261"/>
    <w:rsid w:val="00FF4E49"/>
    <w:rsid w:val="00FF5175"/>
    <w:rsid w:val="00FF53EA"/>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BF7E0F9-5598-4481-93FA-FE6F019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F5C"/>
    <w:pPr>
      <w:spacing w:after="0" w:line="240" w:lineRule="auto"/>
    </w:pPr>
  </w:style>
  <w:style w:type="paragraph" w:styleId="ListParagraph">
    <w:name w:val="List Paragraph"/>
    <w:basedOn w:val="Normal"/>
    <w:uiPriority w:val="34"/>
    <w:qFormat/>
    <w:rsid w:val="00275A5D"/>
    <w:pPr>
      <w:ind w:left="720"/>
      <w:contextualSpacing/>
    </w:pPr>
  </w:style>
  <w:style w:type="paragraph" w:styleId="Header">
    <w:name w:val="header"/>
    <w:basedOn w:val="Normal"/>
    <w:link w:val="HeaderChar"/>
    <w:uiPriority w:val="99"/>
    <w:unhideWhenUsed/>
    <w:rsid w:val="00DF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2E"/>
  </w:style>
  <w:style w:type="paragraph" w:styleId="Footer">
    <w:name w:val="footer"/>
    <w:basedOn w:val="Normal"/>
    <w:link w:val="FooterChar"/>
    <w:uiPriority w:val="99"/>
    <w:unhideWhenUsed/>
    <w:rsid w:val="00DF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2E"/>
  </w:style>
  <w:style w:type="paragraph" w:styleId="ListBullet">
    <w:name w:val="List Bullet"/>
    <w:basedOn w:val="Normal"/>
    <w:uiPriority w:val="99"/>
    <w:unhideWhenUsed/>
    <w:rsid w:val="0026122E"/>
    <w:pPr>
      <w:numPr>
        <w:numId w:val="7"/>
      </w:numPr>
      <w:contextualSpacing/>
    </w:pPr>
  </w:style>
  <w:style w:type="paragraph" w:styleId="BalloonText">
    <w:name w:val="Balloon Text"/>
    <w:basedOn w:val="Normal"/>
    <w:link w:val="BalloonTextChar"/>
    <w:uiPriority w:val="99"/>
    <w:semiHidden/>
    <w:unhideWhenUsed/>
    <w:rsid w:val="00496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10"/>
    <w:rPr>
      <w:rFonts w:ascii="Segoe UI" w:hAnsi="Segoe UI" w:cs="Segoe UI"/>
      <w:sz w:val="18"/>
      <w:szCs w:val="18"/>
    </w:rPr>
  </w:style>
  <w:style w:type="paragraph" w:customStyle="1" w:styleId="nl--1-">
    <w:name w:val="nl--1-"/>
    <w:basedOn w:val="Normal"/>
    <w:rsid w:val="00940131"/>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ll">
    <w:name w:val="ll"/>
    <w:basedOn w:val="Normal"/>
    <w:rsid w:val="00940131"/>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text">
    <w:name w:val="text"/>
    <w:basedOn w:val="Normal"/>
    <w:rsid w:val="00585421"/>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h1">
    <w:name w:val="h1"/>
    <w:basedOn w:val="Normal"/>
    <w:rsid w:val="0080681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bold">
    <w:name w:val="bold"/>
    <w:basedOn w:val="DefaultParagraphFont"/>
    <w:rsid w:val="00806819"/>
  </w:style>
  <w:style w:type="paragraph" w:customStyle="1" w:styleId="test">
    <w:name w:val="test"/>
    <w:basedOn w:val="Normal"/>
    <w:rsid w:val="0080681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NormalWeb">
    <w:name w:val="Normal (Web)"/>
    <w:basedOn w:val="Normal"/>
    <w:uiPriority w:val="99"/>
    <w:semiHidden/>
    <w:unhideWhenUsed/>
    <w:rsid w:val="00AA565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AA5659"/>
    <w:rPr>
      <w:i/>
      <w:iCs/>
    </w:rPr>
  </w:style>
  <w:style w:type="character" w:styleId="Hyperlink">
    <w:name w:val="Hyperlink"/>
    <w:basedOn w:val="DefaultParagraphFont"/>
    <w:uiPriority w:val="99"/>
    <w:semiHidden/>
    <w:unhideWhenUsed/>
    <w:rsid w:val="00904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62830">
      <w:bodyDiv w:val="1"/>
      <w:marLeft w:val="0"/>
      <w:marRight w:val="0"/>
      <w:marTop w:val="0"/>
      <w:marBottom w:val="0"/>
      <w:divBdr>
        <w:top w:val="none" w:sz="0" w:space="0" w:color="auto"/>
        <w:left w:val="none" w:sz="0" w:space="0" w:color="auto"/>
        <w:bottom w:val="none" w:sz="0" w:space="0" w:color="auto"/>
        <w:right w:val="none" w:sz="0" w:space="0" w:color="auto"/>
      </w:divBdr>
    </w:div>
    <w:div w:id="756946469">
      <w:bodyDiv w:val="1"/>
      <w:marLeft w:val="0"/>
      <w:marRight w:val="0"/>
      <w:marTop w:val="0"/>
      <w:marBottom w:val="0"/>
      <w:divBdr>
        <w:top w:val="none" w:sz="0" w:space="0" w:color="auto"/>
        <w:left w:val="none" w:sz="0" w:space="0" w:color="auto"/>
        <w:bottom w:val="none" w:sz="0" w:space="0" w:color="auto"/>
        <w:right w:val="none" w:sz="0" w:space="0" w:color="auto"/>
      </w:divBdr>
    </w:div>
    <w:div w:id="943342390">
      <w:bodyDiv w:val="1"/>
      <w:marLeft w:val="0"/>
      <w:marRight w:val="0"/>
      <w:marTop w:val="0"/>
      <w:marBottom w:val="0"/>
      <w:divBdr>
        <w:top w:val="none" w:sz="0" w:space="0" w:color="auto"/>
        <w:left w:val="none" w:sz="0" w:space="0" w:color="auto"/>
        <w:bottom w:val="none" w:sz="0" w:space="0" w:color="auto"/>
        <w:right w:val="none" w:sz="0" w:space="0" w:color="auto"/>
      </w:divBdr>
    </w:div>
    <w:div w:id="1087771180">
      <w:bodyDiv w:val="1"/>
      <w:marLeft w:val="0"/>
      <w:marRight w:val="0"/>
      <w:marTop w:val="0"/>
      <w:marBottom w:val="0"/>
      <w:divBdr>
        <w:top w:val="none" w:sz="0" w:space="0" w:color="auto"/>
        <w:left w:val="none" w:sz="0" w:space="0" w:color="auto"/>
        <w:bottom w:val="none" w:sz="0" w:space="0" w:color="auto"/>
        <w:right w:val="none" w:sz="0" w:space="0" w:color="auto"/>
      </w:divBdr>
    </w:div>
    <w:div w:id="1411806655">
      <w:bodyDiv w:val="1"/>
      <w:marLeft w:val="0"/>
      <w:marRight w:val="0"/>
      <w:marTop w:val="0"/>
      <w:marBottom w:val="0"/>
      <w:divBdr>
        <w:top w:val="none" w:sz="0" w:space="0" w:color="auto"/>
        <w:left w:val="none" w:sz="0" w:space="0" w:color="auto"/>
        <w:bottom w:val="none" w:sz="0" w:space="0" w:color="auto"/>
        <w:right w:val="none" w:sz="0" w:space="0" w:color="auto"/>
      </w:divBdr>
    </w:div>
    <w:div w:id="1477185949">
      <w:bodyDiv w:val="1"/>
      <w:marLeft w:val="0"/>
      <w:marRight w:val="0"/>
      <w:marTop w:val="0"/>
      <w:marBottom w:val="0"/>
      <w:divBdr>
        <w:top w:val="none" w:sz="0" w:space="0" w:color="auto"/>
        <w:left w:val="none" w:sz="0" w:space="0" w:color="auto"/>
        <w:bottom w:val="none" w:sz="0" w:space="0" w:color="auto"/>
        <w:right w:val="none" w:sz="0" w:space="0" w:color="auto"/>
      </w:divBdr>
    </w:div>
    <w:div w:id="1816990461">
      <w:bodyDiv w:val="1"/>
      <w:marLeft w:val="0"/>
      <w:marRight w:val="0"/>
      <w:marTop w:val="0"/>
      <w:marBottom w:val="0"/>
      <w:divBdr>
        <w:top w:val="none" w:sz="0" w:space="0" w:color="auto"/>
        <w:left w:val="none" w:sz="0" w:space="0" w:color="auto"/>
        <w:bottom w:val="none" w:sz="0" w:space="0" w:color="auto"/>
        <w:right w:val="none" w:sz="0" w:space="0" w:color="auto"/>
      </w:divBdr>
    </w:div>
    <w:div w:id="18407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New_London_and_Brazilian_Bank_v_Brocklebank&amp;action=edit&amp;redlink=1" TargetMode="External"/><Relationship Id="rId3" Type="http://schemas.openxmlformats.org/officeDocument/2006/relationships/settings" Target="settings.xml"/><Relationship Id="rId7" Type="http://schemas.openxmlformats.org/officeDocument/2006/relationships/hyperlink" Target="https://en.wikipedia.org/wiki/Companies_Act_18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Navigator_Gas_L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2022-10-03T12:33:00Z</cp:lastPrinted>
  <dcterms:created xsi:type="dcterms:W3CDTF">2022-10-28T09:11:00Z</dcterms:created>
  <dcterms:modified xsi:type="dcterms:W3CDTF">2022-10-28T09:11:00Z</dcterms:modified>
</cp:coreProperties>
</file>