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7B" w:rsidRPr="00753768" w:rsidRDefault="0073277B" w:rsidP="0073277B">
      <w:pPr>
        <w:rPr>
          <w:b/>
        </w:rPr>
      </w:pPr>
      <w:proofErr w:type="gramStart"/>
      <w:r w:rsidRPr="00753768">
        <w:rPr>
          <w:b/>
        </w:rPr>
        <w:t xml:space="preserve">IN THE LABOUR COURT </w:t>
      </w:r>
      <w:r>
        <w:rPr>
          <w:b/>
        </w:rPr>
        <w:t>OF ZIMBABWE</w:t>
      </w:r>
      <w:r>
        <w:rPr>
          <w:b/>
        </w:rPr>
        <w:tab/>
        <w:t xml:space="preserve"> </w:t>
      </w:r>
      <w:r w:rsidRPr="00753768">
        <w:rPr>
          <w:b/>
        </w:rPr>
        <w:t>JUDGMENT NO.</w:t>
      </w:r>
      <w:proofErr w:type="gramEnd"/>
      <w:r w:rsidRPr="00753768">
        <w:rPr>
          <w:b/>
        </w:rPr>
        <w:t xml:space="preserve"> LC/H/</w:t>
      </w:r>
      <w:r w:rsidR="008914B7">
        <w:rPr>
          <w:b/>
        </w:rPr>
        <w:t>626</w:t>
      </w:r>
      <w:r>
        <w:rPr>
          <w:b/>
        </w:rPr>
        <w:t>/2016</w:t>
      </w:r>
    </w:p>
    <w:p w:rsidR="0073277B" w:rsidRDefault="0073277B" w:rsidP="0073277B">
      <w:pPr>
        <w:rPr>
          <w:b/>
        </w:rPr>
      </w:pPr>
      <w:r w:rsidRPr="00753768">
        <w:rPr>
          <w:b/>
        </w:rPr>
        <w:t>HARARE,</w:t>
      </w:r>
      <w:r w:rsidR="00261D47">
        <w:rPr>
          <w:b/>
        </w:rPr>
        <w:t xml:space="preserve"> 9 MAY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1D47">
        <w:rPr>
          <w:b/>
        </w:rPr>
        <w:tab/>
        <w:t xml:space="preserve">  </w:t>
      </w:r>
      <w:r w:rsidRPr="00753768">
        <w:rPr>
          <w:b/>
        </w:rPr>
        <w:t>CASE NO. LC/H/</w:t>
      </w:r>
      <w:r w:rsidR="0038254A">
        <w:rPr>
          <w:b/>
        </w:rPr>
        <w:t>APP/1503/15</w:t>
      </w:r>
    </w:p>
    <w:p w:rsidR="0073277B" w:rsidRPr="00753768" w:rsidRDefault="0073277B" w:rsidP="0073277B">
      <w:pPr>
        <w:rPr>
          <w:b/>
        </w:rPr>
      </w:pPr>
      <w:r w:rsidRPr="00753768">
        <w:rPr>
          <w:b/>
        </w:rPr>
        <w:t xml:space="preserve">AND </w:t>
      </w:r>
      <w:r w:rsidR="008914B7">
        <w:rPr>
          <w:b/>
        </w:rPr>
        <w:t>21 OCTOBER</w:t>
      </w:r>
      <w:bookmarkStart w:id="0" w:name="_GoBack"/>
      <w:bookmarkEnd w:id="0"/>
      <w:r>
        <w:rPr>
          <w:b/>
        </w:rPr>
        <w:t xml:space="preserve"> 2016</w:t>
      </w:r>
    </w:p>
    <w:p w:rsidR="0073277B" w:rsidRDefault="0073277B" w:rsidP="0073277B">
      <w:r>
        <w:t>In the matter between:-</w:t>
      </w:r>
    </w:p>
    <w:p w:rsidR="0073277B" w:rsidRDefault="0073277B" w:rsidP="0073277B"/>
    <w:p w:rsidR="0073277B" w:rsidRPr="00753768" w:rsidRDefault="00DC5ABD" w:rsidP="0073277B">
      <w:pPr>
        <w:rPr>
          <w:b/>
        </w:rPr>
      </w:pPr>
      <w:r>
        <w:rPr>
          <w:b/>
        </w:rPr>
        <w:t>PFUNGWA MARUFU</w:t>
      </w:r>
      <w:r>
        <w:rPr>
          <w:b/>
        </w:rPr>
        <w:tab/>
      </w:r>
      <w:r>
        <w:rPr>
          <w:b/>
        </w:rPr>
        <w:tab/>
      </w:r>
      <w:r w:rsidR="0073277B">
        <w:rPr>
          <w:b/>
        </w:rPr>
        <w:tab/>
      </w:r>
      <w:r w:rsidR="0073277B">
        <w:rPr>
          <w:b/>
        </w:rPr>
        <w:tab/>
      </w:r>
      <w:r w:rsidR="0073277B">
        <w:rPr>
          <w:b/>
        </w:rPr>
        <w:tab/>
      </w:r>
      <w:r>
        <w:rPr>
          <w:b/>
        </w:rPr>
        <w:t>Applicant</w:t>
      </w:r>
    </w:p>
    <w:p w:rsidR="0073277B" w:rsidRPr="00EE16F7" w:rsidRDefault="0073277B" w:rsidP="0073277B">
      <w:r w:rsidRPr="00EE16F7">
        <w:t>And</w:t>
      </w:r>
    </w:p>
    <w:p w:rsidR="0073277B" w:rsidRPr="00753768" w:rsidRDefault="00DC5ABD" w:rsidP="0073277B">
      <w:pPr>
        <w:rPr>
          <w:b/>
        </w:rPr>
      </w:pPr>
      <w:r>
        <w:rPr>
          <w:b/>
        </w:rPr>
        <w:t>SOUTHERN GRANITES (PVT) LTD</w:t>
      </w:r>
      <w:r w:rsidR="0073277B">
        <w:rPr>
          <w:b/>
        </w:rPr>
        <w:tab/>
      </w:r>
      <w:r w:rsidR="0073277B">
        <w:rPr>
          <w:b/>
        </w:rPr>
        <w:tab/>
      </w:r>
      <w:r w:rsidR="0073277B">
        <w:rPr>
          <w:b/>
        </w:rPr>
        <w:tab/>
      </w:r>
      <w:r w:rsidR="0073277B" w:rsidRPr="00753768">
        <w:rPr>
          <w:b/>
        </w:rPr>
        <w:t>Respondent</w:t>
      </w:r>
    </w:p>
    <w:p w:rsidR="0073277B" w:rsidRDefault="0073277B" w:rsidP="0073277B"/>
    <w:p w:rsidR="0073277B" w:rsidRDefault="0073277B" w:rsidP="0073277B">
      <w:r>
        <w:t xml:space="preserve">Before The Honourable E. </w:t>
      </w:r>
      <w:proofErr w:type="spellStart"/>
      <w:r>
        <w:t>Makamure</w:t>
      </w:r>
      <w:proofErr w:type="spellEnd"/>
      <w:r>
        <w:t>, Judge</w:t>
      </w:r>
    </w:p>
    <w:p w:rsidR="0073277B" w:rsidRDefault="0073277B" w:rsidP="0073277B"/>
    <w:p w:rsidR="0073277B" w:rsidRPr="00753768" w:rsidRDefault="00DC5ABD" w:rsidP="007148EC">
      <w:pPr>
        <w:spacing w:line="240" w:lineRule="auto"/>
        <w:rPr>
          <w:b/>
        </w:rPr>
      </w:pPr>
      <w:r>
        <w:rPr>
          <w:b/>
        </w:rPr>
        <w:t>For Applicant</w:t>
      </w:r>
      <w:r w:rsidR="00F54199">
        <w:rPr>
          <w:b/>
        </w:rPr>
        <w:tab/>
      </w:r>
      <w:r w:rsidR="00F54199">
        <w:rPr>
          <w:b/>
        </w:rPr>
        <w:tab/>
      </w:r>
      <w:proofErr w:type="spellStart"/>
      <w:r w:rsidR="00F54199">
        <w:rPr>
          <w:b/>
        </w:rPr>
        <w:t>Mr</w:t>
      </w:r>
      <w:proofErr w:type="spellEnd"/>
      <w:r w:rsidR="00F54199">
        <w:rPr>
          <w:b/>
        </w:rPr>
        <w:t xml:space="preserve"> A. </w:t>
      </w:r>
      <w:proofErr w:type="spellStart"/>
      <w:r w:rsidR="00F54199">
        <w:rPr>
          <w:b/>
        </w:rPr>
        <w:t>Muc</w:t>
      </w:r>
      <w:r w:rsidR="007148EC">
        <w:rPr>
          <w:b/>
        </w:rPr>
        <w:t>hadehama</w:t>
      </w:r>
      <w:proofErr w:type="spellEnd"/>
      <w:r w:rsidR="007148EC">
        <w:rPr>
          <w:b/>
        </w:rPr>
        <w:t xml:space="preserve"> (Legal Practitioner)</w:t>
      </w:r>
      <w:r w:rsidR="0073277B" w:rsidRPr="00753768">
        <w:rPr>
          <w:b/>
        </w:rPr>
        <w:tab/>
      </w:r>
      <w:r w:rsidR="0073277B" w:rsidRPr="00753768">
        <w:rPr>
          <w:b/>
        </w:rPr>
        <w:tab/>
      </w:r>
      <w:r w:rsidR="0073277B" w:rsidRPr="00753768">
        <w:rPr>
          <w:b/>
        </w:rPr>
        <w:tab/>
      </w:r>
    </w:p>
    <w:p w:rsidR="0073277B" w:rsidRPr="00753768" w:rsidRDefault="0073277B" w:rsidP="007148EC">
      <w:pPr>
        <w:spacing w:line="240" w:lineRule="auto"/>
        <w:rPr>
          <w:b/>
        </w:rPr>
      </w:pPr>
      <w:r w:rsidRPr="00753768">
        <w:rPr>
          <w:b/>
        </w:rPr>
        <w:t>For Respondent</w:t>
      </w:r>
      <w:r w:rsidR="007148EC">
        <w:rPr>
          <w:b/>
        </w:rPr>
        <w:tab/>
      </w:r>
      <w:r w:rsidR="007148EC">
        <w:rPr>
          <w:b/>
        </w:rPr>
        <w:tab/>
      </w:r>
      <w:proofErr w:type="spellStart"/>
      <w:r w:rsidR="007148EC">
        <w:rPr>
          <w:b/>
        </w:rPr>
        <w:t>Mr</w:t>
      </w:r>
      <w:proofErr w:type="spellEnd"/>
      <w:r w:rsidR="007148EC">
        <w:rPr>
          <w:b/>
        </w:rPr>
        <w:t xml:space="preserve"> </w:t>
      </w:r>
      <w:r w:rsidR="005F7EBE">
        <w:rPr>
          <w:b/>
        </w:rPr>
        <w:t xml:space="preserve">I.E.G. </w:t>
      </w:r>
      <w:proofErr w:type="spellStart"/>
      <w:r w:rsidR="005F7EBE">
        <w:rPr>
          <w:b/>
        </w:rPr>
        <w:t>Musimbe</w:t>
      </w:r>
      <w:proofErr w:type="spellEnd"/>
      <w:r w:rsidR="00B46768">
        <w:rPr>
          <w:b/>
        </w:rPr>
        <w:t xml:space="preserve"> (Legal Practitioner)</w:t>
      </w:r>
      <w:r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</w:r>
    </w:p>
    <w:p w:rsidR="0073277B" w:rsidRDefault="0073277B" w:rsidP="0073277B"/>
    <w:p w:rsidR="0073277B" w:rsidRPr="00753768" w:rsidRDefault="0073277B" w:rsidP="0073277B">
      <w:pPr>
        <w:rPr>
          <w:b/>
        </w:rPr>
      </w:pPr>
      <w:r w:rsidRPr="00753768">
        <w:rPr>
          <w:b/>
        </w:rPr>
        <w:t>MAKAMURE J:</w:t>
      </w:r>
    </w:p>
    <w:p w:rsidR="0073277B" w:rsidRDefault="0073277B" w:rsidP="0073277B"/>
    <w:p w:rsidR="008F6FE4" w:rsidRDefault="008F6FE4" w:rsidP="0073277B">
      <w:r>
        <w:tab/>
      </w:r>
      <w:r w:rsidR="008851EB">
        <w:t>This is an application for leave to appeal to the Supreme Court.</w:t>
      </w:r>
      <w:r w:rsidR="009A7C48">
        <w:t xml:space="preserve">  This Court on 25 November 2015 made an order dismissing the </w:t>
      </w:r>
      <w:r w:rsidR="00CC7127">
        <w:t xml:space="preserve">applicant’s appeal.  The </w:t>
      </w:r>
      <w:r w:rsidR="005C37BA">
        <w:t xml:space="preserve">applicant noted an application for leave to appeal within the </w:t>
      </w:r>
      <w:r w:rsidR="001F63F3">
        <w:t>requisite thirty day period</w:t>
      </w:r>
      <w:r w:rsidR="00BB001C">
        <w:t xml:space="preserve"> but</w:t>
      </w:r>
      <w:r w:rsidR="007144D0">
        <w:t xml:space="preserve"> that was done</w:t>
      </w:r>
      <w:r w:rsidR="001F63F3">
        <w:t xml:space="preserve"> before</w:t>
      </w:r>
      <w:r w:rsidR="001F38D7">
        <w:t xml:space="preserve"> </w:t>
      </w:r>
      <w:r w:rsidR="00AC3B34">
        <w:t>the</w:t>
      </w:r>
      <w:r w:rsidR="00E96285">
        <w:t xml:space="preserve"> reasons for the judgment</w:t>
      </w:r>
      <w:r w:rsidR="001F38D7">
        <w:t xml:space="preserve"> </w:t>
      </w:r>
      <w:r w:rsidR="00BB001C">
        <w:t>were</w:t>
      </w:r>
      <w:r w:rsidR="001F38D7">
        <w:t xml:space="preserve"> handed down.  </w:t>
      </w:r>
    </w:p>
    <w:p w:rsidR="00CB0CD7" w:rsidRDefault="00CB0CD7" w:rsidP="00616C4B">
      <w:pPr>
        <w:spacing w:line="240" w:lineRule="auto"/>
      </w:pPr>
    </w:p>
    <w:p w:rsidR="00CB0CD7" w:rsidRDefault="00DC1497" w:rsidP="00616C4B">
      <w:pPr>
        <w:ind w:firstLine="720"/>
      </w:pPr>
      <w:r>
        <w:t>However w</w:t>
      </w:r>
      <w:r w:rsidR="00CB0CD7">
        <w:t xml:space="preserve">hen the application </w:t>
      </w:r>
      <w:r>
        <w:t xml:space="preserve">for leave to appeal </w:t>
      </w:r>
      <w:r w:rsidR="002205F3">
        <w:t>was set down</w:t>
      </w:r>
      <w:r w:rsidR="00CB0CD7">
        <w:t xml:space="preserve"> for hearing</w:t>
      </w:r>
      <w:r>
        <w:t>,</w:t>
      </w:r>
      <w:r w:rsidR="00CB0CD7">
        <w:t xml:space="preserve"> reasons for judgment had been handed down</w:t>
      </w:r>
      <w:r w:rsidR="002205F3">
        <w:t xml:space="preserve"> (J</w:t>
      </w:r>
      <w:r w:rsidR="00E96285">
        <w:t>udgment LC/H/186/16)</w:t>
      </w:r>
      <w:r w:rsidR="00CB0CD7">
        <w:t xml:space="preserve">.  </w:t>
      </w:r>
      <w:r w:rsidR="00EC0FE9">
        <w:t>The applicant did not amend its notice to</w:t>
      </w:r>
      <w:r w:rsidR="005579EC">
        <w:t xml:space="preserve"> make reference to </w:t>
      </w:r>
      <w:proofErr w:type="gramStart"/>
      <w:r w:rsidR="005579EC">
        <w:t>those</w:t>
      </w:r>
      <w:proofErr w:type="gramEnd"/>
      <w:r w:rsidR="00F16190">
        <w:t xml:space="preserve"> </w:t>
      </w:r>
      <w:proofErr w:type="spellStart"/>
      <w:r w:rsidR="00F16190">
        <w:t>reasons</w:t>
      </w:r>
      <w:r w:rsidR="005579EC">
        <w:t>.</w:t>
      </w:r>
      <w:r w:rsidR="00E96285">
        <w:t>One</w:t>
      </w:r>
      <w:proofErr w:type="spellEnd"/>
      <w:r w:rsidR="00E96285">
        <w:t xml:space="preserve"> the date of hearing</w:t>
      </w:r>
      <w:r w:rsidR="00F16190">
        <w:t xml:space="preserve"> </w:t>
      </w:r>
      <w:r w:rsidR="005579EC">
        <w:t xml:space="preserve">A point </w:t>
      </w:r>
      <w:r w:rsidR="007E1E4E" w:rsidRPr="00C21B0A">
        <w:rPr>
          <w:i/>
        </w:rPr>
        <w:t xml:space="preserve">in </w:t>
      </w:r>
      <w:proofErr w:type="spellStart"/>
      <w:r w:rsidR="007E1E4E" w:rsidRPr="00C21B0A">
        <w:rPr>
          <w:i/>
        </w:rPr>
        <w:t>limine</w:t>
      </w:r>
      <w:proofErr w:type="spellEnd"/>
      <w:r w:rsidR="007E1E4E">
        <w:t xml:space="preserve"> was raised before the application for leave was a</w:t>
      </w:r>
      <w:r w:rsidR="007144D0">
        <w:t>rgued. Thereafter</w:t>
      </w:r>
      <w:r w:rsidR="00C21B0A">
        <w:t xml:space="preserve"> the application was heard.  I will therefore deal with the prelim</w:t>
      </w:r>
      <w:r w:rsidR="005E5325">
        <w:t>in</w:t>
      </w:r>
      <w:r w:rsidR="00C21B0A">
        <w:t xml:space="preserve">ary issue </w:t>
      </w:r>
      <w:r w:rsidR="00011F63">
        <w:t>first</w:t>
      </w:r>
      <w:r w:rsidR="007144D0">
        <w:t xml:space="preserve"> and</w:t>
      </w:r>
      <w:r w:rsidR="00E96285">
        <w:t xml:space="preserve"> then</w:t>
      </w:r>
      <w:r w:rsidR="005E5325">
        <w:t xml:space="preserve"> proceed to determine the application for leave</w:t>
      </w:r>
      <w:r w:rsidR="00011F63">
        <w:t xml:space="preserve"> to appeal.</w:t>
      </w:r>
      <w:r w:rsidR="00C21B0A">
        <w:t xml:space="preserve"> </w:t>
      </w:r>
    </w:p>
    <w:p w:rsidR="004A665B" w:rsidRDefault="004A665B" w:rsidP="00616C4B">
      <w:pPr>
        <w:spacing w:line="240" w:lineRule="auto"/>
      </w:pPr>
    </w:p>
    <w:p w:rsidR="004A665B" w:rsidRPr="00616C4B" w:rsidRDefault="004A665B" w:rsidP="004A665B">
      <w:pPr>
        <w:pStyle w:val="ListParagraph"/>
        <w:numPr>
          <w:ilvl w:val="0"/>
          <w:numId w:val="1"/>
        </w:numPr>
        <w:rPr>
          <w:u w:val="single"/>
        </w:rPr>
      </w:pPr>
      <w:r w:rsidRPr="00616C4B">
        <w:rPr>
          <w:u w:val="single"/>
        </w:rPr>
        <w:t xml:space="preserve">Point </w:t>
      </w:r>
      <w:r w:rsidRPr="00616C4B">
        <w:rPr>
          <w:i/>
          <w:u w:val="single"/>
        </w:rPr>
        <w:t xml:space="preserve">in </w:t>
      </w:r>
      <w:proofErr w:type="spellStart"/>
      <w:r w:rsidRPr="00616C4B">
        <w:rPr>
          <w:i/>
          <w:u w:val="single"/>
        </w:rPr>
        <w:t>Limine</w:t>
      </w:r>
      <w:proofErr w:type="spellEnd"/>
    </w:p>
    <w:p w:rsidR="004A665B" w:rsidRDefault="004A665B" w:rsidP="000472CF">
      <w:pPr>
        <w:spacing w:line="240" w:lineRule="auto"/>
      </w:pPr>
    </w:p>
    <w:p w:rsidR="004A665B" w:rsidRDefault="004A665B" w:rsidP="00261F4A">
      <w:pPr>
        <w:ind w:firstLine="720"/>
      </w:pPr>
      <w:r>
        <w:t xml:space="preserve">When the application was heard </w:t>
      </w:r>
      <w:proofErr w:type="spellStart"/>
      <w:r>
        <w:t>Mr</w:t>
      </w:r>
      <w:proofErr w:type="spellEnd"/>
      <w:r>
        <w:t xml:space="preserve"> </w:t>
      </w:r>
      <w:proofErr w:type="spellStart"/>
      <w:r>
        <w:t>Musimbe</w:t>
      </w:r>
      <w:proofErr w:type="spellEnd"/>
      <w:r>
        <w:t xml:space="preserve"> who appeared on behalf of the </w:t>
      </w:r>
      <w:r w:rsidR="003C1598">
        <w:t xml:space="preserve">respondent raised a point </w:t>
      </w:r>
      <w:r w:rsidR="003C1598" w:rsidRPr="00622B92">
        <w:rPr>
          <w:i/>
        </w:rPr>
        <w:t xml:space="preserve">in </w:t>
      </w:r>
      <w:proofErr w:type="spellStart"/>
      <w:r w:rsidR="003C1598" w:rsidRPr="00622B92">
        <w:rPr>
          <w:i/>
        </w:rPr>
        <w:t>limine</w:t>
      </w:r>
      <w:proofErr w:type="spellEnd"/>
      <w:r w:rsidR="003C1598">
        <w:t xml:space="preserve">.  He argued that it was improper for the applicant </w:t>
      </w:r>
      <w:r w:rsidR="003C1598">
        <w:lastRenderedPageBreak/>
        <w:t xml:space="preserve">to have appealed against an order whose reasons she did not know.  For that reason </w:t>
      </w:r>
      <w:proofErr w:type="spellStart"/>
      <w:r w:rsidR="003C1598">
        <w:t>Mr</w:t>
      </w:r>
      <w:proofErr w:type="spellEnd"/>
      <w:r w:rsidR="003C1598">
        <w:t xml:space="preserve"> </w:t>
      </w:r>
      <w:proofErr w:type="spellStart"/>
      <w:r w:rsidR="003C1598">
        <w:t>Musimbe</w:t>
      </w:r>
      <w:proofErr w:type="spellEnd"/>
      <w:r w:rsidR="003C1598">
        <w:t xml:space="preserve"> submitted that the application was not properly before the court.</w:t>
      </w:r>
    </w:p>
    <w:p w:rsidR="000472CF" w:rsidRDefault="000472CF" w:rsidP="000472CF">
      <w:pPr>
        <w:spacing w:line="240" w:lineRule="auto"/>
        <w:ind w:firstLine="720"/>
      </w:pPr>
    </w:p>
    <w:p w:rsidR="003C1598" w:rsidRDefault="003C1598" w:rsidP="004A665B">
      <w:pPr>
        <w:rPr>
          <w:lang w:val="en-ZW"/>
        </w:rPr>
      </w:pPr>
      <w:r>
        <w:tab/>
      </w:r>
      <w:proofErr w:type="spellStart"/>
      <w:r w:rsidR="00A577D3">
        <w:t>Mr</w:t>
      </w:r>
      <w:proofErr w:type="spellEnd"/>
      <w:r w:rsidR="00A577D3">
        <w:t xml:space="preserve"> </w:t>
      </w:r>
      <w:proofErr w:type="spellStart"/>
      <w:r w:rsidR="00A577D3">
        <w:t>Muchadehama</w:t>
      </w:r>
      <w:proofErr w:type="spellEnd"/>
      <w:r w:rsidR="00A577D3">
        <w:t xml:space="preserve"> who</w:t>
      </w:r>
      <w:r w:rsidR="00AA1067">
        <w:t xml:space="preserve"> appeared on behalf of the applicant argued that the rules </w:t>
      </w:r>
      <w:proofErr w:type="gramStart"/>
      <w:r w:rsidR="00AA1067">
        <w:t>pro</w:t>
      </w:r>
      <w:r w:rsidR="00E96285">
        <w:t xml:space="preserve">vide </w:t>
      </w:r>
      <w:r w:rsidR="006314B8">
        <w:t xml:space="preserve"> for</w:t>
      </w:r>
      <w:proofErr w:type="gramEnd"/>
      <w:r w:rsidR="006314B8">
        <w:t xml:space="preserve"> an appeal against a decision of this court to be made within thirty (30) days from the date of that decision.  </w:t>
      </w:r>
      <w:r w:rsidR="00E96285">
        <w:t xml:space="preserve">For that reason it was </w:t>
      </w:r>
      <w:proofErr w:type="spellStart"/>
      <w:r w:rsidR="00E96285">
        <w:t>Mr</w:t>
      </w:r>
      <w:proofErr w:type="spellEnd"/>
      <w:r w:rsidR="00E96285">
        <w:t xml:space="preserve"> </w:t>
      </w:r>
      <w:proofErr w:type="spellStart"/>
      <w:r w:rsidR="00E96285">
        <w:t>Muchadehama’s</w:t>
      </w:r>
      <w:proofErr w:type="spellEnd"/>
      <w:r w:rsidR="00E96285">
        <w:t xml:space="preserve"> </w:t>
      </w:r>
      <w:proofErr w:type="gramStart"/>
      <w:r w:rsidR="00E96285">
        <w:t xml:space="preserve">submission </w:t>
      </w:r>
      <w:r w:rsidR="006314B8">
        <w:t xml:space="preserve"> that</w:t>
      </w:r>
      <w:proofErr w:type="gramEnd"/>
      <w:r w:rsidR="006314B8">
        <w:t xml:space="preserve"> the application is properly before the </w:t>
      </w:r>
      <w:proofErr w:type="spellStart"/>
      <w:r w:rsidR="006314B8">
        <w:t>court.</w:t>
      </w:r>
      <w:r w:rsidR="002205F3">
        <w:t>While</w:t>
      </w:r>
      <w:proofErr w:type="spellEnd"/>
      <w:r w:rsidR="002205F3">
        <w:t xml:space="preserve"> the position of applicant with respect to the Rules is correct, t</w:t>
      </w:r>
      <w:r w:rsidR="006314B8">
        <w:t xml:space="preserve">he application was against the </w:t>
      </w:r>
      <w:r w:rsidR="00220BBF">
        <w:t xml:space="preserve">order LC/H/1896/15 </w:t>
      </w:r>
      <w:r w:rsidR="00C17F2A">
        <w:t xml:space="preserve"> and not judgment LC/</w:t>
      </w:r>
      <w:r w:rsidR="00E96285">
        <w:t>H</w:t>
      </w:r>
      <w:r w:rsidR="00C17F2A">
        <w:rPr>
          <w:lang w:val="en-ZW"/>
        </w:rPr>
        <w:t>/186/16.  That order had no reasons.  What this means is that the applicant</w:t>
      </w:r>
      <w:r w:rsidR="007144D0">
        <w:rPr>
          <w:lang w:val="en-ZW"/>
        </w:rPr>
        <w:t>’</w:t>
      </w:r>
      <w:r w:rsidR="00C17F2A">
        <w:rPr>
          <w:lang w:val="en-ZW"/>
        </w:rPr>
        <w:t>s</w:t>
      </w:r>
      <w:r w:rsidR="00850565">
        <w:rPr>
          <w:lang w:val="en-ZW"/>
        </w:rPr>
        <w:t xml:space="preserve"> fou</w:t>
      </w:r>
      <w:r w:rsidR="00551F40">
        <w:rPr>
          <w:lang w:val="en-ZW"/>
        </w:rPr>
        <w:t>n</w:t>
      </w:r>
      <w:r w:rsidR="00654DA4">
        <w:rPr>
          <w:lang w:val="en-ZW"/>
        </w:rPr>
        <w:t>ding affidavit which is attached</w:t>
      </w:r>
      <w:r w:rsidR="00551F40">
        <w:rPr>
          <w:lang w:val="en-ZW"/>
        </w:rPr>
        <w:t xml:space="preserve"> to the draft notice of appeal is</w:t>
      </w:r>
      <w:r w:rsidR="00E96285">
        <w:rPr>
          <w:lang w:val="en-ZW"/>
        </w:rPr>
        <w:t xml:space="preserve"> not</w:t>
      </w:r>
      <w:r w:rsidR="00551F40">
        <w:rPr>
          <w:lang w:val="en-ZW"/>
        </w:rPr>
        <w:t xml:space="preserve"> based on</w:t>
      </w:r>
      <w:r w:rsidR="00E96285">
        <w:rPr>
          <w:lang w:val="en-ZW"/>
        </w:rPr>
        <w:t xml:space="preserve"> judgment</w:t>
      </w:r>
      <w:r w:rsidR="002205F3">
        <w:rPr>
          <w:lang w:val="en-ZW"/>
        </w:rPr>
        <w:t xml:space="preserve"> </w:t>
      </w:r>
      <w:r w:rsidR="00E96285">
        <w:rPr>
          <w:lang w:val="en-ZW"/>
        </w:rPr>
        <w:t>of this court but on</w:t>
      </w:r>
      <w:r w:rsidR="00551F40">
        <w:rPr>
          <w:lang w:val="en-ZW"/>
        </w:rPr>
        <w:t xml:space="preserve"> the award by the arbitrator.</w:t>
      </w:r>
      <w:r w:rsidR="00E2698C">
        <w:rPr>
          <w:lang w:val="en-ZW"/>
        </w:rPr>
        <w:t xml:space="preserve">  That is not appropriate.  The applicant ought to have based her appeal on the judgment of this Court</w:t>
      </w:r>
      <w:r w:rsidR="002205F3">
        <w:rPr>
          <w:lang w:val="en-ZW"/>
        </w:rPr>
        <w:t xml:space="preserve"> especially considering that by the time that the application was </w:t>
      </w:r>
      <w:proofErr w:type="spellStart"/>
      <w:r w:rsidR="002205F3">
        <w:rPr>
          <w:lang w:val="en-ZW"/>
        </w:rPr>
        <w:t>heard</w:t>
      </w:r>
      <w:proofErr w:type="gramStart"/>
      <w:r w:rsidR="002205F3">
        <w:rPr>
          <w:lang w:val="en-ZW"/>
        </w:rPr>
        <w:t>,the</w:t>
      </w:r>
      <w:proofErr w:type="spellEnd"/>
      <w:proofErr w:type="gramEnd"/>
      <w:r w:rsidR="002205F3">
        <w:rPr>
          <w:lang w:val="en-ZW"/>
        </w:rPr>
        <w:t xml:space="preserve"> reasons for the decision were ready</w:t>
      </w:r>
      <w:r w:rsidR="00E2698C">
        <w:rPr>
          <w:lang w:val="en-ZW"/>
        </w:rPr>
        <w:t xml:space="preserve">.  For that reason I find merit </w:t>
      </w:r>
      <w:r w:rsidR="00CA52FB">
        <w:rPr>
          <w:lang w:val="en-ZW"/>
        </w:rPr>
        <w:t xml:space="preserve">in the point </w:t>
      </w:r>
      <w:r w:rsidR="00CA52FB" w:rsidRPr="00616C4B">
        <w:rPr>
          <w:i/>
          <w:lang w:val="en-ZW"/>
        </w:rPr>
        <w:t xml:space="preserve">in </w:t>
      </w:r>
      <w:proofErr w:type="spellStart"/>
      <w:r w:rsidR="00CA52FB" w:rsidRPr="00616C4B">
        <w:rPr>
          <w:i/>
          <w:lang w:val="en-ZW"/>
        </w:rPr>
        <w:t>limine</w:t>
      </w:r>
      <w:proofErr w:type="spellEnd"/>
      <w:r w:rsidR="00CA52FB">
        <w:rPr>
          <w:lang w:val="en-ZW"/>
        </w:rPr>
        <w:t>.</w:t>
      </w:r>
      <w:r w:rsidR="00654DA4">
        <w:rPr>
          <w:lang w:val="en-ZW"/>
        </w:rPr>
        <w:t xml:space="preserve"> The application is not properly before me.  The point </w:t>
      </w:r>
      <w:r w:rsidR="00654DA4" w:rsidRPr="00FA3012">
        <w:rPr>
          <w:i/>
          <w:lang w:val="en-ZW"/>
        </w:rPr>
        <w:t xml:space="preserve">in </w:t>
      </w:r>
      <w:proofErr w:type="spellStart"/>
      <w:r w:rsidR="00654DA4" w:rsidRPr="00FA3012">
        <w:rPr>
          <w:i/>
          <w:lang w:val="en-ZW"/>
        </w:rPr>
        <w:t>lim</w:t>
      </w:r>
      <w:r w:rsidR="00FA3012" w:rsidRPr="00FA3012">
        <w:rPr>
          <w:i/>
          <w:lang w:val="en-ZW"/>
        </w:rPr>
        <w:t>ine</w:t>
      </w:r>
      <w:proofErr w:type="spellEnd"/>
      <w:r w:rsidR="00FA3012">
        <w:rPr>
          <w:lang w:val="en-ZW"/>
        </w:rPr>
        <w:t xml:space="preserve"> is accordingly upheld.</w:t>
      </w:r>
    </w:p>
    <w:p w:rsidR="004A5501" w:rsidRDefault="004A5501" w:rsidP="004A665B">
      <w:pPr>
        <w:rPr>
          <w:lang w:val="en-ZW"/>
        </w:rPr>
      </w:pPr>
    </w:p>
    <w:p w:rsidR="004A5501" w:rsidRPr="00616C4B" w:rsidRDefault="004A5501" w:rsidP="004A5501">
      <w:pPr>
        <w:pStyle w:val="ListParagraph"/>
        <w:numPr>
          <w:ilvl w:val="0"/>
          <w:numId w:val="1"/>
        </w:numPr>
        <w:rPr>
          <w:u w:val="single"/>
          <w:lang w:val="en-ZW"/>
        </w:rPr>
      </w:pPr>
      <w:r w:rsidRPr="00616C4B">
        <w:rPr>
          <w:u w:val="single"/>
          <w:lang w:val="en-ZW"/>
        </w:rPr>
        <w:t>MERITS</w:t>
      </w:r>
    </w:p>
    <w:p w:rsidR="004A5501" w:rsidRDefault="004A5501" w:rsidP="00616C4B">
      <w:pPr>
        <w:spacing w:line="240" w:lineRule="auto"/>
        <w:rPr>
          <w:lang w:val="en-ZW"/>
        </w:rPr>
      </w:pPr>
    </w:p>
    <w:p w:rsidR="004A5501" w:rsidRDefault="004A5501" w:rsidP="00F2580A">
      <w:pPr>
        <w:ind w:firstLine="720"/>
        <w:rPr>
          <w:lang w:val="en-ZW"/>
        </w:rPr>
      </w:pPr>
      <w:r>
        <w:rPr>
          <w:lang w:val="en-ZW"/>
        </w:rPr>
        <w:t>An application for leave to appeal is granted on the basis that</w:t>
      </w:r>
      <w:r w:rsidR="00A077BA">
        <w:rPr>
          <w:lang w:val="en-ZW"/>
        </w:rPr>
        <w:t xml:space="preserve"> there are </w:t>
      </w:r>
      <w:r w:rsidR="00961524">
        <w:rPr>
          <w:lang w:val="en-ZW"/>
        </w:rPr>
        <w:t xml:space="preserve">prospects of success on appeal. </w:t>
      </w:r>
      <w:proofErr w:type="gramStart"/>
      <w:r w:rsidR="00961524">
        <w:rPr>
          <w:lang w:val="en-ZW"/>
        </w:rPr>
        <w:t xml:space="preserve">(See </w:t>
      </w:r>
      <w:r w:rsidR="00961524" w:rsidRPr="00616C4B">
        <w:rPr>
          <w:i/>
          <w:lang w:val="en-ZW"/>
        </w:rPr>
        <w:t>Sable Chemical Industries Ltd</w:t>
      </w:r>
      <w:r w:rsidR="00961524">
        <w:rPr>
          <w:lang w:val="en-ZW"/>
        </w:rPr>
        <w:t xml:space="preserve"> v </w:t>
      </w:r>
      <w:r w:rsidR="00A077BA">
        <w:rPr>
          <w:i/>
          <w:lang w:val="en-ZW"/>
        </w:rPr>
        <w:t>David</w:t>
      </w:r>
      <w:r w:rsidR="00961524" w:rsidRPr="00616C4B">
        <w:rPr>
          <w:i/>
          <w:lang w:val="en-ZW"/>
        </w:rPr>
        <w:t xml:space="preserve"> </w:t>
      </w:r>
      <w:r w:rsidR="00F2580A" w:rsidRPr="00616C4B">
        <w:rPr>
          <w:i/>
          <w:lang w:val="en-ZW"/>
        </w:rPr>
        <w:t xml:space="preserve">Peter </w:t>
      </w:r>
      <w:r w:rsidR="00A077BA">
        <w:rPr>
          <w:i/>
          <w:lang w:val="en-ZW"/>
        </w:rPr>
        <w:t xml:space="preserve">Easterbrook </w:t>
      </w:r>
      <w:r w:rsidR="00F2580A">
        <w:rPr>
          <w:lang w:val="en-ZW"/>
        </w:rPr>
        <w:t>2010</w:t>
      </w:r>
      <w:r w:rsidR="002205F3">
        <w:rPr>
          <w:lang w:val="en-ZW"/>
        </w:rPr>
        <w:t xml:space="preserve"> SC 18/10)</w:t>
      </w:r>
      <w:r w:rsidR="00F2580A">
        <w:rPr>
          <w:lang w:val="en-ZW"/>
        </w:rPr>
        <w:t>.</w:t>
      </w:r>
      <w:proofErr w:type="gramEnd"/>
    </w:p>
    <w:p w:rsidR="00821A50" w:rsidRDefault="00821A50" w:rsidP="00292E02">
      <w:pPr>
        <w:spacing w:line="240" w:lineRule="auto"/>
        <w:ind w:firstLine="720"/>
        <w:rPr>
          <w:lang w:val="en-ZW"/>
        </w:rPr>
      </w:pPr>
    </w:p>
    <w:p w:rsidR="007E78AF" w:rsidRDefault="00821A50" w:rsidP="00F2580A">
      <w:pPr>
        <w:ind w:firstLine="720"/>
        <w:rPr>
          <w:lang w:val="en-ZW"/>
        </w:rPr>
      </w:pPr>
      <w:r>
        <w:rPr>
          <w:lang w:val="en-ZW"/>
        </w:rPr>
        <w:t xml:space="preserve">In the present matter, when the appeal was considered it was found as a </w:t>
      </w:r>
      <w:r w:rsidR="00A077BA">
        <w:rPr>
          <w:lang w:val="en-ZW"/>
        </w:rPr>
        <w:t>fact</w:t>
      </w:r>
      <w:r>
        <w:rPr>
          <w:lang w:val="en-ZW"/>
        </w:rPr>
        <w:t xml:space="preserve"> that the appeal was on factual findings.  Ordinarily an appeal </w:t>
      </w:r>
      <w:r w:rsidR="00E71969">
        <w:rPr>
          <w:lang w:val="en-ZW"/>
        </w:rPr>
        <w:t>on the facts is not properly before the Labour Court.  The Labour Act [Chapter 28:01] (The Act) provide</w:t>
      </w:r>
      <w:r w:rsidR="002205F3">
        <w:rPr>
          <w:lang w:val="en-ZW"/>
        </w:rPr>
        <w:t>s</w:t>
      </w:r>
      <w:r w:rsidR="00031DCC">
        <w:rPr>
          <w:lang w:val="en-ZW"/>
        </w:rPr>
        <w:t xml:space="preserve"> in section 98 (10) that only issues of law are appealable to this court from a decision on an Arbitrator appointed in term</w:t>
      </w:r>
      <w:r w:rsidR="006A3BBA">
        <w:rPr>
          <w:lang w:val="en-ZW"/>
        </w:rPr>
        <w:t>s of the Act. Out of abundance of caution the appeal was considered and still at the end it was dismissed.  T</w:t>
      </w:r>
      <w:r w:rsidR="002205F3">
        <w:rPr>
          <w:lang w:val="en-ZW"/>
        </w:rPr>
        <w:t xml:space="preserve">he </w:t>
      </w:r>
      <w:proofErr w:type="gramStart"/>
      <w:r w:rsidR="002205F3">
        <w:rPr>
          <w:lang w:val="en-ZW"/>
        </w:rPr>
        <w:t xml:space="preserve">same </w:t>
      </w:r>
      <w:r w:rsidR="00D81C9C">
        <w:rPr>
          <w:lang w:val="en-ZW"/>
        </w:rPr>
        <w:t xml:space="preserve"> considerations</w:t>
      </w:r>
      <w:proofErr w:type="gramEnd"/>
      <w:r w:rsidR="00D81C9C">
        <w:rPr>
          <w:lang w:val="en-ZW"/>
        </w:rPr>
        <w:t xml:space="preserve"> still stand.  It is clear from the draft notice of appeal and grounds that regard was not had to the reasons for judgment</w:t>
      </w:r>
      <w:r w:rsidR="00E96285">
        <w:rPr>
          <w:lang w:val="en-ZW"/>
        </w:rPr>
        <w:t>,</w:t>
      </w:r>
      <w:r w:rsidR="00D81C9C">
        <w:rPr>
          <w:lang w:val="en-ZW"/>
        </w:rPr>
        <w:t xml:space="preserve"> which</w:t>
      </w:r>
      <w:r w:rsidR="00E96285">
        <w:rPr>
          <w:lang w:val="en-ZW"/>
        </w:rPr>
        <w:t xml:space="preserve"> judgment</w:t>
      </w:r>
      <w:r w:rsidR="00D81C9C">
        <w:rPr>
          <w:lang w:val="en-ZW"/>
        </w:rPr>
        <w:t xml:space="preserve"> was handed down by this Court.  Had </w:t>
      </w:r>
      <w:r w:rsidR="00FE2A5B">
        <w:rPr>
          <w:lang w:val="en-ZW"/>
        </w:rPr>
        <w:t>sight been had of that judgment</w:t>
      </w:r>
      <w:r w:rsidR="002205F3">
        <w:rPr>
          <w:lang w:val="en-ZW"/>
        </w:rPr>
        <w:t>,</w:t>
      </w:r>
      <w:r w:rsidR="00FE2A5B">
        <w:rPr>
          <w:lang w:val="en-ZW"/>
        </w:rPr>
        <w:t xml:space="preserve"> the applicant would have </w:t>
      </w:r>
      <w:r w:rsidR="00F62863">
        <w:rPr>
          <w:lang w:val="en-ZW"/>
        </w:rPr>
        <w:t>note</w:t>
      </w:r>
      <w:r w:rsidR="00A87E69">
        <w:rPr>
          <w:lang w:val="en-ZW"/>
        </w:rPr>
        <w:t>d</w:t>
      </w:r>
      <w:r w:rsidR="00F62863">
        <w:rPr>
          <w:lang w:val="en-ZW"/>
        </w:rPr>
        <w:t xml:space="preserve"> that</w:t>
      </w:r>
      <w:r w:rsidR="00A87E69">
        <w:rPr>
          <w:lang w:val="en-ZW"/>
        </w:rPr>
        <w:t>:</w:t>
      </w:r>
    </w:p>
    <w:p w:rsidR="00292E02" w:rsidRDefault="00292E02" w:rsidP="00292E02">
      <w:pPr>
        <w:spacing w:line="240" w:lineRule="auto"/>
        <w:ind w:firstLine="720"/>
        <w:rPr>
          <w:lang w:val="en-ZW"/>
        </w:rPr>
      </w:pPr>
    </w:p>
    <w:p w:rsidR="00821A50" w:rsidRDefault="007E78AF" w:rsidP="007E78AF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 xml:space="preserve">On the question of splitting of changes, two </w:t>
      </w:r>
      <w:r w:rsidR="000123EE">
        <w:rPr>
          <w:lang w:val="en-ZW"/>
        </w:rPr>
        <w:t xml:space="preserve">incidents </w:t>
      </w:r>
      <w:r w:rsidR="001A742B">
        <w:rPr>
          <w:lang w:val="en-ZW"/>
        </w:rPr>
        <w:t>separate from each other occurred and the employ</w:t>
      </w:r>
      <w:r w:rsidR="006B3C91">
        <w:rPr>
          <w:lang w:val="en-ZW"/>
        </w:rPr>
        <w:t xml:space="preserve">er was therefore entitled to </w:t>
      </w:r>
      <w:r w:rsidR="00B01FD8">
        <w:rPr>
          <w:lang w:val="en-ZW"/>
        </w:rPr>
        <w:t>prefer two charges against the applicant</w:t>
      </w:r>
      <w:r w:rsidR="00B2056C">
        <w:rPr>
          <w:lang w:val="en-ZW"/>
        </w:rPr>
        <w:t>.</w:t>
      </w:r>
      <w:r w:rsidR="006A3BBA" w:rsidRPr="007E78AF">
        <w:rPr>
          <w:lang w:val="en-ZW"/>
        </w:rPr>
        <w:t xml:space="preserve"> </w:t>
      </w:r>
    </w:p>
    <w:p w:rsidR="00722CD7" w:rsidRDefault="00722CD7" w:rsidP="007E78AF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>On the question of the</w:t>
      </w:r>
      <w:r w:rsidR="00657EE6">
        <w:rPr>
          <w:lang w:val="en-ZW"/>
        </w:rPr>
        <w:t>ft, the appellant unlawfully accessed the payslip</w:t>
      </w:r>
      <w:r w:rsidR="00B01FD8">
        <w:rPr>
          <w:lang w:val="en-ZW"/>
        </w:rPr>
        <w:t>s in question</w:t>
      </w:r>
      <w:r w:rsidR="00657EE6">
        <w:rPr>
          <w:lang w:val="en-ZW"/>
        </w:rPr>
        <w:t xml:space="preserve"> and</w:t>
      </w:r>
      <w:r w:rsidR="00E96285">
        <w:rPr>
          <w:lang w:val="en-ZW"/>
        </w:rPr>
        <w:t xml:space="preserve"> produced them before </w:t>
      </w:r>
      <w:proofErr w:type="gramStart"/>
      <w:r w:rsidR="00E96285">
        <w:rPr>
          <w:lang w:val="en-ZW"/>
        </w:rPr>
        <w:t xml:space="preserve">an </w:t>
      </w:r>
      <w:r w:rsidR="00657EE6">
        <w:rPr>
          <w:lang w:val="en-ZW"/>
        </w:rPr>
        <w:t xml:space="preserve"> </w:t>
      </w:r>
      <w:r w:rsidR="00826478">
        <w:rPr>
          <w:lang w:val="en-ZW"/>
        </w:rPr>
        <w:t>arbitrator</w:t>
      </w:r>
      <w:proofErr w:type="gramEnd"/>
      <w:r w:rsidR="00826478">
        <w:rPr>
          <w:lang w:val="en-ZW"/>
        </w:rPr>
        <w:t xml:space="preserve">.  </w:t>
      </w:r>
      <w:r w:rsidR="00545113">
        <w:rPr>
          <w:lang w:val="en-ZW"/>
        </w:rPr>
        <w:t>They may have been returned</w:t>
      </w:r>
      <w:r w:rsidR="00274A40">
        <w:rPr>
          <w:lang w:val="en-ZW"/>
        </w:rPr>
        <w:t xml:space="preserve"> later</w:t>
      </w:r>
      <w:r w:rsidR="00545113">
        <w:rPr>
          <w:lang w:val="en-ZW"/>
        </w:rPr>
        <w:t xml:space="preserve"> </w:t>
      </w:r>
      <w:r w:rsidR="004C4CDA">
        <w:rPr>
          <w:lang w:val="en-ZW"/>
        </w:rPr>
        <w:t>but</w:t>
      </w:r>
      <w:r w:rsidR="006B1160">
        <w:rPr>
          <w:lang w:val="en-ZW"/>
        </w:rPr>
        <w:t xml:space="preserve"> that</w:t>
      </w:r>
      <w:r w:rsidR="00ED22C6">
        <w:rPr>
          <w:lang w:val="en-ZW"/>
        </w:rPr>
        <w:t xml:space="preserve"> was after the offence</w:t>
      </w:r>
      <w:r w:rsidR="00EC4CAD">
        <w:rPr>
          <w:lang w:val="en-ZW"/>
        </w:rPr>
        <w:t xml:space="preserve"> of th</w:t>
      </w:r>
      <w:r w:rsidR="00A90CBF">
        <w:rPr>
          <w:lang w:val="en-ZW"/>
        </w:rPr>
        <w:t>eft had already</w:t>
      </w:r>
      <w:r w:rsidR="00ED22C6">
        <w:rPr>
          <w:lang w:val="en-ZW"/>
        </w:rPr>
        <w:t xml:space="preserve"> been committed to completion.  The information that was on those payslips was used and the fact that the payslips were subsequently returned did not cu</w:t>
      </w:r>
      <w:r w:rsidR="00D96AC6">
        <w:rPr>
          <w:lang w:val="en-ZW"/>
        </w:rPr>
        <w:t>re the theft.</w:t>
      </w:r>
    </w:p>
    <w:p w:rsidR="00D96AC6" w:rsidRDefault="004F169D" w:rsidP="007E78AF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>On the question of wilful disobedience to a lawful order,</w:t>
      </w:r>
      <w:r w:rsidR="007144D0">
        <w:rPr>
          <w:lang w:val="en-ZW"/>
        </w:rPr>
        <w:t xml:space="preserve"> the </w:t>
      </w:r>
      <w:proofErr w:type="gramStart"/>
      <w:r w:rsidR="007144D0">
        <w:rPr>
          <w:lang w:val="en-ZW"/>
        </w:rPr>
        <w:t>court</w:t>
      </w:r>
      <w:r>
        <w:rPr>
          <w:lang w:val="en-ZW"/>
        </w:rPr>
        <w:t xml:space="preserve"> </w:t>
      </w:r>
      <w:r w:rsidR="009B581D">
        <w:rPr>
          <w:lang w:val="en-ZW"/>
        </w:rPr>
        <w:t xml:space="preserve"> </w:t>
      </w:r>
      <w:r w:rsidR="006755AD">
        <w:rPr>
          <w:lang w:val="en-ZW"/>
        </w:rPr>
        <w:t>considered</w:t>
      </w:r>
      <w:proofErr w:type="gramEnd"/>
      <w:r w:rsidR="00904CBC">
        <w:rPr>
          <w:lang w:val="en-ZW"/>
        </w:rPr>
        <w:t xml:space="preserve"> that it is within the ordinary course of a </w:t>
      </w:r>
      <w:r w:rsidR="009B581D">
        <w:rPr>
          <w:lang w:val="en-ZW"/>
        </w:rPr>
        <w:t>person</w:t>
      </w:r>
      <w:r w:rsidR="00904CBC">
        <w:rPr>
          <w:lang w:val="en-ZW"/>
        </w:rPr>
        <w:t>’s employment that they are required</w:t>
      </w:r>
      <w:r w:rsidR="00DD6EC3">
        <w:rPr>
          <w:lang w:val="en-ZW"/>
        </w:rPr>
        <w:t xml:space="preserve"> to write reports or a report.  I still </w:t>
      </w:r>
      <w:r w:rsidR="00642522">
        <w:rPr>
          <w:lang w:val="en-ZW"/>
        </w:rPr>
        <w:t>hold the same view</w:t>
      </w:r>
      <w:r w:rsidR="009B581D">
        <w:rPr>
          <w:lang w:val="en-ZW"/>
        </w:rPr>
        <w:t>.</w:t>
      </w:r>
      <w:r w:rsidR="00642522">
        <w:rPr>
          <w:lang w:val="en-ZW"/>
        </w:rPr>
        <w:t xml:space="preserve"> </w:t>
      </w:r>
      <w:r w:rsidR="00D62922">
        <w:rPr>
          <w:lang w:val="en-ZW"/>
        </w:rPr>
        <w:t>Refusal to wr</w:t>
      </w:r>
      <w:r w:rsidR="006755AD">
        <w:rPr>
          <w:lang w:val="en-ZW"/>
        </w:rPr>
        <w:t>ite a report as</w:t>
      </w:r>
      <w:r w:rsidR="00D62922">
        <w:rPr>
          <w:lang w:val="en-ZW"/>
        </w:rPr>
        <w:t xml:space="preserve"> required by an employer </w:t>
      </w:r>
      <w:r w:rsidR="00642522">
        <w:rPr>
          <w:lang w:val="en-ZW"/>
        </w:rPr>
        <w:t xml:space="preserve">goes to the root of </w:t>
      </w:r>
      <w:r w:rsidR="00E40578">
        <w:rPr>
          <w:lang w:val="en-ZW"/>
        </w:rPr>
        <w:t>the employment contract.</w:t>
      </w:r>
      <w:r w:rsidR="00503C9A">
        <w:rPr>
          <w:lang w:val="en-ZW"/>
        </w:rPr>
        <w:t xml:space="preserve">  Had the applicant asked her legal practitioners to submit the said report</w:t>
      </w:r>
      <w:r w:rsidR="00624652">
        <w:rPr>
          <w:lang w:val="en-ZW"/>
        </w:rPr>
        <w:t xml:space="preserve"> </w:t>
      </w:r>
      <w:r w:rsidR="006755AD">
        <w:rPr>
          <w:lang w:val="en-ZW"/>
        </w:rPr>
        <w:t>I believe</w:t>
      </w:r>
      <w:r w:rsidR="00624652">
        <w:rPr>
          <w:lang w:val="en-ZW"/>
        </w:rPr>
        <w:t xml:space="preserve"> that that would have been sufficient </w:t>
      </w:r>
      <w:proofErr w:type="gramStart"/>
      <w:r w:rsidR="006755AD">
        <w:rPr>
          <w:lang w:val="en-ZW"/>
        </w:rPr>
        <w:t>compliance.</w:t>
      </w:r>
      <w:proofErr w:type="gramEnd"/>
      <w:r w:rsidR="00503C9A">
        <w:rPr>
          <w:lang w:val="en-ZW"/>
        </w:rPr>
        <w:t xml:space="preserve">  I do not think that the charges would have been levelled against her</w:t>
      </w:r>
      <w:r w:rsidR="00435E9B">
        <w:rPr>
          <w:lang w:val="en-ZW"/>
        </w:rPr>
        <w:t xml:space="preserve">.  She conducted herself in a manner constituting wilful disobedience as envisaged in </w:t>
      </w:r>
      <w:proofErr w:type="spellStart"/>
      <w:r w:rsidR="00435E9B" w:rsidRPr="001F1DFD">
        <w:rPr>
          <w:i/>
          <w:lang w:val="en-ZW"/>
        </w:rPr>
        <w:t>Matereke</w:t>
      </w:r>
      <w:proofErr w:type="spellEnd"/>
      <w:r w:rsidR="00435E9B">
        <w:rPr>
          <w:lang w:val="en-ZW"/>
        </w:rPr>
        <w:t xml:space="preserve"> v </w:t>
      </w:r>
      <w:r w:rsidR="00435E9B" w:rsidRPr="00616C4B">
        <w:rPr>
          <w:i/>
          <w:lang w:val="en-ZW"/>
        </w:rPr>
        <w:t xml:space="preserve">C.T. Bowing &amp; </w:t>
      </w:r>
      <w:r w:rsidR="00A41838" w:rsidRPr="00616C4B">
        <w:rPr>
          <w:i/>
          <w:lang w:val="en-ZW"/>
        </w:rPr>
        <w:t>Associates</w:t>
      </w:r>
      <w:r w:rsidR="002205F3">
        <w:rPr>
          <w:lang w:val="en-ZW"/>
        </w:rPr>
        <w:t xml:space="preserve"> 1987 (1) ZLR 206 (S)</w:t>
      </w:r>
      <w:r w:rsidR="00A41838">
        <w:rPr>
          <w:lang w:val="en-ZW"/>
        </w:rPr>
        <w:t>.</w:t>
      </w:r>
    </w:p>
    <w:p w:rsidR="00A41838" w:rsidRDefault="00A41838" w:rsidP="001F1DFD">
      <w:pPr>
        <w:spacing w:line="240" w:lineRule="auto"/>
        <w:rPr>
          <w:lang w:val="en-ZW"/>
        </w:rPr>
      </w:pPr>
    </w:p>
    <w:p w:rsidR="00A41838" w:rsidRDefault="00A41838" w:rsidP="009574AE">
      <w:pPr>
        <w:ind w:firstLine="720"/>
        <w:rPr>
          <w:lang w:val="en-ZW"/>
        </w:rPr>
      </w:pPr>
      <w:r>
        <w:rPr>
          <w:lang w:val="en-ZW"/>
        </w:rPr>
        <w:t xml:space="preserve">Mr </w:t>
      </w:r>
      <w:proofErr w:type="spellStart"/>
      <w:r>
        <w:rPr>
          <w:lang w:val="en-ZW"/>
        </w:rPr>
        <w:t>M</w:t>
      </w:r>
      <w:r w:rsidR="009A1BAD">
        <w:rPr>
          <w:lang w:val="en-ZW"/>
        </w:rPr>
        <w:t>u</w:t>
      </w:r>
      <w:r>
        <w:rPr>
          <w:lang w:val="en-ZW"/>
        </w:rPr>
        <w:t>simbe</w:t>
      </w:r>
      <w:proofErr w:type="spellEnd"/>
      <w:r>
        <w:rPr>
          <w:lang w:val="en-ZW"/>
        </w:rPr>
        <w:t xml:space="preserve"> who appeared on behalf of the respondent submitted that grounds raise questions of fact and not law.  I agree.  As already noted</w:t>
      </w:r>
      <w:r w:rsidR="00E96285">
        <w:rPr>
          <w:lang w:val="en-ZW"/>
        </w:rPr>
        <w:t>,</w:t>
      </w:r>
      <w:r>
        <w:rPr>
          <w:lang w:val="en-ZW"/>
        </w:rPr>
        <w:t xml:space="preserve"> factual issues</w:t>
      </w:r>
      <w:r w:rsidR="002205F3">
        <w:rPr>
          <w:lang w:val="en-ZW"/>
        </w:rPr>
        <w:t xml:space="preserve"> have been raised and they</w:t>
      </w:r>
      <w:r w:rsidR="00E96285">
        <w:rPr>
          <w:lang w:val="en-ZW"/>
        </w:rPr>
        <w:t xml:space="preserve"> arise</w:t>
      </w:r>
      <w:r>
        <w:rPr>
          <w:lang w:val="en-ZW"/>
        </w:rPr>
        <w:t xml:space="preserve"> from t</w:t>
      </w:r>
      <w:r w:rsidR="0069517C">
        <w:rPr>
          <w:lang w:val="en-ZW"/>
        </w:rPr>
        <w:t>he arbitral a</w:t>
      </w:r>
      <w:r w:rsidR="00D33202">
        <w:rPr>
          <w:lang w:val="en-ZW"/>
        </w:rPr>
        <w:t>ward and not from the judgment of this Court.</w:t>
      </w:r>
    </w:p>
    <w:p w:rsidR="00D33202" w:rsidRDefault="00D33202" w:rsidP="001F1DFD">
      <w:pPr>
        <w:spacing w:line="240" w:lineRule="auto"/>
        <w:rPr>
          <w:lang w:val="en-ZW"/>
        </w:rPr>
      </w:pPr>
    </w:p>
    <w:p w:rsidR="00D33202" w:rsidRDefault="00D33202" w:rsidP="002205F3">
      <w:pPr>
        <w:ind w:firstLine="720"/>
        <w:rPr>
          <w:lang w:val="en-ZW"/>
        </w:rPr>
      </w:pPr>
      <w:r>
        <w:rPr>
          <w:lang w:val="en-ZW"/>
        </w:rPr>
        <w:t xml:space="preserve">In conclusion I agree that the application was not properly before </w:t>
      </w:r>
      <w:r w:rsidR="00CA25DC">
        <w:rPr>
          <w:lang w:val="en-ZW"/>
        </w:rPr>
        <w:t>the court</w:t>
      </w:r>
      <w:r w:rsidR="002205F3">
        <w:rPr>
          <w:lang w:val="en-ZW"/>
        </w:rPr>
        <w:t xml:space="preserve">. However, </w:t>
      </w:r>
      <w:r>
        <w:rPr>
          <w:lang w:val="en-ZW"/>
        </w:rPr>
        <w:t>having proceeded to consider</w:t>
      </w:r>
      <w:r w:rsidR="009574AE">
        <w:rPr>
          <w:lang w:val="en-ZW"/>
        </w:rPr>
        <w:t xml:space="preserve"> it out of </w:t>
      </w:r>
      <w:r w:rsidR="00316534">
        <w:rPr>
          <w:lang w:val="en-ZW"/>
        </w:rPr>
        <w:t>abundance</w:t>
      </w:r>
      <w:r w:rsidR="009574AE">
        <w:rPr>
          <w:lang w:val="en-ZW"/>
        </w:rPr>
        <w:t xml:space="preserve"> of caution</w:t>
      </w:r>
      <w:r w:rsidR="00694AFC">
        <w:rPr>
          <w:lang w:val="en-ZW"/>
        </w:rPr>
        <w:t xml:space="preserve">, I find </w:t>
      </w:r>
      <w:r w:rsidR="005061E8">
        <w:rPr>
          <w:lang w:val="en-ZW"/>
        </w:rPr>
        <w:t>that</w:t>
      </w:r>
      <w:r w:rsidR="0069517C">
        <w:rPr>
          <w:lang w:val="en-ZW"/>
        </w:rPr>
        <w:t xml:space="preserve"> it lacks</w:t>
      </w:r>
      <w:r w:rsidR="009574AE">
        <w:rPr>
          <w:lang w:val="en-ZW"/>
        </w:rPr>
        <w:t xml:space="preserve"> merit.  There are no </w:t>
      </w:r>
      <w:r w:rsidR="009A1BAD">
        <w:rPr>
          <w:lang w:val="en-ZW"/>
        </w:rPr>
        <w:t>prospects</w:t>
      </w:r>
      <w:r w:rsidR="009574AE">
        <w:rPr>
          <w:lang w:val="en-ZW"/>
        </w:rPr>
        <w:t xml:space="preserve"> of success.  Mr </w:t>
      </w:r>
      <w:proofErr w:type="spellStart"/>
      <w:r w:rsidR="009574AE">
        <w:rPr>
          <w:lang w:val="en-ZW"/>
        </w:rPr>
        <w:t>Musimbe</w:t>
      </w:r>
      <w:proofErr w:type="spellEnd"/>
      <w:r w:rsidR="00057662">
        <w:rPr>
          <w:lang w:val="en-ZW"/>
        </w:rPr>
        <w:t xml:space="preserve"> asked for the dismissal of the application with costs on a punitive scale.  While I agree that the costs should be o</w:t>
      </w:r>
      <w:r w:rsidR="00DC270B">
        <w:rPr>
          <w:lang w:val="en-ZW"/>
        </w:rPr>
        <w:t xml:space="preserve">n a punitive scale, I am of the </w:t>
      </w:r>
      <w:r w:rsidR="009F4E1F">
        <w:rPr>
          <w:lang w:val="en-ZW"/>
        </w:rPr>
        <w:t>considered view that costs on the ordinary scale will meet the justice of the case.</w:t>
      </w:r>
    </w:p>
    <w:p w:rsidR="009F4E1F" w:rsidRDefault="009F4E1F" w:rsidP="001F1DFD">
      <w:pPr>
        <w:spacing w:line="240" w:lineRule="auto"/>
        <w:ind w:firstLine="720"/>
        <w:rPr>
          <w:lang w:val="en-ZW"/>
        </w:rPr>
      </w:pPr>
    </w:p>
    <w:p w:rsidR="009F4E1F" w:rsidRDefault="009F4E1F" w:rsidP="009574AE">
      <w:pPr>
        <w:ind w:firstLine="720"/>
        <w:rPr>
          <w:lang w:val="en-ZW"/>
        </w:rPr>
      </w:pPr>
      <w:r>
        <w:rPr>
          <w:lang w:val="en-ZW"/>
        </w:rPr>
        <w:lastRenderedPageBreak/>
        <w:t>In view of the foregoing the application is declined</w:t>
      </w:r>
      <w:r w:rsidR="006C5EA5">
        <w:rPr>
          <w:lang w:val="en-ZW"/>
        </w:rPr>
        <w:t>.</w:t>
      </w:r>
    </w:p>
    <w:p w:rsidR="006C5EA5" w:rsidRDefault="006C5EA5" w:rsidP="006C5EA5">
      <w:pPr>
        <w:rPr>
          <w:lang w:val="en-ZW"/>
        </w:rPr>
      </w:pPr>
    </w:p>
    <w:p w:rsidR="006C5EA5" w:rsidRDefault="006C5EA5" w:rsidP="006C5EA5">
      <w:pPr>
        <w:rPr>
          <w:lang w:val="en-ZW"/>
        </w:rPr>
      </w:pPr>
      <w:r>
        <w:rPr>
          <w:lang w:val="en-ZW"/>
        </w:rPr>
        <w:t>Accordingly it is ordered that the application</w:t>
      </w:r>
      <w:r w:rsidR="007144D0">
        <w:rPr>
          <w:lang w:val="en-ZW"/>
        </w:rPr>
        <w:t xml:space="preserve"> for leave to appeal to the Supreme Court</w:t>
      </w:r>
      <w:r>
        <w:rPr>
          <w:lang w:val="en-ZW"/>
        </w:rPr>
        <w:t xml:space="preserve"> be and is hereby dismissed with costs.</w:t>
      </w:r>
    </w:p>
    <w:p w:rsidR="006C5EA5" w:rsidRDefault="006C5EA5" w:rsidP="006C5EA5">
      <w:pPr>
        <w:rPr>
          <w:lang w:val="en-ZW"/>
        </w:rPr>
      </w:pPr>
    </w:p>
    <w:p w:rsidR="006C5EA5" w:rsidRDefault="006C5EA5" w:rsidP="006C5EA5">
      <w:pPr>
        <w:rPr>
          <w:lang w:val="en-ZW"/>
        </w:rPr>
      </w:pPr>
    </w:p>
    <w:p w:rsidR="006C5EA5" w:rsidRDefault="00C60E3B" w:rsidP="006C5EA5">
      <w:pPr>
        <w:rPr>
          <w:lang w:val="en-ZW"/>
        </w:rPr>
      </w:pPr>
      <w:proofErr w:type="spellStart"/>
      <w:r w:rsidRPr="001F1DFD">
        <w:rPr>
          <w:i/>
          <w:lang w:val="en-ZW"/>
        </w:rPr>
        <w:t>Mbidzo</w:t>
      </w:r>
      <w:proofErr w:type="spellEnd"/>
      <w:r w:rsidRPr="001F1DFD">
        <w:rPr>
          <w:i/>
          <w:lang w:val="en-ZW"/>
        </w:rPr>
        <w:t xml:space="preserve">, </w:t>
      </w:r>
      <w:proofErr w:type="spellStart"/>
      <w:r w:rsidRPr="001F1DFD">
        <w:rPr>
          <w:i/>
          <w:lang w:val="en-ZW"/>
        </w:rPr>
        <w:t>Muchadehama</w:t>
      </w:r>
      <w:proofErr w:type="spellEnd"/>
      <w:r w:rsidRPr="001F1DFD">
        <w:rPr>
          <w:i/>
          <w:lang w:val="en-ZW"/>
        </w:rPr>
        <w:t xml:space="preserve"> &amp; </w:t>
      </w:r>
      <w:proofErr w:type="spellStart"/>
      <w:r w:rsidRPr="001F1DFD">
        <w:rPr>
          <w:i/>
          <w:lang w:val="en-ZW"/>
        </w:rPr>
        <w:t>Makoni</w:t>
      </w:r>
      <w:proofErr w:type="spellEnd"/>
      <w:r>
        <w:rPr>
          <w:lang w:val="en-ZW"/>
        </w:rPr>
        <w:t>, applicant’s legal practitioners</w:t>
      </w:r>
    </w:p>
    <w:p w:rsidR="00D81C9C" w:rsidRDefault="00C60E3B">
      <w:r w:rsidRPr="001F1DFD">
        <w:rPr>
          <w:i/>
          <w:lang w:val="en-ZW"/>
        </w:rPr>
        <w:t xml:space="preserve">I.E.G. </w:t>
      </w:r>
      <w:proofErr w:type="spellStart"/>
      <w:r w:rsidRPr="001F1DFD">
        <w:rPr>
          <w:i/>
          <w:lang w:val="en-ZW"/>
        </w:rPr>
        <w:t>Musimbe</w:t>
      </w:r>
      <w:proofErr w:type="spellEnd"/>
      <w:r w:rsidRPr="001F1DFD">
        <w:rPr>
          <w:i/>
          <w:lang w:val="en-ZW"/>
        </w:rPr>
        <w:t xml:space="preserve"> </w:t>
      </w:r>
      <w:r w:rsidR="001F1DFD" w:rsidRPr="001F1DFD">
        <w:rPr>
          <w:i/>
          <w:lang w:val="en-ZW"/>
        </w:rPr>
        <w:t>&amp; Partners</w:t>
      </w:r>
      <w:r w:rsidR="001F1DFD">
        <w:rPr>
          <w:lang w:val="en-ZW"/>
        </w:rPr>
        <w:t>, respondent’s legal practitioners</w:t>
      </w:r>
    </w:p>
    <w:sectPr w:rsidR="00D81C9C" w:rsidSect="00AD6E7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9A" w:rsidRDefault="00FF0B9A" w:rsidP="00AD6E7B">
      <w:pPr>
        <w:spacing w:line="240" w:lineRule="auto"/>
      </w:pPr>
      <w:r>
        <w:separator/>
      </w:r>
    </w:p>
  </w:endnote>
  <w:endnote w:type="continuationSeparator" w:id="0">
    <w:p w:rsidR="00FF0B9A" w:rsidRDefault="00FF0B9A" w:rsidP="00AD6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871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4E1F" w:rsidRDefault="009F4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E1F" w:rsidRDefault="009F4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9A" w:rsidRDefault="00FF0B9A" w:rsidP="00AD6E7B">
      <w:pPr>
        <w:spacing w:line="240" w:lineRule="auto"/>
      </w:pPr>
      <w:r>
        <w:separator/>
      </w:r>
    </w:p>
  </w:footnote>
  <w:footnote w:type="continuationSeparator" w:id="0">
    <w:p w:rsidR="00FF0B9A" w:rsidRDefault="00FF0B9A" w:rsidP="00AD6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1F" w:rsidRPr="00AD6E7B" w:rsidRDefault="009F4E1F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281AE6">
      <w:rPr>
        <w:lang w:val="en-ZW"/>
      </w:rPr>
      <w:t>626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6920"/>
    <w:multiLevelType w:val="hybridMultilevel"/>
    <w:tmpl w:val="1EA4DCCE"/>
    <w:lvl w:ilvl="0" w:tplc="BD8400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863E6"/>
    <w:multiLevelType w:val="hybridMultilevel"/>
    <w:tmpl w:val="9EEC298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7B"/>
    <w:rsid w:val="00011F63"/>
    <w:rsid w:val="000123EE"/>
    <w:rsid w:val="00031DCC"/>
    <w:rsid w:val="000472CF"/>
    <w:rsid w:val="00057662"/>
    <w:rsid w:val="001A742B"/>
    <w:rsid w:val="001E189D"/>
    <w:rsid w:val="001F1DFD"/>
    <w:rsid w:val="001F38D7"/>
    <w:rsid w:val="001F63F3"/>
    <w:rsid w:val="002205F3"/>
    <w:rsid w:val="00220BBF"/>
    <w:rsid w:val="00261D47"/>
    <w:rsid w:val="00261F4A"/>
    <w:rsid w:val="0026313C"/>
    <w:rsid w:val="00274A40"/>
    <w:rsid w:val="00281AE6"/>
    <w:rsid w:val="00292E02"/>
    <w:rsid w:val="002A3302"/>
    <w:rsid w:val="00316534"/>
    <w:rsid w:val="003311ED"/>
    <w:rsid w:val="0035077F"/>
    <w:rsid w:val="0038254A"/>
    <w:rsid w:val="003C1598"/>
    <w:rsid w:val="00435E9B"/>
    <w:rsid w:val="004A5501"/>
    <w:rsid w:val="004A665B"/>
    <w:rsid w:val="004C4CDA"/>
    <w:rsid w:val="004F169D"/>
    <w:rsid w:val="00503C9A"/>
    <w:rsid w:val="005061E8"/>
    <w:rsid w:val="00534DC1"/>
    <w:rsid w:val="00545113"/>
    <w:rsid w:val="005475FB"/>
    <w:rsid w:val="00551F40"/>
    <w:rsid w:val="005579EC"/>
    <w:rsid w:val="005C37BA"/>
    <w:rsid w:val="005D2EC7"/>
    <w:rsid w:val="005E5325"/>
    <w:rsid w:val="005F5DDE"/>
    <w:rsid w:val="005F7EBE"/>
    <w:rsid w:val="00616C4B"/>
    <w:rsid w:val="00622B92"/>
    <w:rsid w:val="00624652"/>
    <w:rsid w:val="006314B8"/>
    <w:rsid w:val="00642522"/>
    <w:rsid w:val="00644BC9"/>
    <w:rsid w:val="00654DA4"/>
    <w:rsid w:val="00657EE6"/>
    <w:rsid w:val="006755AD"/>
    <w:rsid w:val="006850CD"/>
    <w:rsid w:val="00694AFC"/>
    <w:rsid w:val="0069517C"/>
    <w:rsid w:val="006A33A0"/>
    <w:rsid w:val="006A3BBA"/>
    <w:rsid w:val="006B1160"/>
    <w:rsid w:val="006B3C91"/>
    <w:rsid w:val="006C2231"/>
    <w:rsid w:val="006C5EA5"/>
    <w:rsid w:val="007144D0"/>
    <w:rsid w:val="007148EC"/>
    <w:rsid w:val="00722CD7"/>
    <w:rsid w:val="0073277B"/>
    <w:rsid w:val="00796964"/>
    <w:rsid w:val="007E1E4E"/>
    <w:rsid w:val="007E78AF"/>
    <w:rsid w:val="00821A50"/>
    <w:rsid w:val="00826478"/>
    <w:rsid w:val="00850565"/>
    <w:rsid w:val="008851EB"/>
    <w:rsid w:val="008914B7"/>
    <w:rsid w:val="008F6FE4"/>
    <w:rsid w:val="00902F28"/>
    <w:rsid w:val="00904CBC"/>
    <w:rsid w:val="0092486F"/>
    <w:rsid w:val="00944C31"/>
    <w:rsid w:val="009574AE"/>
    <w:rsid w:val="00961524"/>
    <w:rsid w:val="009A1BAD"/>
    <w:rsid w:val="009A7C48"/>
    <w:rsid w:val="009B581D"/>
    <w:rsid w:val="009F4E1F"/>
    <w:rsid w:val="00A077BA"/>
    <w:rsid w:val="00A41838"/>
    <w:rsid w:val="00A53F8E"/>
    <w:rsid w:val="00A577D3"/>
    <w:rsid w:val="00A87E69"/>
    <w:rsid w:val="00A90CBF"/>
    <w:rsid w:val="00AA1067"/>
    <w:rsid w:val="00AC3B34"/>
    <w:rsid w:val="00AD6E7B"/>
    <w:rsid w:val="00B01FD8"/>
    <w:rsid w:val="00B2056C"/>
    <w:rsid w:val="00B46768"/>
    <w:rsid w:val="00BB001C"/>
    <w:rsid w:val="00C17F2A"/>
    <w:rsid w:val="00C21B0A"/>
    <w:rsid w:val="00C60E3B"/>
    <w:rsid w:val="00CA25DC"/>
    <w:rsid w:val="00CA52FB"/>
    <w:rsid w:val="00CB0CD7"/>
    <w:rsid w:val="00CC7127"/>
    <w:rsid w:val="00D203ED"/>
    <w:rsid w:val="00D33202"/>
    <w:rsid w:val="00D62922"/>
    <w:rsid w:val="00D81C9C"/>
    <w:rsid w:val="00D96AC6"/>
    <w:rsid w:val="00DC1497"/>
    <w:rsid w:val="00DC270B"/>
    <w:rsid w:val="00DC5ABD"/>
    <w:rsid w:val="00DD6EC3"/>
    <w:rsid w:val="00E2698C"/>
    <w:rsid w:val="00E40578"/>
    <w:rsid w:val="00E61062"/>
    <w:rsid w:val="00E71969"/>
    <w:rsid w:val="00E96285"/>
    <w:rsid w:val="00EA0772"/>
    <w:rsid w:val="00EB4810"/>
    <w:rsid w:val="00EC0FE9"/>
    <w:rsid w:val="00EC4CAD"/>
    <w:rsid w:val="00ED22C6"/>
    <w:rsid w:val="00F16190"/>
    <w:rsid w:val="00F2580A"/>
    <w:rsid w:val="00F54199"/>
    <w:rsid w:val="00F62863"/>
    <w:rsid w:val="00FA3012"/>
    <w:rsid w:val="00FE2A5B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7B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E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7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6E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7B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7B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E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7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6E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7B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2016-08-22T13:37:00Z</cp:lastPrinted>
  <dcterms:created xsi:type="dcterms:W3CDTF">2016-10-07T08:26:00Z</dcterms:created>
  <dcterms:modified xsi:type="dcterms:W3CDTF">2016-10-07T09:39:00Z</dcterms:modified>
</cp:coreProperties>
</file>