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A2" w:rsidRPr="00CF6BB0" w:rsidRDefault="003F76A2" w:rsidP="003F76A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PETROMOCEXOR (PRIVATE) LIMITED</w:t>
      </w:r>
    </w:p>
    <w:p w:rsidR="003F76A2" w:rsidRPr="00CF6BB0" w:rsidRDefault="003F76A2" w:rsidP="003F76A2">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ENERGY PARK (PVT) LTD</w:t>
      </w:r>
    </w:p>
    <w:p w:rsidR="003F76A2" w:rsidRDefault="003F76A2" w:rsidP="00DA6BE1">
      <w:pPr>
        <w:tabs>
          <w:tab w:val="center"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DA6BE1">
        <w:rPr>
          <w:rFonts w:ascii="Times New Roman" w:hAnsi="Times New Roman" w:cs="Times New Roman"/>
          <w:sz w:val="24"/>
          <w:szCs w:val="24"/>
        </w:rPr>
        <w:tab/>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FREDDY CHIMBARI N.O</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MUKONDIWA</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TRYMORE MANYANGA</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THE HIGH COURT</w:t>
      </w:r>
    </w:p>
    <w:p w:rsidR="003F76A2" w:rsidRDefault="003F76A2" w:rsidP="003F76A2">
      <w:pPr>
        <w:spacing w:after="0" w:line="240" w:lineRule="auto"/>
        <w:jc w:val="both"/>
        <w:rPr>
          <w:rFonts w:ascii="Times New Roman" w:hAnsi="Times New Roman" w:cs="Times New Roman"/>
          <w:sz w:val="24"/>
          <w:szCs w:val="24"/>
        </w:rPr>
      </w:pPr>
    </w:p>
    <w:p w:rsidR="003F76A2" w:rsidRDefault="003F76A2" w:rsidP="003F76A2">
      <w:pPr>
        <w:spacing w:after="0" w:line="240" w:lineRule="auto"/>
        <w:jc w:val="both"/>
        <w:rPr>
          <w:rFonts w:ascii="Times New Roman" w:hAnsi="Times New Roman" w:cs="Times New Roman"/>
          <w:sz w:val="24"/>
          <w:szCs w:val="24"/>
        </w:rPr>
      </w:pP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3F76A2" w:rsidRDefault="003F76A2" w:rsidP="003F76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7 July </w:t>
      </w:r>
      <w:r w:rsidR="007722C9">
        <w:rPr>
          <w:rFonts w:ascii="Times New Roman" w:hAnsi="Times New Roman" w:cs="Times New Roman"/>
          <w:sz w:val="24"/>
          <w:szCs w:val="24"/>
        </w:rPr>
        <w:t xml:space="preserve">&amp; 21 </w:t>
      </w:r>
      <w:r w:rsidR="00481255">
        <w:rPr>
          <w:rFonts w:ascii="Times New Roman" w:hAnsi="Times New Roman" w:cs="Times New Roman"/>
          <w:sz w:val="24"/>
          <w:szCs w:val="24"/>
        </w:rPr>
        <w:t xml:space="preserve">October </w:t>
      </w:r>
      <w:r>
        <w:rPr>
          <w:rFonts w:ascii="Times New Roman" w:hAnsi="Times New Roman" w:cs="Times New Roman"/>
          <w:sz w:val="24"/>
          <w:szCs w:val="24"/>
        </w:rPr>
        <w:t>2022</w:t>
      </w:r>
    </w:p>
    <w:p w:rsidR="003F76A2" w:rsidRDefault="003F76A2" w:rsidP="003F76A2">
      <w:pPr>
        <w:spacing w:after="0" w:line="240" w:lineRule="auto"/>
        <w:jc w:val="both"/>
        <w:rPr>
          <w:rFonts w:ascii="Times New Roman" w:hAnsi="Times New Roman" w:cs="Times New Roman"/>
          <w:sz w:val="24"/>
          <w:szCs w:val="24"/>
        </w:rPr>
      </w:pPr>
    </w:p>
    <w:p w:rsidR="003F76A2" w:rsidRPr="00CF6BB0" w:rsidRDefault="003F76A2" w:rsidP="003F76A2">
      <w:pPr>
        <w:spacing w:after="0" w:line="240" w:lineRule="auto"/>
        <w:jc w:val="both"/>
        <w:rPr>
          <w:rFonts w:ascii="Times New Roman" w:hAnsi="Times New Roman" w:cs="Times New Roman"/>
          <w:sz w:val="24"/>
          <w:szCs w:val="24"/>
        </w:rPr>
      </w:pPr>
    </w:p>
    <w:p w:rsidR="003F76A2" w:rsidRDefault="00DA54E6" w:rsidP="003F76A2">
      <w:pPr>
        <w:spacing w:after="20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Opposed Application</w:t>
      </w:r>
    </w:p>
    <w:p w:rsidR="003F76A2" w:rsidRDefault="00DA54E6" w:rsidP="003F76A2">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T G Chigudugudze,</w:t>
      </w:r>
      <w:r w:rsidR="003F76A2">
        <w:rPr>
          <w:rFonts w:ascii="Times New Roman" w:hAnsi="Times New Roman" w:cs="Times New Roman"/>
          <w:i/>
          <w:sz w:val="24"/>
          <w:szCs w:val="24"/>
          <w:lang w:val="en-ZW"/>
        </w:rPr>
        <w:t xml:space="preserve"> </w:t>
      </w:r>
      <w:r w:rsidR="003F76A2">
        <w:rPr>
          <w:rFonts w:ascii="Times New Roman" w:hAnsi="Times New Roman" w:cs="Times New Roman"/>
          <w:sz w:val="24"/>
          <w:szCs w:val="24"/>
          <w:lang w:val="en-ZW"/>
        </w:rPr>
        <w:t>for the appellant</w:t>
      </w:r>
    </w:p>
    <w:p w:rsidR="003F76A2" w:rsidRDefault="00DA54E6" w:rsidP="003F76A2">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 xml:space="preserve">Mr V Masaiti, </w:t>
      </w:r>
      <w:r w:rsidR="003F76A2">
        <w:rPr>
          <w:rFonts w:ascii="Times New Roman" w:hAnsi="Times New Roman" w:cs="Times New Roman"/>
          <w:sz w:val="24"/>
          <w:szCs w:val="24"/>
          <w:lang w:val="en-ZW"/>
        </w:rPr>
        <w:t xml:space="preserve">for the </w:t>
      </w:r>
      <w:r>
        <w:rPr>
          <w:rFonts w:ascii="Times New Roman" w:hAnsi="Times New Roman" w:cs="Times New Roman"/>
          <w:sz w:val="24"/>
          <w:szCs w:val="24"/>
          <w:lang w:val="en-ZW"/>
        </w:rPr>
        <w:t>1</w:t>
      </w:r>
      <w:r w:rsidRPr="00DA54E6">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w:t>
      </w:r>
      <w:r w:rsidR="003F76A2">
        <w:rPr>
          <w:rFonts w:ascii="Times New Roman" w:hAnsi="Times New Roman" w:cs="Times New Roman"/>
          <w:sz w:val="24"/>
          <w:szCs w:val="24"/>
          <w:lang w:val="en-ZW"/>
        </w:rPr>
        <w:t>respondent</w:t>
      </w:r>
    </w:p>
    <w:p w:rsidR="00DA54E6" w:rsidRDefault="00DA54E6" w:rsidP="003F76A2">
      <w:pPr>
        <w:spacing w:after="0" w:line="240" w:lineRule="auto"/>
        <w:jc w:val="both"/>
        <w:rPr>
          <w:rFonts w:ascii="Times New Roman" w:hAnsi="Times New Roman" w:cs="Times New Roman"/>
          <w:sz w:val="24"/>
          <w:szCs w:val="24"/>
          <w:lang w:val="en-ZW"/>
        </w:rPr>
      </w:pPr>
      <w:r w:rsidRPr="00DA54E6">
        <w:rPr>
          <w:rFonts w:ascii="Times New Roman" w:hAnsi="Times New Roman" w:cs="Times New Roman"/>
          <w:i/>
          <w:sz w:val="24"/>
          <w:szCs w:val="24"/>
          <w:lang w:val="en-ZW"/>
        </w:rPr>
        <w:t>M S Kutandada</w:t>
      </w:r>
      <w:r>
        <w:rPr>
          <w:rFonts w:ascii="Times New Roman" w:hAnsi="Times New Roman" w:cs="Times New Roman"/>
          <w:sz w:val="24"/>
          <w:szCs w:val="24"/>
          <w:lang w:val="en-ZW"/>
        </w:rPr>
        <w:t>, for the 2</w:t>
      </w:r>
      <w:r w:rsidRPr="00DA54E6">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respondent </w:t>
      </w:r>
    </w:p>
    <w:p w:rsidR="00DA54E6" w:rsidRDefault="00DA54E6" w:rsidP="003F76A2">
      <w:pPr>
        <w:spacing w:after="0" w:line="240" w:lineRule="auto"/>
        <w:jc w:val="both"/>
        <w:rPr>
          <w:rFonts w:ascii="Times New Roman" w:hAnsi="Times New Roman" w:cs="Times New Roman"/>
          <w:sz w:val="24"/>
          <w:szCs w:val="24"/>
          <w:lang w:val="en-ZW"/>
        </w:rPr>
      </w:pPr>
      <w:r w:rsidRPr="00DA54E6">
        <w:rPr>
          <w:rFonts w:ascii="Times New Roman" w:hAnsi="Times New Roman" w:cs="Times New Roman"/>
          <w:i/>
          <w:sz w:val="24"/>
          <w:szCs w:val="24"/>
          <w:lang w:val="en-ZW"/>
        </w:rPr>
        <w:t>T Manyange</w:t>
      </w:r>
      <w:r>
        <w:rPr>
          <w:rFonts w:ascii="Times New Roman" w:hAnsi="Times New Roman" w:cs="Times New Roman"/>
          <w:sz w:val="24"/>
          <w:szCs w:val="24"/>
          <w:lang w:val="en-ZW"/>
        </w:rPr>
        <w:t>, for the 4</w:t>
      </w:r>
      <w:r w:rsidRPr="00DA54E6">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w:t>
      </w:r>
    </w:p>
    <w:p w:rsidR="003F76A2" w:rsidRDefault="003F76A2" w:rsidP="003F76A2">
      <w:pPr>
        <w:spacing w:after="0" w:line="240" w:lineRule="auto"/>
        <w:jc w:val="both"/>
        <w:rPr>
          <w:rFonts w:ascii="Times New Roman" w:hAnsi="Times New Roman" w:cs="Times New Roman"/>
          <w:sz w:val="24"/>
          <w:szCs w:val="24"/>
          <w:lang w:val="en-ZW"/>
        </w:rPr>
      </w:pPr>
    </w:p>
    <w:p w:rsidR="003F76A2" w:rsidRPr="00CB239C" w:rsidRDefault="003F76A2" w:rsidP="003F76A2">
      <w:pPr>
        <w:spacing w:after="0" w:line="240" w:lineRule="auto"/>
        <w:jc w:val="both"/>
        <w:rPr>
          <w:rFonts w:ascii="Times New Roman" w:hAnsi="Times New Roman" w:cs="Times New Roman"/>
          <w:sz w:val="24"/>
          <w:szCs w:val="24"/>
          <w:lang w:val="en-ZW"/>
        </w:rPr>
      </w:pPr>
    </w:p>
    <w:p w:rsidR="00054059" w:rsidRPr="003F76A2" w:rsidRDefault="00054059" w:rsidP="003F76A2">
      <w:pPr>
        <w:spacing w:line="360" w:lineRule="auto"/>
        <w:ind w:firstLine="360"/>
        <w:jc w:val="both"/>
        <w:rPr>
          <w:rFonts w:ascii="Times New Roman" w:hAnsi="Times New Roman" w:cs="Times New Roman"/>
          <w:sz w:val="24"/>
          <w:szCs w:val="24"/>
        </w:rPr>
      </w:pPr>
      <w:r w:rsidRPr="003F76A2">
        <w:rPr>
          <w:rFonts w:ascii="Times New Roman" w:hAnsi="Times New Roman" w:cs="Times New Roman"/>
          <w:b/>
          <w:sz w:val="24"/>
          <w:szCs w:val="24"/>
        </w:rPr>
        <w:t>MANGOTA J</w:t>
      </w:r>
      <w:r w:rsidR="003F76A2">
        <w:rPr>
          <w:rFonts w:ascii="Times New Roman" w:hAnsi="Times New Roman" w:cs="Times New Roman"/>
          <w:sz w:val="24"/>
          <w:szCs w:val="24"/>
        </w:rPr>
        <w:t xml:space="preserve">: </w:t>
      </w:r>
      <w:r w:rsidRPr="003F76A2">
        <w:rPr>
          <w:rFonts w:ascii="Times New Roman" w:hAnsi="Times New Roman" w:cs="Times New Roman"/>
          <w:sz w:val="24"/>
          <w:szCs w:val="24"/>
        </w:rPr>
        <w:t xml:space="preserve">At the center of the dispute of the parties is Stand 262, Muzarabani Growth Point (“the property”). </w:t>
      </w:r>
      <w:r w:rsidR="003F76A2">
        <w:rPr>
          <w:rFonts w:ascii="Times New Roman" w:hAnsi="Times New Roman" w:cs="Times New Roman"/>
          <w:sz w:val="24"/>
          <w:szCs w:val="24"/>
        </w:rPr>
        <w:t xml:space="preserve"> </w:t>
      </w:r>
      <w:r w:rsidRPr="003F76A2">
        <w:rPr>
          <w:rFonts w:ascii="Times New Roman" w:hAnsi="Times New Roman" w:cs="Times New Roman"/>
          <w:sz w:val="24"/>
          <w:szCs w:val="24"/>
        </w:rPr>
        <w:t xml:space="preserve">It is in Muzarabani which is under Mashonaland Central Province. The late Pascale (“Pascale”) Shambi Nyamukondiwa is its owner. </w:t>
      </w:r>
      <w:r w:rsidR="003F76A2">
        <w:rPr>
          <w:rFonts w:ascii="Times New Roman" w:hAnsi="Times New Roman" w:cs="Times New Roman"/>
          <w:sz w:val="24"/>
          <w:szCs w:val="24"/>
        </w:rPr>
        <w:t xml:space="preserve"> </w:t>
      </w:r>
      <w:r w:rsidRPr="003F76A2">
        <w:rPr>
          <w:rFonts w:ascii="Times New Roman" w:hAnsi="Times New Roman" w:cs="Times New Roman"/>
          <w:sz w:val="24"/>
          <w:szCs w:val="24"/>
        </w:rPr>
        <w:t>He leased it to the applicant in May, 2001. The lease was to endure for twenty-five consecutive years.</w:t>
      </w:r>
      <w:r w:rsidR="003F76A2">
        <w:rPr>
          <w:rFonts w:ascii="Times New Roman" w:hAnsi="Times New Roman" w:cs="Times New Roman"/>
          <w:sz w:val="24"/>
          <w:szCs w:val="24"/>
        </w:rPr>
        <w:t xml:space="preserve"> </w:t>
      </w:r>
      <w:r w:rsidRPr="003F76A2">
        <w:rPr>
          <w:rFonts w:ascii="Times New Roman" w:hAnsi="Times New Roman" w:cs="Times New Roman"/>
          <w:sz w:val="24"/>
          <w:szCs w:val="24"/>
        </w:rPr>
        <w:t xml:space="preserve"> Its operation was with effect from 1 June, 2001.</w:t>
      </w:r>
      <w:r w:rsidR="008E6672" w:rsidRPr="003F76A2">
        <w:rPr>
          <w:rFonts w:ascii="Times New Roman" w:hAnsi="Times New Roman" w:cs="Times New Roman"/>
          <w:sz w:val="24"/>
          <w:szCs w:val="24"/>
        </w:rPr>
        <w:t xml:space="preserve"> </w:t>
      </w:r>
      <w:r w:rsidR="003F76A2">
        <w:rPr>
          <w:rFonts w:ascii="Times New Roman" w:hAnsi="Times New Roman" w:cs="Times New Roman"/>
          <w:sz w:val="24"/>
          <w:szCs w:val="24"/>
        </w:rPr>
        <w:t xml:space="preserve"> </w:t>
      </w:r>
      <w:r w:rsidR="008E6672" w:rsidRPr="003F76A2">
        <w:rPr>
          <w:rFonts w:ascii="Times New Roman" w:hAnsi="Times New Roman" w:cs="Times New Roman"/>
          <w:sz w:val="24"/>
          <w:szCs w:val="24"/>
        </w:rPr>
        <w:t>Its terms which are relevant to the circumstances of this application are that:</w:t>
      </w:r>
    </w:p>
    <w:p w:rsidR="008E6672" w:rsidRPr="003F76A2" w:rsidRDefault="00812EAE" w:rsidP="003F7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E6672" w:rsidRPr="003F76A2">
        <w:rPr>
          <w:rFonts w:ascii="Times New Roman" w:hAnsi="Times New Roman" w:cs="Times New Roman"/>
          <w:sz w:val="24"/>
          <w:szCs w:val="24"/>
        </w:rPr>
        <w:t>he property would be used for erecting and operating a fuel retail outlet;</w:t>
      </w:r>
    </w:p>
    <w:p w:rsidR="008E6672" w:rsidRPr="003F76A2" w:rsidRDefault="00812EAE" w:rsidP="003F7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E6672" w:rsidRPr="003F76A2">
        <w:rPr>
          <w:rFonts w:ascii="Times New Roman" w:hAnsi="Times New Roman" w:cs="Times New Roman"/>
          <w:sz w:val="24"/>
          <w:szCs w:val="24"/>
        </w:rPr>
        <w:t>he lessee would develop the property for its intended use and…construct and install necessary improvements thereon on the mutual acknowledgement and understanding that each development(s) and/or improvement(s) would always remain the sole and exclusive property of the lessee- and</w:t>
      </w:r>
    </w:p>
    <w:p w:rsidR="008E6672" w:rsidRPr="003F76A2" w:rsidRDefault="00812EAE" w:rsidP="003F76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E6672" w:rsidRPr="003F76A2">
        <w:rPr>
          <w:rFonts w:ascii="Times New Roman" w:hAnsi="Times New Roman" w:cs="Times New Roman"/>
          <w:sz w:val="24"/>
          <w:szCs w:val="24"/>
        </w:rPr>
        <w:t xml:space="preserve">t the expiry of the lease, the lessor would regain possession </w:t>
      </w:r>
      <w:r w:rsidR="00EA2454" w:rsidRPr="003F76A2">
        <w:rPr>
          <w:rFonts w:ascii="Times New Roman" w:hAnsi="Times New Roman" w:cs="Times New Roman"/>
          <w:sz w:val="24"/>
          <w:szCs w:val="24"/>
        </w:rPr>
        <w:t>of the property only and the development(s) would remain the sole and exclusive property of the lessee.</w:t>
      </w:r>
    </w:p>
    <w:p w:rsidR="00EA2454" w:rsidRPr="003F76A2" w:rsidRDefault="00EA2454" w:rsidP="003F76A2">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lastRenderedPageBreak/>
        <w:t>The applicant’s unchallenged statement is that, pursuant to the lease which it signed with Pascale, it took occupation of the property and channeled investment on to it with a view to making it a going concern for its fuel retail business.</w:t>
      </w:r>
      <w:r w:rsidR="006E09BA" w:rsidRPr="003F76A2">
        <w:rPr>
          <w:rFonts w:ascii="Times New Roman" w:hAnsi="Times New Roman" w:cs="Times New Roman"/>
          <w:sz w:val="24"/>
          <w:szCs w:val="24"/>
        </w:rPr>
        <w:t xml:space="preserve"> </w:t>
      </w:r>
      <w:r w:rsidR="008722C2">
        <w:rPr>
          <w:rFonts w:ascii="Times New Roman" w:hAnsi="Times New Roman" w:cs="Times New Roman"/>
          <w:sz w:val="24"/>
          <w:szCs w:val="24"/>
        </w:rPr>
        <w:t xml:space="preserve"> </w:t>
      </w:r>
      <w:r w:rsidR="006E09BA" w:rsidRPr="003F76A2">
        <w:rPr>
          <w:rFonts w:ascii="Times New Roman" w:hAnsi="Times New Roman" w:cs="Times New Roman"/>
          <w:sz w:val="24"/>
          <w:szCs w:val="24"/>
        </w:rPr>
        <w:t xml:space="preserve">It, in the mentioned regard, obtained the necessary building plans approvals and operating licences, erected on the property building(s) for shop and offices, fuel tanks, pumps and canopy. </w:t>
      </w:r>
      <w:r w:rsidR="00574E6A">
        <w:rPr>
          <w:rFonts w:ascii="Times New Roman" w:hAnsi="Times New Roman" w:cs="Times New Roman"/>
          <w:sz w:val="24"/>
          <w:szCs w:val="24"/>
        </w:rPr>
        <w:t xml:space="preserve"> </w:t>
      </w:r>
      <w:r w:rsidR="006E09BA" w:rsidRPr="003F76A2">
        <w:rPr>
          <w:rFonts w:ascii="Times New Roman" w:hAnsi="Times New Roman" w:cs="Times New Roman"/>
          <w:sz w:val="24"/>
          <w:szCs w:val="24"/>
        </w:rPr>
        <w:t>This, according to it, enabled it to carry out its fuel retailing business.</w:t>
      </w:r>
      <w:r w:rsidR="00511D28" w:rsidRPr="003F76A2">
        <w:rPr>
          <w:rFonts w:ascii="Times New Roman" w:hAnsi="Times New Roman" w:cs="Times New Roman"/>
          <w:sz w:val="24"/>
          <w:szCs w:val="24"/>
        </w:rPr>
        <w:t xml:space="preserve">  </w:t>
      </w:r>
    </w:p>
    <w:p w:rsidR="00511D28" w:rsidRPr="003F76A2" w:rsidRDefault="00511D28" w:rsidP="00574E6A">
      <w:pPr>
        <w:spacing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Its further unchallenged assertion is that, whilst it operated the service station at the property, Government promulgated new regulations. These, according to it, required all existing service stations to install, at their stations, an oil interceptor and separator as a way of manag</w:t>
      </w:r>
      <w:r w:rsidR="007D58FC" w:rsidRPr="003F76A2">
        <w:rPr>
          <w:rFonts w:ascii="Times New Roman" w:hAnsi="Times New Roman" w:cs="Times New Roman"/>
          <w:sz w:val="24"/>
          <w:szCs w:val="24"/>
        </w:rPr>
        <w:t>ing effluent from spillages at the</w:t>
      </w:r>
      <w:r w:rsidRPr="003F76A2">
        <w:rPr>
          <w:rFonts w:ascii="Times New Roman" w:hAnsi="Times New Roman" w:cs="Times New Roman"/>
          <w:sz w:val="24"/>
          <w:szCs w:val="24"/>
        </w:rPr>
        <w:t xml:space="preserve"> service station.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The Environmental Management Agency (“EMA”), it alleges, set deadlines for the construction and installation of the additional improvement(s).</w:t>
      </w:r>
      <w:r w:rsidR="00F820D7" w:rsidRPr="003F76A2">
        <w:rPr>
          <w:rFonts w:ascii="Times New Roman" w:hAnsi="Times New Roman" w:cs="Times New Roman"/>
          <w:sz w:val="24"/>
          <w:szCs w:val="24"/>
        </w:rPr>
        <w:t xml:space="preserve"> </w:t>
      </w:r>
      <w:r w:rsidR="00574E6A">
        <w:rPr>
          <w:rFonts w:ascii="Times New Roman" w:hAnsi="Times New Roman" w:cs="Times New Roman"/>
          <w:sz w:val="24"/>
          <w:szCs w:val="24"/>
        </w:rPr>
        <w:t xml:space="preserve"> </w:t>
      </w:r>
      <w:r w:rsidR="00F820D7" w:rsidRPr="003F76A2">
        <w:rPr>
          <w:rFonts w:ascii="Times New Roman" w:hAnsi="Times New Roman" w:cs="Times New Roman"/>
          <w:sz w:val="24"/>
          <w:szCs w:val="24"/>
        </w:rPr>
        <w:t>It asserts that, because the parties had not contemplated the</w:t>
      </w:r>
      <w:r w:rsidR="007D58FC" w:rsidRPr="003F76A2">
        <w:rPr>
          <w:rFonts w:ascii="Times New Roman" w:hAnsi="Times New Roman" w:cs="Times New Roman"/>
          <w:sz w:val="24"/>
          <w:szCs w:val="24"/>
        </w:rPr>
        <w:t>se</w:t>
      </w:r>
      <w:r w:rsidR="00F820D7" w:rsidRPr="003F76A2">
        <w:rPr>
          <w:rFonts w:ascii="Times New Roman" w:hAnsi="Times New Roman" w:cs="Times New Roman"/>
          <w:sz w:val="24"/>
          <w:szCs w:val="24"/>
        </w:rPr>
        <w:t xml:space="preserve"> new improvements at the time of their contract, Pascale and it agreed between them that the attendant costs would be on Pascale’s account so that if it (applicant) were to foot the bill which related to the additional costs, its payment of the same would affect either</w:t>
      </w:r>
      <w:r w:rsidR="007D58FC" w:rsidRPr="003F76A2">
        <w:rPr>
          <w:rFonts w:ascii="Times New Roman" w:hAnsi="Times New Roman" w:cs="Times New Roman"/>
          <w:sz w:val="24"/>
          <w:szCs w:val="24"/>
        </w:rPr>
        <w:t xml:space="preserve"> the</w:t>
      </w:r>
      <w:r w:rsidR="00F820D7" w:rsidRPr="003F76A2">
        <w:rPr>
          <w:rFonts w:ascii="Times New Roman" w:hAnsi="Times New Roman" w:cs="Times New Roman"/>
          <w:sz w:val="24"/>
          <w:szCs w:val="24"/>
        </w:rPr>
        <w:t xml:space="preserve"> period of the lease or payment of agreed rentals.</w:t>
      </w:r>
      <w:r w:rsidR="00574E6A">
        <w:rPr>
          <w:rFonts w:ascii="Times New Roman" w:hAnsi="Times New Roman" w:cs="Times New Roman"/>
          <w:sz w:val="24"/>
          <w:szCs w:val="24"/>
        </w:rPr>
        <w:t xml:space="preserve"> </w:t>
      </w:r>
      <w:r w:rsidR="00F820D7" w:rsidRPr="003F76A2">
        <w:rPr>
          <w:rFonts w:ascii="Times New Roman" w:hAnsi="Times New Roman" w:cs="Times New Roman"/>
          <w:sz w:val="24"/>
          <w:szCs w:val="24"/>
        </w:rPr>
        <w:t xml:space="preserve"> It states that it proposed th</w:t>
      </w:r>
      <w:r w:rsidR="00692460">
        <w:rPr>
          <w:rFonts w:ascii="Times New Roman" w:hAnsi="Times New Roman" w:cs="Times New Roman"/>
          <w:sz w:val="24"/>
          <w:szCs w:val="24"/>
        </w:rPr>
        <w:t>r</w:t>
      </w:r>
      <w:r w:rsidR="00F820D7" w:rsidRPr="003F76A2">
        <w:rPr>
          <w:rFonts w:ascii="Times New Roman" w:hAnsi="Times New Roman" w:cs="Times New Roman"/>
          <w:sz w:val="24"/>
          <w:szCs w:val="24"/>
        </w:rPr>
        <w:t>ee options to Pascale. These were/ar</w:t>
      </w:r>
      <w:r w:rsidR="000F46E7" w:rsidRPr="003F76A2">
        <w:rPr>
          <w:rFonts w:ascii="Times New Roman" w:hAnsi="Times New Roman" w:cs="Times New Roman"/>
          <w:sz w:val="24"/>
          <w:szCs w:val="24"/>
        </w:rPr>
        <w:t>e that the parties would:</w:t>
      </w:r>
    </w:p>
    <w:p w:rsidR="00F820D7" w:rsidRPr="003F76A2" w:rsidRDefault="00812EAE" w:rsidP="003F76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0F46E7" w:rsidRPr="003F76A2">
        <w:rPr>
          <w:rFonts w:ascii="Times New Roman" w:hAnsi="Times New Roman" w:cs="Times New Roman"/>
          <w:sz w:val="24"/>
          <w:szCs w:val="24"/>
        </w:rPr>
        <w:t>gree on</w:t>
      </w:r>
      <w:r w:rsidR="00F820D7" w:rsidRPr="003F76A2">
        <w:rPr>
          <w:rFonts w:ascii="Times New Roman" w:hAnsi="Times New Roman" w:cs="Times New Roman"/>
          <w:sz w:val="24"/>
          <w:szCs w:val="24"/>
        </w:rPr>
        <w:t xml:space="preserve"> a nominated contractor’s value with Pascale settling the contractor’s invoice in full and the applicant supervising the contractor’s works to ensure that such works meet the standard which EMA prescribed; and/or</w:t>
      </w:r>
    </w:p>
    <w:p w:rsidR="00F820D7" w:rsidRPr="003F76A2" w:rsidRDefault="00812EAE" w:rsidP="003F76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F820D7" w:rsidRPr="003F76A2">
        <w:rPr>
          <w:rFonts w:ascii="Times New Roman" w:hAnsi="Times New Roman" w:cs="Times New Roman"/>
          <w:sz w:val="24"/>
          <w:szCs w:val="24"/>
        </w:rPr>
        <w:t>ominate a contractor and agree on the invoice with the applicant settling the contractor’s invoice in full and, in return, Pascale would forego annual rentals equivalent to the amount the applicant settled; and/or</w:t>
      </w:r>
    </w:p>
    <w:p w:rsidR="00F820D7" w:rsidRPr="003F76A2" w:rsidRDefault="00812EAE" w:rsidP="003F76A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0F46E7" w:rsidRPr="003F76A2">
        <w:rPr>
          <w:rFonts w:ascii="Times New Roman" w:hAnsi="Times New Roman" w:cs="Times New Roman"/>
          <w:sz w:val="24"/>
          <w:szCs w:val="24"/>
        </w:rPr>
        <w:t>ominate a contractor and agree on the invoice value with the applicant settling the contractor’s invoice in full and Pascal extending the period of the lease by eight years.</w:t>
      </w:r>
    </w:p>
    <w:p w:rsidR="00AA7F99" w:rsidRPr="003F76A2" w:rsidRDefault="00AA7F99" w:rsidP="00574E6A">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The applicant’s statement is that the parties agreed on the second option.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 xml:space="preserve">It alleges that, before they executed the agreed option, however, Pascale died.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 xml:space="preserve">He met his demise on 22 January, 2016. At his death the second respondent came into the equation.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 xml:space="preserve">He had been appointed by the fifth respondent to the position of executor dative of the estate of the late Pascale Shambi Nyamukondiwa.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His appointment was with effect from 29 July, 2016.</w:t>
      </w:r>
    </w:p>
    <w:p w:rsidR="00AA7F99" w:rsidRPr="003F76A2" w:rsidRDefault="00AA7F99" w:rsidP="00574E6A">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lastRenderedPageBreak/>
        <w:t xml:space="preserve">At his appointment, the second respondent wrote advising the applicant of the same.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 xml:space="preserve">He requested it to deposit all rentals which accumulated from the time of the deceased’s death. </w:t>
      </w:r>
      <w:r w:rsidR="00574E6A">
        <w:rPr>
          <w:rFonts w:ascii="Times New Roman" w:hAnsi="Times New Roman" w:cs="Times New Roman"/>
          <w:sz w:val="24"/>
          <w:szCs w:val="24"/>
        </w:rPr>
        <w:t xml:space="preserve"> </w:t>
      </w:r>
      <w:r w:rsidRPr="003F76A2">
        <w:rPr>
          <w:rFonts w:ascii="Times New Roman" w:hAnsi="Times New Roman" w:cs="Times New Roman"/>
          <w:sz w:val="24"/>
          <w:szCs w:val="24"/>
        </w:rPr>
        <w:t>He furnished his bank details into which payments would be made.</w:t>
      </w:r>
      <w:r w:rsidR="00BC7EEE" w:rsidRPr="003F76A2">
        <w:rPr>
          <w:rFonts w:ascii="Times New Roman" w:hAnsi="Times New Roman" w:cs="Times New Roman"/>
          <w:sz w:val="24"/>
          <w:szCs w:val="24"/>
        </w:rPr>
        <w:t xml:space="preserve"> </w:t>
      </w:r>
      <w:r w:rsidR="00574E6A">
        <w:rPr>
          <w:rFonts w:ascii="Times New Roman" w:hAnsi="Times New Roman" w:cs="Times New Roman"/>
          <w:sz w:val="24"/>
          <w:szCs w:val="24"/>
        </w:rPr>
        <w:t xml:space="preserve"> </w:t>
      </w:r>
      <w:r w:rsidR="00BC7EEE" w:rsidRPr="003F76A2">
        <w:rPr>
          <w:rFonts w:ascii="Times New Roman" w:hAnsi="Times New Roman" w:cs="Times New Roman"/>
          <w:sz w:val="24"/>
          <w:szCs w:val="24"/>
        </w:rPr>
        <w:t xml:space="preserve">In its reply, the applicant requested confirmation of the second respondent’s appointment to the position of executor. It paid the requested rentals into the furnished bank details of the second respondent and sought to dialogue with the latter regarding the new regulatory framework mandating the construction and installation of additional </w:t>
      </w:r>
      <w:r w:rsidR="00574E6A" w:rsidRPr="003F76A2">
        <w:rPr>
          <w:rFonts w:ascii="Times New Roman" w:hAnsi="Times New Roman" w:cs="Times New Roman"/>
          <w:sz w:val="24"/>
          <w:szCs w:val="24"/>
        </w:rPr>
        <w:t>improvements as</w:t>
      </w:r>
      <w:r w:rsidR="00BC7EEE" w:rsidRPr="003F76A2">
        <w:rPr>
          <w:rFonts w:ascii="Times New Roman" w:hAnsi="Times New Roman" w:cs="Times New Roman"/>
          <w:sz w:val="24"/>
          <w:szCs w:val="24"/>
        </w:rPr>
        <w:t xml:space="preserve"> well as the three options which were available to the parties. </w:t>
      </w:r>
      <w:r w:rsidR="00574E6A">
        <w:rPr>
          <w:rFonts w:ascii="Times New Roman" w:hAnsi="Times New Roman" w:cs="Times New Roman"/>
          <w:sz w:val="24"/>
          <w:szCs w:val="24"/>
        </w:rPr>
        <w:t xml:space="preserve"> </w:t>
      </w:r>
      <w:r w:rsidR="00BC7EEE" w:rsidRPr="003F76A2">
        <w:rPr>
          <w:rFonts w:ascii="Times New Roman" w:hAnsi="Times New Roman" w:cs="Times New Roman"/>
          <w:sz w:val="24"/>
          <w:szCs w:val="24"/>
        </w:rPr>
        <w:t>The second respondent, the applicant claims, became non-committal and evasive. Absent the prescribed additional improvements, it asserts, it had no choice but to suspend operations at the property until the same had been upgraded to the prescribed standard.</w:t>
      </w:r>
      <w:r w:rsidR="00574E6A">
        <w:rPr>
          <w:rFonts w:ascii="Times New Roman" w:hAnsi="Times New Roman" w:cs="Times New Roman"/>
          <w:sz w:val="24"/>
          <w:szCs w:val="24"/>
        </w:rPr>
        <w:t xml:space="preserve"> </w:t>
      </w:r>
      <w:r w:rsidR="00BC7EEE" w:rsidRPr="003F76A2">
        <w:rPr>
          <w:rFonts w:ascii="Times New Roman" w:hAnsi="Times New Roman" w:cs="Times New Roman"/>
          <w:sz w:val="24"/>
          <w:szCs w:val="24"/>
        </w:rPr>
        <w:t xml:space="preserve"> It insists that it did not ever part with possession</w:t>
      </w:r>
      <w:r w:rsidR="00757927" w:rsidRPr="003F76A2">
        <w:rPr>
          <w:rFonts w:ascii="Times New Roman" w:hAnsi="Times New Roman" w:cs="Times New Roman"/>
          <w:sz w:val="24"/>
          <w:szCs w:val="24"/>
        </w:rPr>
        <w:t xml:space="preserve"> of the property notwithstanding its suspension of operations. </w:t>
      </w:r>
      <w:r w:rsidR="00574E6A">
        <w:rPr>
          <w:rFonts w:ascii="Times New Roman" w:hAnsi="Times New Roman" w:cs="Times New Roman"/>
          <w:sz w:val="24"/>
          <w:szCs w:val="24"/>
        </w:rPr>
        <w:t xml:space="preserve"> </w:t>
      </w:r>
      <w:r w:rsidR="00757927" w:rsidRPr="003F76A2">
        <w:rPr>
          <w:rFonts w:ascii="Times New Roman" w:hAnsi="Times New Roman" w:cs="Times New Roman"/>
          <w:sz w:val="24"/>
          <w:szCs w:val="24"/>
        </w:rPr>
        <w:t xml:space="preserve">It states that it had its security personnel guarding the property whilst it awaited resumption of business consequent to prescribed compliance. </w:t>
      </w:r>
      <w:r w:rsidR="00574E6A">
        <w:rPr>
          <w:rFonts w:ascii="Times New Roman" w:hAnsi="Times New Roman" w:cs="Times New Roman"/>
          <w:sz w:val="24"/>
          <w:szCs w:val="24"/>
        </w:rPr>
        <w:t xml:space="preserve"> </w:t>
      </w:r>
      <w:r w:rsidR="00757927" w:rsidRPr="003F76A2">
        <w:rPr>
          <w:rFonts w:ascii="Times New Roman" w:hAnsi="Times New Roman" w:cs="Times New Roman"/>
          <w:sz w:val="24"/>
          <w:szCs w:val="24"/>
        </w:rPr>
        <w:t xml:space="preserve">It </w:t>
      </w:r>
      <w:r w:rsidR="00692460">
        <w:rPr>
          <w:rFonts w:ascii="Times New Roman" w:hAnsi="Times New Roman" w:cs="Times New Roman"/>
          <w:sz w:val="24"/>
          <w:szCs w:val="24"/>
        </w:rPr>
        <w:t>asserts</w:t>
      </w:r>
      <w:r w:rsidR="00757927" w:rsidRPr="003F76A2">
        <w:rPr>
          <w:rFonts w:ascii="Times New Roman" w:hAnsi="Times New Roman" w:cs="Times New Roman"/>
          <w:sz w:val="24"/>
          <w:szCs w:val="24"/>
        </w:rPr>
        <w:t xml:space="preserve"> that it removed from the property, for security reasons, its fuel pumps, generator and some other movables. </w:t>
      </w:r>
      <w:r w:rsidR="00574E6A">
        <w:rPr>
          <w:rFonts w:ascii="Times New Roman" w:hAnsi="Times New Roman" w:cs="Times New Roman"/>
          <w:sz w:val="24"/>
          <w:szCs w:val="24"/>
        </w:rPr>
        <w:t xml:space="preserve"> </w:t>
      </w:r>
      <w:r w:rsidR="00757927" w:rsidRPr="003F76A2">
        <w:rPr>
          <w:rFonts w:ascii="Times New Roman" w:hAnsi="Times New Roman" w:cs="Times New Roman"/>
          <w:sz w:val="24"/>
          <w:szCs w:val="24"/>
        </w:rPr>
        <w:t xml:space="preserve">These, it </w:t>
      </w:r>
      <w:r w:rsidR="00692460">
        <w:rPr>
          <w:rFonts w:ascii="Times New Roman" w:hAnsi="Times New Roman" w:cs="Times New Roman"/>
          <w:sz w:val="24"/>
          <w:szCs w:val="24"/>
        </w:rPr>
        <w:t>claims</w:t>
      </w:r>
      <w:r w:rsidR="00757927" w:rsidRPr="003F76A2">
        <w:rPr>
          <w:rFonts w:ascii="Times New Roman" w:hAnsi="Times New Roman" w:cs="Times New Roman"/>
          <w:sz w:val="24"/>
          <w:szCs w:val="24"/>
        </w:rPr>
        <w:t>, were to be returned upon resumption of operations.</w:t>
      </w:r>
    </w:p>
    <w:p w:rsidR="005555D0" w:rsidRPr="003F76A2" w:rsidRDefault="005555D0" w:rsidP="00242678">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On 24 March, 2020 the second respondent wrote accusing the applicant of not paying rent, not operating at the property, irregularly removing the fuel pumps from the property and inviting it to terminate the lease if it was </w:t>
      </w:r>
      <w:r w:rsidR="00D95299" w:rsidRPr="003F76A2">
        <w:rPr>
          <w:rFonts w:ascii="Times New Roman" w:hAnsi="Times New Roman" w:cs="Times New Roman"/>
          <w:sz w:val="24"/>
          <w:szCs w:val="24"/>
        </w:rPr>
        <w:t>no longer able to proceed</w:t>
      </w:r>
      <w:r w:rsidR="00692460">
        <w:rPr>
          <w:rFonts w:ascii="Times New Roman" w:hAnsi="Times New Roman" w:cs="Times New Roman"/>
          <w:sz w:val="24"/>
          <w:szCs w:val="24"/>
        </w:rPr>
        <w:t xml:space="preserve">. </w:t>
      </w:r>
      <w:r w:rsidR="00D95299" w:rsidRPr="003F76A2">
        <w:rPr>
          <w:rFonts w:ascii="Times New Roman" w:hAnsi="Times New Roman" w:cs="Times New Roman"/>
          <w:sz w:val="24"/>
          <w:szCs w:val="24"/>
        </w:rPr>
        <w:t xml:space="preserve"> </w:t>
      </w:r>
      <w:r w:rsidR="007722C9">
        <w:rPr>
          <w:rFonts w:ascii="Times New Roman" w:hAnsi="Times New Roman" w:cs="Times New Roman"/>
          <w:sz w:val="24"/>
          <w:szCs w:val="24"/>
        </w:rPr>
        <w:t>His</w:t>
      </w:r>
      <w:r w:rsidR="00792CB0">
        <w:rPr>
          <w:rFonts w:ascii="Times New Roman" w:hAnsi="Times New Roman" w:cs="Times New Roman"/>
          <w:sz w:val="24"/>
          <w:szCs w:val="24"/>
        </w:rPr>
        <w:t xml:space="preserve"> aim and object, the applicant claims</w:t>
      </w:r>
      <w:r w:rsidR="00692460">
        <w:rPr>
          <w:rFonts w:ascii="Times New Roman" w:hAnsi="Times New Roman" w:cs="Times New Roman"/>
          <w:sz w:val="24"/>
          <w:szCs w:val="24"/>
        </w:rPr>
        <w:t>,</w:t>
      </w:r>
      <w:r w:rsidR="00792CB0">
        <w:rPr>
          <w:rFonts w:ascii="Times New Roman" w:hAnsi="Times New Roman" w:cs="Times New Roman"/>
          <w:sz w:val="24"/>
          <w:szCs w:val="24"/>
        </w:rPr>
        <w:t xml:space="preserve"> w</w:t>
      </w:r>
      <w:r w:rsidR="007722C9">
        <w:rPr>
          <w:rFonts w:ascii="Times New Roman" w:hAnsi="Times New Roman" w:cs="Times New Roman"/>
          <w:sz w:val="24"/>
          <w:szCs w:val="24"/>
        </w:rPr>
        <w:t xml:space="preserve">ere </w:t>
      </w:r>
      <w:r w:rsidR="00D95299" w:rsidRPr="003F76A2">
        <w:rPr>
          <w:rFonts w:ascii="Times New Roman" w:hAnsi="Times New Roman" w:cs="Times New Roman"/>
          <w:sz w:val="24"/>
          <w:szCs w:val="24"/>
        </w:rPr>
        <w:t>to pave</w:t>
      </w:r>
      <w:r w:rsidRPr="003F76A2">
        <w:rPr>
          <w:rFonts w:ascii="Times New Roman" w:hAnsi="Times New Roman" w:cs="Times New Roman"/>
          <w:sz w:val="24"/>
          <w:szCs w:val="24"/>
        </w:rPr>
        <w:t xml:space="preserve"> way for a new tenant who was/is interested in taking over the property with the beneficiaries of the same.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His second letter of 29 June, 2020 repeated the</w:t>
      </w:r>
      <w:r w:rsidR="00D95299" w:rsidRPr="003F76A2">
        <w:rPr>
          <w:rFonts w:ascii="Times New Roman" w:hAnsi="Times New Roman" w:cs="Times New Roman"/>
          <w:sz w:val="24"/>
          <w:szCs w:val="24"/>
        </w:rPr>
        <w:t xml:space="preserve"> accusation</w:t>
      </w:r>
      <w:r w:rsidR="00692460">
        <w:rPr>
          <w:rFonts w:ascii="Times New Roman" w:hAnsi="Times New Roman" w:cs="Times New Roman"/>
          <w:sz w:val="24"/>
          <w:szCs w:val="24"/>
        </w:rPr>
        <w:t>s</w:t>
      </w:r>
      <w:r w:rsidR="00D95299" w:rsidRPr="003F76A2">
        <w:rPr>
          <w:rFonts w:ascii="Times New Roman" w:hAnsi="Times New Roman" w:cs="Times New Roman"/>
          <w:sz w:val="24"/>
          <w:szCs w:val="24"/>
        </w:rPr>
        <w:t xml:space="preserve"> which he</w:t>
      </w:r>
      <w:r w:rsidRPr="003F76A2">
        <w:rPr>
          <w:rFonts w:ascii="Times New Roman" w:hAnsi="Times New Roman" w:cs="Times New Roman"/>
          <w:sz w:val="24"/>
          <w:szCs w:val="24"/>
        </w:rPr>
        <w:t xml:space="preserve"> made in his letter of </w:t>
      </w:r>
      <w:r w:rsidR="00F94EBA">
        <w:rPr>
          <w:rFonts w:ascii="Times New Roman" w:hAnsi="Times New Roman" w:cs="Times New Roman"/>
          <w:sz w:val="24"/>
          <w:szCs w:val="24"/>
        </w:rPr>
        <w:t xml:space="preserve">24 </w:t>
      </w:r>
      <w:r w:rsidRPr="003F76A2">
        <w:rPr>
          <w:rFonts w:ascii="Times New Roman" w:hAnsi="Times New Roman" w:cs="Times New Roman"/>
          <w:sz w:val="24"/>
          <w:szCs w:val="24"/>
        </w:rPr>
        <w:t xml:space="preserve">March, 2020.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He invited the applicant, on a 7 days’ notice, to surrender the lease to the beneficiaries of the property. The applicant states that it paid the balance of the arrear rentals. However, the payment notwithstanding, the second respondent continued to be recalcitrant.</w:t>
      </w:r>
    </w:p>
    <w:p w:rsidR="00266930" w:rsidRPr="003F76A2" w:rsidRDefault="00B62CC4" w:rsidP="00242678">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The above-mentioned expose’ places this application into context.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The applicant</w:t>
      </w:r>
      <w:r w:rsidR="00091FA5" w:rsidRPr="003F76A2">
        <w:rPr>
          <w:rFonts w:ascii="Times New Roman" w:hAnsi="Times New Roman" w:cs="Times New Roman"/>
          <w:sz w:val="24"/>
          <w:szCs w:val="24"/>
        </w:rPr>
        <w:t xml:space="preserve"> is moving me to grant to it an interdict, a declaratur and consequential relief in terms of s 14 of the High Court Act. </w:t>
      </w:r>
      <w:r w:rsidR="00242678">
        <w:rPr>
          <w:rFonts w:ascii="Times New Roman" w:hAnsi="Times New Roman" w:cs="Times New Roman"/>
          <w:sz w:val="24"/>
          <w:szCs w:val="24"/>
        </w:rPr>
        <w:t xml:space="preserve"> </w:t>
      </w:r>
      <w:r w:rsidR="00091FA5" w:rsidRPr="003F76A2">
        <w:rPr>
          <w:rFonts w:ascii="Times New Roman" w:hAnsi="Times New Roman" w:cs="Times New Roman"/>
          <w:sz w:val="24"/>
          <w:szCs w:val="24"/>
        </w:rPr>
        <w:t>For it to succeed, it must allege and prove</w:t>
      </w:r>
      <w:r w:rsidR="00D95299" w:rsidRPr="003F76A2">
        <w:rPr>
          <w:rFonts w:ascii="Times New Roman" w:hAnsi="Times New Roman" w:cs="Times New Roman"/>
          <w:sz w:val="24"/>
          <w:szCs w:val="24"/>
        </w:rPr>
        <w:t>,</w:t>
      </w:r>
      <w:r w:rsidR="00D029D5" w:rsidRPr="003F76A2">
        <w:rPr>
          <w:rFonts w:ascii="Times New Roman" w:hAnsi="Times New Roman" w:cs="Times New Roman"/>
          <w:sz w:val="24"/>
          <w:szCs w:val="24"/>
        </w:rPr>
        <w:t xml:space="preserve"> on a preponderance of probabilities</w:t>
      </w:r>
      <w:r w:rsidR="00D95299" w:rsidRPr="003F76A2">
        <w:rPr>
          <w:rFonts w:ascii="Times New Roman" w:hAnsi="Times New Roman" w:cs="Times New Roman"/>
          <w:sz w:val="24"/>
          <w:szCs w:val="24"/>
        </w:rPr>
        <w:t>,</w:t>
      </w:r>
      <w:r w:rsidR="00091FA5" w:rsidRPr="003F76A2">
        <w:rPr>
          <w:rFonts w:ascii="Times New Roman" w:hAnsi="Times New Roman" w:cs="Times New Roman"/>
          <w:sz w:val="24"/>
          <w:szCs w:val="24"/>
        </w:rPr>
        <w:t xml:space="preserve"> that it has a clear, as opposed to a </w:t>
      </w:r>
      <w:r w:rsidR="00091FA5" w:rsidRPr="00F94EBA">
        <w:rPr>
          <w:rFonts w:ascii="Times New Roman" w:hAnsi="Times New Roman" w:cs="Times New Roman"/>
          <w:i/>
          <w:sz w:val="24"/>
          <w:szCs w:val="24"/>
        </w:rPr>
        <w:t>prima facie</w:t>
      </w:r>
      <w:r w:rsidR="00091FA5" w:rsidRPr="003F76A2">
        <w:rPr>
          <w:rFonts w:ascii="Times New Roman" w:hAnsi="Times New Roman" w:cs="Times New Roman"/>
          <w:sz w:val="24"/>
          <w:szCs w:val="24"/>
        </w:rPr>
        <w:t>, right to the possession of the proper</w:t>
      </w:r>
      <w:r w:rsidRPr="003F76A2">
        <w:rPr>
          <w:rFonts w:ascii="Times New Roman" w:hAnsi="Times New Roman" w:cs="Times New Roman"/>
          <w:sz w:val="24"/>
          <w:szCs w:val="24"/>
        </w:rPr>
        <w:t>ty</w:t>
      </w:r>
      <w:r w:rsidR="00091FA5" w:rsidRPr="003F76A2">
        <w:rPr>
          <w:rFonts w:ascii="Times New Roman" w:hAnsi="Times New Roman" w:cs="Times New Roman"/>
          <w:sz w:val="24"/>
          <w:szCs w:val="24"/>
        </w:rPr>
        <w:t>.</w:t>
      </w:r>
      <w:r w:rsidR="00D029D5" w:rsidRPr="003F76A2">
        <w:rPr>
          <w:rFonts w:ascii="Times New Roman" w:hAnsi="Times New Roman" w:cs="Times New Roman"/>
          <w:sz w:val="24"/>
          <w:szCs w:val="24"/>
        </w:rPr>
        <w:t xml:space="preserve"> </w:t>
      </w:r>
      <w:r w:rsidR="00242678">
        <w:rPr>
          <w:rFonts w:ascii="Times New Roman" w:hAnsi="Times New Roman" w:cs="Times New Roman"/>
          <w:sz w:val="24"/>
          <w:szCs w:val="24"/>
        </w:rPr>
        <w:t xml:space="preserve"> </w:t>
      </w:r>
      <w:r w:rsidR="00D029D5" w:rsidRPr="003F76A2">
        <w:rPr>
          <w:rFonts w:ascii="Times New Roman" w:hAnsi="Times New Roman" w:cs="Times New Roman"/>
          <w:sz w:val="24"/>
          <w:szCs w:val="24"/>
        </w:rPr>
        <w:t>Where it has such</w:t>
      </w:r>
      <w:r w:rsidRPr="003F76A2">
        <w:rPr>
          <w:rFonts w:ascii="Times New Roman" w:hAnsi="Times New Roman" w:cs="Times New Roman"/>
          <w:sz w:val="24"/>
          <w:szCs w:val="24"/>
        </w:rPr>
        <w:t xml:space="preserve"> a</w:t>
      </w:r>
      <w:r w:rsidR="00D029D5" w:rsidRPr="003F76A2">
        <w:rPr>
          <w:rFonts w:ascii="Times New Roman" w:hAnsi="Times New Roman" w:cs="Times New Roman"/>
          <w:sz w:val="24"/>
          <w:szCs w:val="24"/>
        </w:rPr>
        <w:t xml:space="preserve"> right, its </w:t>
      </w:r>
      <w:r w:rsidR="00242678" w:rsidRPr="003F76A2">
        <w:rPr>
          <w:rFonts w:ascii="Times New Roman" w:hAnsi="Times New Roman" w:cs="Times New Roman"/>
          <w:sz w:val="24"/>
          <w:szCs w:val="24"/>
        </w:rPr>
        <w:t>case remains</w:t>
      </w:r>
      <w:r w:rsidR="00D029D5" w:rsidRPr="003F76A2">
        <w:rPr>
          <w:rFonts w:ascii="Times New Roman" w:hAnsi="Times New Roman" w:cs="Times New Roman"/>
          <w:sz w:val="24"/>
          <w:szCs w:val="24"/>
        </w:rPr>
        <w:t xml:space="preserve"> unassailable and where, on the other hand, its right to possess the property is in doubt</w:t>
      </w:r>
      <w:r w:rsidRPr="003F76A2">
        <w:rPr>
          <w:rFonts w:ascii="Times New Roman" w:hAnsi="Times New Roman" w:cs="Times New Roman"/>
          <w:sz w:val="24"/>
          <w:szCs w:val="24"/>
        </w:rPr>
        <w:t xml:space="preserve"> or is non-existent, its application will not</w:t>
      </w:r>
      <w:r w:rsidR="00D029D5" w:rsidRPr="003F76A2">
        <w:rPr>
          <w:rFonts w:ascii="Times New Roman" w:hAnsi="Times New Roman" w:cs="Times New Roman"/>
          <w:sz w:val="24"/>
          <w:szCs w:val="24"/>
        </w:rPr>
        <w:t xml:space="preserve"> succeed.</w:t>
      </w:r>
      <w:r w:rsidRPr="003F76A2">
        <w:rPr>
          <w:rFonts w:ascii="Times New Roman" w:hAnsi="Times New Roman" w:cs="Times New Roman"/>
          <w:sz w:val="24"/>
          <w:szCs w:val="24"/>
        </w:rPr>
        <w:t xml:space="preserve"> </w:t>
      </w:r>
    </w:p>
    <w:p w:rsidR="00091FA5" w:rsidRPr="003F76A2" w:rsidRDefault="00266930" w:rsidP="00242678">
      <w:pPr>
        <w:spacing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lastRenderedPageBreak/>
        <w:t xml:space="preserve">The requirements which an applicant for an interdict must satisfy were aptly stated in </w:t>
      </w:r>
      <w:r w:rsidRPr="00242678">
        <w:rPr>
          <w:rFonts w:ascii="Times New Roman" w:hAnsi="Times New Roman" w:cs="Times New Roman"/>
          <w:i/>
          <w:sz w:val="24"/>
          <w:szCs w:val="24"/>
        </w:rPr>
        <w:t xml:space="preserve">Setlogelo </w:t>
      </w:r>
      <w:r w:rsidRPr="003F76A2">
        <w:rPr>
          <w:rFonts w:ascii="Times New Roman" w:hAnsi="Times New Roman" w:cs="Times New Roman"/>
          <w:sz w:val="24"/>
          <w:szCs w:val="24"/>
        </w:rPr>
        <w:t xml:space="preserve">v </w:t>
      </w:r>
      <w:r w:rsidRPr="00242678">
        <w:rPr>
          <w:rFonts w:ascii="Times New Roman" w:hAnsi="Times New Roman" w:cs="Times New Roman"/>
          <w:i/>
          <w:sz w:val="24"/>
          <w:szCs w:val="24"/>
        </w:rPr>
        <w:t>Setlogelo</w:t>
      </w:r>
      <w:r w:rsidRPr="003F76A2">
        <w:rPr>
          <w:rFonts w:ascii="Times New Roman" w:hAnsi="Times New Roman" w:cs="Times New Roman"/>
          <w:sz w:val="24"/>
          <w:szCs w:val="24"/>
        </w:rPr>
        <w:t>, 1914 AD</w:t>
      </w:r>
      <w:r w:rsidR="00692460">
        <w:rPr>
          <w:rFonts w:ascii="Times New Roman" w:hAnsi="Times New Roman" w:cs="Times New Roman"/>
          <w:sz w:val="24"/>
          <w:szCs w:val="24"/>
        </w:rPr>
        <w:t xml:space="preserve"> 221 at </w:t>
      </w:r>
      <w:r w:rsidRPr="003F76A2">
        <w:rPr>
          <w:rFonts w:ascii="Times New Roman" w:hAnsi="Times New Roman" w:cs="Times New Roman"/>
          <w:sz w:val="24"/>
          <w:szCs w:val="24"/>
        </w:rPr>
        <w:t>227. These are</w:t>
      </w:r>
      <w:r w:rsidR="007B52B6" w:rsidRPr="003F76A2">
        <w:rPr>
          <w:rFonts w:ascii="Times New Roman" w:hAnsi="Times New Roman" w:cs="Times New Roman"/>
          <w:sz w:val="24"/>
          <w:szCs w:val="24"/>
        </w:rPr>
        <w:t>:</w:t>
      </w:r>
    </w:p>
    <w:p w:rsidR="00266930" w:rsidRPr="003F76A2" w:rsidRDefault="00F94EBA" w:rsidP="003F76A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266930" w:rsidRPr="003F76A2">
        <w:rPr>
          <w:rFonts w:ascii="Times New Roman" w:hAnsi="Times New Roman" w:cs="Times New Roman"/>
          <w:sz w:val="24"/>
          <w:szCs w:val="24"/>
        </w:rPr>
        <w:t xml:space="preserve"> clear right or a right which is open to some doubt;</w:t>
      </w:r>
    </w:p>
    <w:p w:rsidR="007B52B6" w:rsidRPr="003F76A2" w:rsidRDefault="00F94EBA" w:rsidP="003F76A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7B52B6" w:rsidRPr="003F76A2">
        <w:rPr>
          <w:rFonts w:ascii="Times New Roman" w:hAnsi="Times New Roman" w:cs="Times New Roman"/>
          <w:sz w:val="24"/>
          <w:szCs w:val="24"/>
        </w:rPr>
        <w:t>arm suffered or reasonably apprehended;</w:t>
      </w:r>
    </w:p>
    <w:p w:rsidR="007B52B6" w:rsidRPr="003F76A2" w:rsidRDefault="00F94EBA" w:rsidP="003F76A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7B52B6" w:rsidRPr="003F76A2">
        <w:rPr>
          <w:rFonts w:ascii="Times New Roman" w:hAnsi="Times New Roman" w:cs="Times New Roman"/>
          <w:sz w:val="24"/>
          <w:szCs w:val="24"/>
        </w:rPr>
        <w:t xml:space="preserve">bsence of alternative remedy – and </w:t>
      </w:r>
    </w:p>
    <w:p w:rsidR="007B52B6" w:rsidRPr="003F76A2" w:rsidRDefault="00F94EBA" w:rsidP="003F76A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7B52B6" w:rsidRPr="003F76A2">
        <w:rPr>
          <w:rFonts w:ascii="Times New Roman" w:hAnsi="Times New Roman" w:cs="Times New Roman"/>
          <w:sz w:val="24"/>
          <w:szCs w:val="24"/>
        </w:rPr>
        <w:t>alance of convenience favouring the applicant.</w:t>
      </w:r>
    </w:p>
    <w:p w:rsidR="007B52B6" w:rsidRPr="003F76A2" w:rsidRDefault="007B52B6" w:rsidP="00242678">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In this application, the applicable right should be a clear one. The applicant must show that it has a clear right to possess the property.</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 xml:space="preserve"> It cannot prove its case where it shows that it has a </w:t>
      </w:r>
      <w:r w:rsidRPr="00242678">
        <w:rPr>
          <w:rFonts w:ascii="Times New Roman" w:hAnsi="Times New Roman" w:cs="Times New Roman"/>
          <w:i/>
          <w:sz w:val="24"/>
          <w:szCs w:val="24"/>
        </w:rPr>
        <w:t xml:space="preserve">prima facie </w:t>
      </w:r>
      <w:r w:rsidRPr="003F76A2">
        <w:rPr>
          <w:rFonts w:ascii="Times New Roman" w:hAnsi="Times New Roman" w:cs="Times New Roman"/>
          <w:sz w:val="24"/>
          <w:szCs w:val="24"/>
        </w:rPr>
        <w:t>right. Such a right does not suffice as proof for the motion which it mounted.</w:t>
      </w:r>
    </w:p>
    <w:p w:rsidR="007B52B6" w:rsidRPr="003F76A2" w:rsidRDefault="007B52B6" w:rsidP="00242678">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Because its application i</w:t>
      </w:r>
      <w:r w:rsidR="00D95299" w:rsidRPr="003F76A2">
        <w:rPr>
          <w:rFonts w:ascii="Times New Roman" w:hAnsi="Times New Roman" w:cs="Times New Roman"/>
          <w:sz w:val="24"/>
          <w:szCs w:val="24"/>
        </w:rPr>
        <w:t>s premised on the relief of an</w:t>
      </w:r>
      <w:r w:rsidR="00AC5CB1" w:rsidRPr="003F76A2">
        <w:rPr>
          <w:rFonts w:ascii="Times New Roman" w:hAnsi="Times New Roman" w:cs="Times New Roman"/>
          <w:sz w:val="24"/>
          <w:szCs w:val="24"/>
        </w:rPr>
        <w:t xml:space="preserve"> interdict as well as that of </w:t>
      </w:r>
      <w:r w:rsidRPr="003F76A2">
        <w:rPr>
          <w:rFonts w:ascii="Times New Roman" w:hAnsi="Times New Roman" w:cs="Times New Roman"/>
          <w:sz w:val="24"/>
          <w:szCs w:val="24"/>
        </w:rPr>
        <w:t>a declaratur, it is pertinent for the applicant to prove, on a balance of probabilities, that it has a direct and substantial interest in the property which</w:t>
      </w:r>
      <w:r w:rsidR="00AC5CB1" w:rsidRPr="003F76A2">
        <w:rPr>
          <w:rFonts w:ascii="Times New Roman" w:hAnsi="Times New Roman" w:cs="Times New Roman"/>
          <w:sz w:val="24"/>
          <w:szCs w:val="24"/>
        </w:rPr>
        <w:t xml:space="preserve"> is</w:t>
      </w:r>
      <w:r w:rsidRPr="003F76A2">
        <w:rPr>
          <w:rFonts w:ascii="Times New Roman" w:hAnsi="Times New Roman" w:cs="Times New Roman"/>
          <w:sz w:val="24"/>
          <w:szCs w:val="24"/>
        </w:rPr>
        <w:t xml:space="preserve"> the subject</w:t>
      </w:r>
      <w:r w:rsidR="00D95299" w:rsidRPr="003F76A2">
        <w:rPr>
          <w:rFonts w:ascii="Times New Roman" w:hAnsi="Times New Roman" w:cs="Times New Roman"/>
          <w:sz w:val="24"/>
          <w:szCs w:val="24"/>
        </w:rPr>
        <w:t>-matter</w:t>
      </w:r>
      <w:r w:rsidRPr="003F76A2">
        <w:rPr>
          <w:rFonts w:ascii="Times New Roman" w:hAnsi="Times New Roman" w:cs="Times New Roman"/>
          <w:sz w:val="24"/>
          <w:szCs w:val="24"/>
        </w:rPr>
        <w:t xml:space="preserve"> of these proceedings.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 xml:space="preserve">It should, in other words, show that it has a right which it is moving me to pronounce for its own benefit.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Its right should be existent in terms of s 14 of the High Court</w:t>
      </w:r>
      <w:r w:rsidR="00AC5CB1" w:rsidRPr="003F76A2">
        <w:rPr>
          <w:rFonts w:ascii="Times New Roman" w:hAnsi="Times New Roman" w:cs="Times New Roman"/>
          <w:sz w:val="24"/>
          <w:szCs w:val="24"/>
        </w:rPr>
        <w:t xml:space="preserve"> Act which confers </w:t>
      </w:r>
      <w:r w:rsidRPr="003F76A2">
        <w:rPr>
          <w:rFonts w:ascii="Times New Roman" w:hAnsi="Times New Roman" w:cs="Times New Roman"/>
          <w:sz w:val="24"/>
          <w:szCs w:val="24"/>
        </w:rPr>
        <w:t>upon me</w:t>
      </w:r>
      <w:r w:rsidR="00AC5CB1" w:rsidRPr="003F76A2">
        <w:rPr>
          <w:rFonts w:ascii="Times New Roman" w:hAnsi="Times New Roman" w:cs="Times New Roman"/>
          <w:sz w:val="24"/>
          <w:szCs w:val="24"/>
        </w:rPr>
        <w:t xml:space="preserve"> the discretion</w:t>
      </w:r>
      <w:r w:rsidRPr="003F76A2">
        <w:rPr>
          <w:rFonts w:ascii="Times New Roman" w:hAnsi="Times New Roman" w:cs="Times New Roman"/>
          <w:sz w:val="24"/>
          <w:szCs w:val="24"/>
        </w:rPr>
        <w:t xml:space="preserve"> to inquire into and determine the existence</w:t>
      </w:r>
      <w:r w:rsidR="00D95299" w:rsidRPr="003F76A2">
        <w:rPr>
          <w:rFonts w:ascii="Times New Roman" w:hAnsi="Times New Roman" w:cs="Times New Roman"/>
          <w:sz w:val="24"/>
          <w:szCs w:val="24"/>
        </w:rPr>
        <w:t>,</w:t>
      </w:r>
      <w:r w:rsidRPr="003F76A2">
        <w:rPr>
          <w:rFonts w:ascii="Times New Roman" w:hAnsi="Times New Roman" w:cs="Times New Roman"/>
          <w:sz w:val="24"/>
          <w:szCs w:val="24"/>
        </w:rPr>
        <w:t xml:space="preserve"> or otherwise</w:t>
      </w:r>
      <w:r w:rsidR="00D95299" w:rsidRPr="003F76A2">
        <w:rPr>
          <w:rFonts w:ascii="Times New Roman" w:hAnsi="Times New Roman" w:cs="Times New Roman"/>
          <w:sz w:val="24"/>
          <w:szCs w:val="24"/>
        </w:rPr>
        <w:t>,</w:t>
      </w:r>
      <w:r w:rsidRPr="003F76A2">
        <w:rPr>
          <w:rFonts w:ascii="Times New Roman" w:hAnsi="Times New Roman" w:cs="Times New Roman"/>
          <w:sz w:val="24"/>
          <w:szCs w:val="24"/>
        </w:rPr>
        <w:t xml:space="preserve"> of such a right upon the appl</w:t>
      </w:r>
      <w:r w:rsidR="00AC5CB1" w:rsidRPr="003F76A2">
        <w:rPr>
          <w:rFonts w:ascii="Times New Roman" w:hAnsi="Times New Roman" w:cs="Times New Roman"/>
          <w:sz w:val="24"/>
          <w:szCs w:val="24"/>
        </w:rPr>
        <w:t>ication of the applicant.</w:t>
      </w:r>
    </w:p>
    <w:p w:rsidR="00F06B17" w:rsidRPr="003F76A2" w:rsidRDefault="00F06B17" w:rsidP="007E77BB">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The applicant attached to the application Annexure B.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 xml:space="preserve">The annexure is the lease which it signed with Pascale in May, 2001. </w:t>
      </w:r>
      <w:r w:rsidR="00242678">
        <w:rPr>
          <w:rFonts w:ascii="Times New Roman" w:hAnsi="Times New Roman" w:cs="Times New Roman"/>
          <w:sz w:val="24"/>
          <w:szCs w:val="24"/>
        </w:rPr>
        <w:t xml:space="preserve"> </w:t>
      </w:r>
      <w:r w:rsidRPr="003F76A2">
        <w:rPr>
          <w:rFonts w:ascii="Times New Roman" w:hAnsi="Times New Roman" w:cs="Times New Roman"/>
          <w:sz w:val="24"/>
          <w:szCs w:val="24"/>
        </w:rPr>
        <w:t>It appears at p 40 of the record.</w:t>
      </w:r>
      <w:r w:rsidR="00E45192" w:rsidRPr="003F76A2">
        <w:rPr>
          <w:rFonts w:ascii="Times New Roman" w:hAnsi="Times New Roman" w:cs="Times New Roman"/>
          <w:sz w:val="24"/>
          <w:szCs w:val="24"/>
        </w:rPr>
        <w:t xml:space="preserve"> </w:t>
      </w:r>
      <w:r w:rsidR="00242678">
        <w:rPr>
          <w:rFonts w:ascii="Times New Roman" w:hAnsi="Times New Roman" w:cs="Times New Roman"/>
          <w:sz w:val="24"/>
          <w:szCs w:val="24"/>
        </w:rPr>
        <w:t xml:space="preserve"> </w:t>
      </w:r>
      <w:r w:rsidR="00E45192" w:rsidRPr="003F76A2">
        <w:rPr>
          <w:rFonts w:ascii="Times New Roman" w:hAnsi="Times New Roman" w:cs="Times New Roman"/>
          <w:sz w:val="24"/>
          <w:szCs w:val="24"/>
        </w:rPr>
        <w:t>It defines the relationship of the parties to it.</w:t>
      </w:r>
      <w:r w:rsidR="00242678">
        <w:rPr>
          <w:rFonts w:ascii="Times New Roman" w:hAnsi="Times New Roman" w:cs="Times New Roman"/>
          <w:sz w:val="24"/>
          <w:szCs w:val="24"/>
        </w:rPr>
        <w:t xml:space="preserve"> </w:t>
      </w:r>
      <w:r w:rsidR="00E45192" w:rsidRPr="003F76A2">
        <w:rPr>
          <w:rFonts w:ascii="Times New Roman" w:hAnsi="Times New Roman" w:cs="Times New Roman"/>
          <w:sz w:val="24"/>
          <w:szCs w:val="24"/>
        </w:rPr>
        <w:t xml:space="preserve"> It defines their rights and obligations as against each other. </w:t>
      </w:r>
      <w:r w:rsidR="00242678">
        <w:rPr>
          <w:rFonts w:ascii="Times New Roman" w:hAnsi="Times New Roman" w:cs="Times New Roman"/>
          <w:sz w:val="24"/>
          <w:szCs w:val="24"/>
        </w:rPr>
        <w:t xml:space="preserve"> </w:t>
      </w:r>
      <w:r w:rsidR="00E45192" w:rsidRPr="003F76A2">
        <w:rPr>
          <w:rFonts w:ascii="Times New Roman" w:hAnsi="Times New Roman" w:cs="Times New Roman"/>
          <w:sz w:val="24"/>
          <w:szCs w:val="24"/>
        </w:rPr>
        <w:t>Its interpretation section, clause 2.1.1 defines the word ‘Equipment’ to mean the garage equipment which the lessee will install namely accepted fuel tanks for petrol, diesel, unleaded p</w:t>
      </w:r>
      <w:r w:rsidR="006A240B" w:rsidRPr="003F76A2">
        <w:rPr>
          <w:rFonts w:ascii="Times New Roman" w:hAnsi="Times New Roman" w:cs="Times New Roman"/>
          <w:sz w:val="24"/>
          <w:szCs w:val="24"/>
        </w:rPr>
        <w:t xml:space="preserve">etrol and </w:t>
      </w:r>
      <w:r w:rsidR="00242678">
        <w:rPr>
          <w:rFonts w:ascii="Times New Roman" w:hAnsi="Times New Roman" w:cs="Times New Roman"/>
          <w:sz w:val="24"/>
          <w:szCs w:val="24"/>
        </w:rPr>
        <w:t>paraffin,</w:t>
      </w:r>
      <w:r w:rsidR="00F94EBA">
        <w:rPr>
          <w:rFonts w:ascii="Times New Roman" w:hAnsi="Times New Roman" w:cs="Times New Roman"/>
          <w:sz w:val="24"/>
          <w:szCs w:val="24"/>
        </w:rPr>
        <w:t xml:space="preserve"> i</w:t>
      </w:r>
      <w:r w:rsidR="00242678" w:rsidRPr="003F76A2">
        <w:rPr>
          <w:rFonts w:ascii="Times New Roman" w:hAnsi="Times New Roman" w:cs="Times New Roman"/>
          <w:sz w:val="24"/>
          <w:szCs w:val="24"/>
        </w:rPr>
        <w:t>ndustrial</w:t>
      </w:r>
      <w:r w:rsidR="008C2A09" w:rsidRPr="003F76A2">
        <w:rPr>
          <w:rFonts w:ascii="Times New Roman" w:hAnsi="Times New Roman" w:cs="Times New Roman"/>
          <w:sz w:val="24"/>
          <w:szCs w:val="24"/>
        </w:rPr>
        <w:t xml:space="preserve"> pumps and canopy. These, in terms of clause 9.1 of the lease</w:t>
      </w:r>
      <w:r w:rsidR="00F94EBA">
        <w:rPr>
          <w:rFonts w:ascii="Times New Roman" w:hAnsi="Times New Roman" w:cs="Times New Roman"/>
          <w:sz w:val="24"/>
          <w:szCs w:val="24"/>
        </w:rPr>
        <w:t>,</w:t>
      </w:r>
      <w:r w:rsidR="008C2A09" w:rsidRPr="003F76A2">
        <w:rPr>
          <w:rFonts w:ascii="Times New Roman" w:hAnsi="Times New Roman" w:cs="Times New Roman"/>
          <w:sz w:val="24"/>
          <w:szCs w:val="24"/>
        </w:rPr>
        <w:t xml:space="preserve"> shall become the sole and exclusive property of the lessee.</w:t>
      </w:r>
    </w:p>
    <w:p w:rsidR="008A23F5" w:rsidRPr="003F76A2" w:rsidRDefault="00F4374B" w:rsidP="007E77BB">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It cannot, in view of the above-observed matter, be suggested that the applicant does not have a clear right to possession of the property.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 xml:space="preserve">Nor can it ever be argued that it has no right to ownership of </w:t>
      </w:r>
      <w:r w:rsidR="007E77BB" w:rsidRPr="003F76A2">
        <w:rPr>
          <w:rFonts w:ascii="Times New Roman" w:hAnsi="Times New Roman" w:cs="Times New Roman"/>
          <w:sz w:val="24"/>
          <w:szCs w:val="24"/>
        </w:rPr>
        <w:t>what it</w:t>
      </w:r>
      <w:r w:rsidRPr="003F76A2">
        <w:rPr>
          <w:rFonts w:ascii="Times New Roman" w:hAnsi="Times New Roman" w:cs="Times New Roman"/>
          <w:sz w:val="24"/>
          <w:szCs w:val="24"/>
        </w:rPr>
        <w:t xml:space="preserve"> installed at the property.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 xml:space="preserve">It, in short, has the requisite right to the property and the assets-movable or otherwise- which it installed onto the property which it acquired from Pascale as an open ground to which it added value through improvements which it made onto the same.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 xml:space="preserve">That the applicant has a direct and substantial interest in the property requires little, if any, debate.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 xml:space="preserve">The massive investment which it made into the property speaks volumes of its interest </w:t>
      </w:r>
      <w:r w:rsidRPr="003F76A2">
        <w:rPr>
          <w:rFonts w:ascii="Times New Roman" w:hAnsi="Times New Roman" w:cs="Times New Roman"/>
          <w:sz w:val="24"/>
          <w:szCs w:val="24"/>
        </w:rPr>
        <w:lastRenderedPageBreak/>
        <w:t>which no one has controverted.</w:t>
      </w:r>
      <w:r w:rsidR="006A240B" w:rsidRPr="003F76A2">
        <w:rPr>
          <w:rFonts w:ascii="Times New Roman" w:hAnsi="Times New Roman" w:cs="Times New Roman"/>
          <w:sz w:val="24"/>
          <w:szCs w:val="24"/>
        </w:rPr>
        <w:t xml:space="preserve"> The fact that the second respondent did not cancel the lease w</w:t>
      </w:r>
      <w:r w:rsidR="008A23F5" w:rsidRPr="003F76A2">
        <w:rPr>
          <w:rFonts w:ascii="Times New Roman" w:hAnsi="Times New Roman" w:cs="Times New Roman"/>
          <w:sz w:val="24"/>
          <w:szCs w:val="24"/>
        </w:rPr>
        <w:t>hich it concluded with Pascale confirms</w:t>
      </w:r>
      <w:r w:rsidR="006A240B" w:rsidRPr="003F76A2">
        <w:rPr>
          <w:rFonts w:ascii="Times New Roman" w:hAnsi="Times New Roman" w:cs="Times New Roman"/>
          <w:sz w:val="24"/>
          <w:szCs w:val="24"/>
        </w:rPr>
        <w:t xml:space="preserve"> </w:t>
      </w:r>
      <w:r w:rsidR="00F94EBA">
        <w:rPr>
          <w:rFonts w:ascii="Times New Roman" w:hAnsi="Times New Roman" w:cs="Times New Roman"/>
          <w:sz w:val="24"/>
          <w:szCs w:val="24"/>
        </w:rPr>
        <w:t>the applicant’s</w:t>
      </w:r>
      <w:r w:rsidR="006A240B" w:rsidRPr="003F76A2">
        <w:rPr>
          <w:rFonts w:ascii="Times New Roman" w:hAnsi="Times New Roman" w:cs="Times New Roman"/>
          <w:sz w:val="24"/>
          <w:szCs w:val="24"/>
        </w:rPr>
        <w:t xml:space="preserve"> clear right to the property which is the subject of these proceedings.</w:t>
      </w:r>
      <w:r w:rsidR="008A23F5" w:rsidRPr="003F76A2">
        <w:rPr>
          <w:rFonts w:ascii="Times New Roman" w:hAnsi="Times New Roman" w:cs="Times New Roman"/>
          <w:sz w:val="24"/>
          <w:szCs w:val="24"/>
        </w:rPr>
        <w:t xml:space="preserve"> The relief which </w:t>
      </w:r>
      <w:r w:rsidR="007E77BB" w:rsidRPr="003F76A2">
        <w:rPr>
          <w:rFonts w:ascii="Times New Roman" w:hAnsi="Times New Roman" w:cs="Times New Roman"/>
          <w:sz w:val="24"/>
          <w:szCs w:val="24"/>
        </w:rPr>
        <w:t>it is</w:t>
      </w:r>
      <w:r w:rsidR="008A23F5" w:rsidRPr="003F76A2">
        <w:rPr>
          <w:rFonts w:ascii="Times New Roman" w:hAnsi="Times New Roman" w:cs="Times New Roman"/>
          <w:sz w:val="24"/>
          <w:szCs w:val="24"/>
        </w:rPr>
        <w:t xml:space="preserve"> moving me to grant to it in the circumstances does not appear to be a far-fetched one.</w:t>
      </w:r>
    </w:p>
    <w:p w:rsidR="004F753C" w:rsidRPr="003F76A2" w:rsidRDefault="00A51CAF" w:rsidP="007E77BB">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When the applicant learnt of the presence of the first and third respondents on the property through its operations director, it engaged the first respondent whom it advised of its interest in the property as the latter was on the same without its consent and/or concurrence.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It requested the first respondent to furnish it with details of its occupation including the date of occupation, t</w:t>
      </w:r>
      <w:r w:rsidR="004F753C" w:rsidRPr="003F76A2">
        <w:rPr>
          <w:rFonts w:ascii="Times New Roman" w:hAnsi="Times New Roman" w:cs="Times New Roman"/>
          <w:sz w:val="24"/>
          <w:szCs w:val="24"/>
        </w:rPr>
        <w:t xml:space="preserve">otal rentals </w:t>
      </w:r>
      <w:r w:rsidR="007E77BB" w:rsidRPr="003F76A2">
        <w:rPr>
          <w:rFonts w:ascii="Times New Roman" w:hAnsi="Times New Roman" w:cs="Times New Roman"/>
          <w:sz w:val="24"/>
          <w:szCs w:val="24"/>
        </w:rPr>
        <w:t>it paid</w:t>
      </w:r>
      <w:r w:rsidRPr="003F76A2">
        <w:rPr>
          <w:rFonts w:ascii="Times New Roman" w:hAnsi="Times New Roman" w:cs="Times New Roman"/>
          <w:sz w:val="24"/>
          <w:szCs w:val="24"/>
        </w:rPr>
        <w:t xml:space="preserve"> </w:t>
      </w:r>
      <w:r w:rsidR="004F753C" w:rsidRPr="003F76A2">
        <w:rPr>
          <w:rFonts w:ascii="Times New Roman" w:hAnsi="Times New Roman" w:cs="Times New Roman"/>
          <w:sz w:val="24"/>
          <w:szCs w:val="24"/>
        </w:rPr>
        <w:t xml:space="preserve">as well as a proposed way to amicably resolve the matter. </w:t>
      </w:r>
      <w:r w:rsidR="007E77BB">
        <w:rPr>
          <w:rFonts w:ascii="Times New Roman" w:hAnsi="Times New Roman" w:cs="Times New Roman"/>
          <w:sz w:val="24"/>
          <w:szCs w:val="24"/>
        </w:rPr>
        <w:t xml:space="preserve"> </w:t>
      </w:r>
      <w:r w:rsidR="004F753C" w:rsidRPr="003F76A2">
        <w:rPr>
          <w:rFonts w:ascii="Times New Roman" w:hAnsi="Times New Roman" w:cs="Times New Roman"/>
          <w:sz w:val="24"/>
          <w:szCs w:val="24"/>
        </w:rPr>
        <w:t xml:space="preserve">The first respondent, it alleges, ignored its email which it addressed to it on 30 August, 2021. </w:t>
      </w:r>
    </w:p>
    <w:p w:rsidR="0058601B" w:rsidRPr="003F76A2" w:rsidRDefault="0058601B" w:rsidP="00F94EBA">
      <w:pPr>
        <w:spacing w:after="0" w:line="360" w:lineRule="auto"/>
        <w:ind w:firstLine="360"/>
        <w:jc w:val="both"/>
        <w:rPr>
          <w:rFonts w:ascii="Times New Roman" w:hAnsi="Times New Roman" w:cs="Times New Roman"/>
          <w:sz w:val="24"/>
          <w:szCs w:val="24"/>
        </w:rPr>
      </w:pPr>
      <w:r w:rsidRPr="003F76A2">
        <w:rPr>
          <w:rFonts w:ascii="Times New Roman" w:hAnsi="Times New Roman" w:cs="Times New Roman"/>
          <w:sz w:val="24"/>
          <w:szCs w:val="24"/>
        </w:rPr>
        <w:t xml:space="preserve">When this application was filed, it was served upon all the respondents whom the applicant cited. The second, third and fourth respondents did not file </w:t>
      </w:r>
      <w:r w:rsidR="00F94EBA">
        <w:rPr>
          <w:rFonts w:ascii="Times New Roman" w:hAnsi="Times New Roman" w:cs="Times New Roman"/>
          <w:sz w:val="24"/>
          <w:szCs w:val="24"/>
        </w:rPr>
        <w:t xml:space="preserve">any </w:t>
      </w:r>
      <w:r w:rsidRPr="003F76A2">
        <w:rPr>
          <w:rFonts w:ascii="Times New Roman" w:hAnsi="Times New Roman" w:cs="Times New Roman"/>
          <w:sz w:val="24"/>
          <w:szCs w:val="24"/>
        </w:rPr>
        <w:t xml:space="preserve">opposing papers. They were, therefore, barred. </w:t>
      </w:r>
      <w:r w:rsidR="007E77BB">
        <w:rPr>
          <w:rFonts w:ascii="Times New Roman" w:hAnsi="Times New Roman" w:cs="Times New Roman"/>
          <w:sz w:val="24"/>
          <w:szCs w:val="24"/>
        </w:rPr>
        <w:t xml:space="preserve"> </w:t>
      </w:r>
      <w:r w:rsidRPr="003F76A2">
        <w:rPr>
          <w:rFonts w:ascii="Times New Roman" w:hAnsi="Times New Roman" w:cs="Times New Roman"/>
          <w:sz w:val="24"/>
          <w:szCs w:val="24"/>
        </w:rPr>
        <w:t>Their belated application for upliftment of the bar was unsuccessful. That left o</w:t>
      </w:r>
      <w:r w:rsidR="00A51CAF" w:rsidRPr="003F76A2">
        <w:rPr>
          <w:rFonts w:ascii="Times New Roman" w:hAnsi="Times New Roman" w:cs="Times New Roman"/>
          <w:sz w:val="24"/>
          <w:szCs w:val="24"/>
        </w:rPr>
        <w:t>nly the first respondent in the</w:t>
      </w:r>
      <w:r w:rsidRPr="003F76A2">
        <w:rPr>
          <w:rFonts w:ascii="Times New Roman" w:hAnsi="Times New Roman" w:cs="Times New Roman"/>
          <w:sz w:val="24"/>
          <w:szCs w:val="24"/>
        </w:rPr>
        <w:t xml:space="preserve"> equation. It lamented the bar which operated against the three respondents in the following words:</w:t>
      </w:r>
    </w:p>
    <w:p w:rsidR="007E77BB" w:rsidRPr="007E77BB" w:rsidRDefault="0058601B" w:rsidP="00935318">
      <w:pPr>
        <w:spacing w:after="0" w:line="240" w:lineRule="auto"/>
        <w:ind w:left="720"/>
        <w:jc w:val="both"/>
        <w:rPr>
          <w:rFonts w:ascii="Times New Roman" w:hAnsi="Times New Roman" w:cs="Times New Roman"/>
        </w:rPr>
      </w:pPr>
      <w:r w:rsidRPr="007E77BB">
        <w:rPr>
          <w:rFonts w:ascii="Times New Roman" w:hAnsi="Times New Roman" w:cs="Times New Roman"/>
        </w:rPr>
        <w:t>“ It has been noted that the 2</w:t>
      </w:r>
      <w:r w:rsidRPr="007E77BB">
        <w:rPr>
          <w:rFonts w:ascii="Times New Roman" w:hAnsi="Times New Roman" w:cs="Times New Roman"/>
          <w:vertAlign w:val="superscript"/>
        </w:rPr>
        <w:t>nd</w:t>
      </w:r>
      <w:r w:rsidRPr="007E77BB">
        <w:rPr>
          <w:rFonts w:ascii="Times New Roman" w:hAnsi="Times New Roman" w:cs="Times New Roman"/>
        </w:rPr>
        <w:t>, 3</w:t>
      </w:r>
      <w:r w:rsidRPr="007E77BB">
        <w:rPr>
          <w:rFonts w:ascii="Times New Roman" w:hAnsi="Times New Roman" w:cs="Times New Roman"/>
          <w:vertAlign w:val="superscript"/>
        </w:rPr>
        <w:t>rd</w:t>
      </w:r>
      <w:r w:rsidRPr="007E77BB">
        <w:rPr>
          <w:rFonts w:ascii="Times New Roman" w:hAnsi="Times New Roman" w:cs="Times New Roman"/>
        </w:rPr>
        <w:t xml:space="preserve"> and 4</w:t>
      </w:r>
      <w:r w:rsidRPr="007E77BB">
        <w:rPr>
          <w:rFonts w:ascii="Times New Roman" w:hAnsi="Times New Roman" w:cs="Times New Roman"/>
          <w:vertAlign w:val="superscript"/>
        </w:rPr>
        <w:t>th</w:t>
      </w:r>
      <w:r w:rsidRPr="007E77BB">
        <w:rPr>
          <w:rFonts w:ascii="Times New Roman" w:hAnsi="Times New Roman" w:cs="Times New Roman"/>
        </w:rPr>
        <w:t xml:space="preserve"> Respondent(sic) who ordinarily would have more information regarding </w:t>
      </w:r>
      <w:r w:rsidR="00A51CAF" w:rsidRPr="007E77BB">
        <w:rPr>
          <w:rFonts w:ascii="Times New Roman" w:hAnsi="Times New Roman" w:cs="Times New Roman"/>
        </w:rPr>
        <w:t>the claim and therefore in a better position to put such information before the court have failed to do so for re</w:t>
      </w:r>
      <w:r w:rsidR="007E77BB">
        <w:rPr>
          <w:rFonts w:ascii="Times New Roman" w:hAnsi="Times New Roman" w:cs="Times New Roman"/>
        </w:rPr>
        <w:t>asons best known to themselves.”</w:t>
      </w:r>
    </w:p>
    <w:p w:rsidR="00935318" w:rsidRDefault="00935318" w:rsidP="00935318">
      <w:pPr>
        <w:spacing w:after="0" w:line="360" w:lineRule="auto"/>
        <w:jc w:val="both"/>
        <w:rPr>
          <w:rFonts w:ascii="Times New Roman" w:hAnsi="Times New Roman" w:cs="Times New Roman"/>
          <w:sz w:val="24"/>
          <w:szCs w:val="24"/>
        </w:rPr>
      </w:pPr>
    </w:p>
    <w:p w:rsidR="00DC5AA8" w:rsidRPr="003F76A2" w:rsidRDefault="008A23F5" w:rsidP="00935318">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The first respondent denied</w:t>
      </w:r>
      <w:r w:rsidR="00DC5AA8" w:rsidRPr="003F76A2">
        <w:rPr>
          <w:rFonts w:ascii="Times New Roman" w:hAnsi="Times New Roman" w:cs="Times New Roman"/>
          <w:sz w:val="24"/>
          <w:szCs w:val="24"/>
        </w:rPr>
        <w:t xml:space="preserve"> that it was in occupation of the property.</w:t>
      </w:r>
      <w:r w:rsidR="004A3229">
        <w:rPr>
          <w:rFonts w:ascii="Times New Roman" w:hAnsi="Times New Roman" w:cs="Times New Roman"/>
          <w:sz w:val="24"/>
          <w:szCs w:val="24"/>
        </w:rPr>
        <w:t xml:space="preserve"> </w:t>
      </w:r>
      <w:r w:rsidR="00DC5AA8" w:rsidRPr="003F76A2">
        <w:rPr>
          <w:rFonts w:ascii="Times New Roman" w:hAnsi="Times New Roman" w:cs="Times New Roman"/>
          <w:sz w:val="24"/>
          <w:szCs w:val="24"/>
        </w:rPr>
        <w:t xml:space="preserve"> It, in the mentioned regard, placed reliance on the contract which it signed with the </w:t>
      </w:r>
      <w:r w:rsidR="00717B89" w:rsidRPr="003F76A2">
        <w:rPr>
          <w:rFonts w:ascii="Times New Roman" w:hAnsi="Times New Roman" w:cs="Times New Roman"/>
          <w:sz w:val="24"/>
          <w:szCs w:val="24"/>
        </w:rPr>
        <w:t>fourth respondent one Trymore Manyange.</w:t>
      </w:r>
      <w:r w:rsidR="004A3229">
        <w:rPr>
          <w:rFonts w:ascii="Times New Roman" w:hAnsi="Times New Roman" w:cs="Times New Roman"/>
          <w:sz w:val="24"/>
          <w:szCs w:val="24"/>
        </w:rPr>
        <w:t xml:space="preserve"> </w:t>
      </w:r>
      <w:r w:rsidR="00717B89" w:rsidRPr="003F76A2">
        <w:rPr>
          <w:rFonts w:ascii="Times New Roman" w:hAnsi="Times New Roman" w:cs="Times New Roman"/>
          <w:sz w:val="24"/>
          <w:szCs w:val="24"/>
        </w:rPr>
        <w:t xml:space="preserve"> The Fuel Supply Cont</w:t>
      </w:r>
      <w:r w:rsidR="004A3229">
        <w:rPr>
          <w:rFonts w:ascii="Times New Roman" w:hAnsi="Times New Roman" w:cs="Times New Roman"/>
          <w:sz w:val="24"/>
          <w:szCs w:val="24"/>
        </w:rPr>
        <w:t>ract which it concluded with Mr</w:t>
      </w:r>
      <w:r w:rsidR="00717B89" w:rsidRPr="003F76A2">
        <w:rPr>
          <w:rFonts w:ascii="Times New Roman" w:hAnsi="Times New Roman" w:cs="Times New Roman"/>
          <w:sz w:val="24"/>
          <w:szCs w:val="24"/>
        </w:rPr>
        <w:t xml:space="preserve"> Manyange, it insists, makes it clear that, although it provides branding and fuel, the dispensing pumps and tanks did not belong to it. They, </w:t>
      </w:r>
      <w:r w:rsidR="004A3229" w:rsidRPr="003F76A2">
        <w:rPr>
          <w:rFonts w:ascii="Times New Roman" w:hAnsi="Times New Roman" w:cs="Times New Roman"/>
          <w:sz w:val="24"/>
          <w:szCs w:val="24"/>
        </w:rPr>
        <w:t>it asserts</w:t>
      </w:r>
      <w:r w:rsidR="00717B89" w:rsidRPr="003F76A2">
        <w:rPr>
          <w:rFonts w:ascii="Times New Roman" w:hAnsi="Times New Roman" w:cs="Times New Roman"/>
          <w:sz w:val="24"/>
          <w:szCs w:val="24"/>
        </w:rPr>
        <w:t xml:space="preserve">, remain the property of the dealer namely Mr Manyange. </w:t>
      </w:r>
      <w:r w:rsidR="004A3229">
        <w:rPr>
          <w:rFonts w:ascii="Times New Roman" w:hAnsi="Times New Roman" w:cs="Times New Roman"/>
          <w:sz w:val="24"/>
          <w:szCs w:val="24"/>
        </w:rPr>
        <w:t xml:space="preserve"> </w:t>
      </w:r>
      <w:r w:rsidR="00717B89" w:rsidRPr="003F76A2">
        <w:rPr>
          <w:rFonts w:ascii="Times New Roman" w:hAnsi="Times New Roman" w:cs="Times New Roman"/>
          <w:sz w:val="24"/>
          <w:szCs w:val="24"/>
        </w:rPr>
        <w:t xml:space="preserve">It denied that it was occupying the applicant’s property. </w:t>
      </w:r>
      <w:r w:rsidR="004A3229">
        <w:rPr>
          <w:rFonts w:ascii="Times New Roman" w:hAnsi="Times New Roman" w:cs="Times New Roman"/>
          <w:sz w:val="24"/>
          <w:szCs w:val="24"/>
        </w:rPr>
        <w:t xml:space="preserve"> </w:t>
      </w:r>
      <w:r w:rsidR="00717B89" w:rsidRPr="003F76A2">
        <w:rPr>
          <w:rFonts w:ascii="Times New Roman" w:hAnsi="Times New Roman" w:cs="Times New Roman"/>
          <w:sz w:val="24"/>
          <w:szCs w:val="24"/>
        </w:rPr>
        <w:t>It also denied that it was using the applicant’s tanks.</w:t>
      </w:r>
    </w:p>
    <w:p w:rsidR="006A7619" w:rsidRPr="003F76A2" w:rsidRDefault="006A7619"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The Fuel Supply Contract to which the first respondent makes reference is at p</w:t>
      </w:r>
      <w:r w:rsidR="004A3229">
        <w:rPr>
          <w:rFonts w:ascii="Times New Roman" w:hAnsi="Times New Roman" w:cs="Times New Roman"/>
          <w:sz w:val="24"/>
          <w:szCs w:val="24"/>
        </w:rPr>
        <w:t>p</w:t>
      </w:r>
      <w:r w:rsidRPr="003F76A2">
        <w:rPr>
          <w:rFonts w:ascii="Times New Roman" w:hAnsi="Times New Roman" w:cs="Times New Roman"/>
          <w:sz w:val="24"/>
          <w:szCs w:val="24"/>
        </w:rPr>
        <w:t xml:space="preserve"> 115-120 of the record.</w:t>
      </w:r>
      <w:r w:rsidR="00FF2254" w:rsidRPr="003F76A2">
        <w:rPr>
          <w:rFonts w:ascii="Times New Roman" w:hAnsi="Times New Roman" w:cs="Times New Roman"/>
          <w:sz w:val="24"/>
          <w:szCs w:val="24"/>
        </w:rPr>
        <w:t xml:space="preserve"> Clauses 1.4,3.2, 3.3.1, 3.3.2, 4.2 and 4.7 show its presence at the property.</w:t>
      </w:r>
      <w:r w:rsidR="004A3229">
        <w:rPr>
          <w:rFonts w:ascii="Times New Roman" w:hAnsi="Times New Roman" w:cs="Times New Roman"/>
          <w:sz w:val="24"/>
          <w:szCs w:val="24"/>
        </w:rPr>
        <w:t xml:space="preserve"> </w:t>
      </w:r>
      <w:r w:rsidR="00FF2254" w:rsidRPr="003F76A2">
        <w:rPr>
          <w:rFonts w:ascii="Times New Roman" w:hAnsi="Times New Roman" w:cs="Times New Roman"/>
          <w:sz w:val="24"/>
          <w:szCs w:val="24"/>
        </w:rPr>
        <w:t xml:space="preserve"> Its statement which was to the effect that it did not take occupation of the property was/is misplaced. The cited clauses show, in a clear and categorical manner, its occupation of the property.</w:t>
      </w:r>
      <w:r w:rsidR="004A3229">
        <w:rPr>
          <w:rFonts w:ascii="Times New Roman" w:hAnsi="Times New Roman" w:cs="Times New Roman"/>
          <w:sz w:val="24"/>
          <w:szCs w:val="24"/>
        </w:rPr>
        <w:t xml:space="preserve"> </w:t>
      </w:r>
      <w:r w:rsidR="00FF2254" w:rsidRPr="003F76A2">
        <w:rPr>
          <w:rFonts w:ascii="Times New Roman" w:hAnsi="Times New Roman" w:cs="Times New Roman"/>
          <w:sz w:val="24"/>
          <w:szCs w:val="24"/>
        </w:rPr>
        <w:t xml:space="preserve"> It cannot, for instance, deny its presence at the property </w:t>
      </w:r>
      <w:r w:rsidR="00F94EBA">
        <w:rPr>
          <w:rFonts w:ascii="Times New Roman" w:hAnsi="Times New Roman" w:cs="Times New Roman"/>
          <w:sz w:val="24"/>
          <w:szCs w:val="24"/>
        </w:rPr>
        <w:t>when it agreed</w:t>
      </w:r>
      <w:r w:rsidR="00FF2254" w:rsidRPr="003F76A2">
        <w:rPr>
          <w:rFonts w:ascii="Times New Roman" w:hAnsi="Times New Roman" w:cs="Times New Roman"/>
          <w:sz w:val="24"/>
          <w:szCs w:val="24"/>
        </w:rPr>
        <w:t xml:space="preserve"> with Manyange to brand the site with its logo, branding and uniform, or when it allows the petrol and/or diesel it supplies</w:t>
      </w:r>
      <w:r w:rsidR="00692460">
        <w:rPr>
          <w:rFonts w:ascii="Times New Roman" w:hAnsi="Times New Roman" w:cs="Times New Roman"/>
          <w:sz w:val="24"/>
          <w:szCs w:val="24"/>
        </w:rPr>
        <w:t xml:space="preserve"> to Manyange</w:t>
      </w:r>
      <w:r w:rsidR="00FF2254" w:rsidRPr="003F76A2">
        <w:rPr>
          <w:rFonts w:ascii="Times New Roman" w:hAnsi="Times New Roman" w:cs="Times New Roman"/>
          <w:sz w:val="24"/>
          <w:szCs w:val="24"/>
        </w:rPr>
        <w:t xml:space="preserve"> </w:t>
      </w:r>
      <w:r w:rsidR="00FF2254" w:rsidRPr="003F76A2">
        <w:rPr>
          <w:rFonts w:ascii="Times New Roman" w:hAnsi="Times New Roman" w:cs="Times New Roman"/>
          <w:sz w:val="24"/>
          <w:szCs w:val="24"/>
        </w:rPr>
        <w:lastRenderedPageBreak/>
        <w:t>to remain in the tanks at the property until Manyange has paid for it.</w:t>
      </w:r>
      <w:r w:rsidR="00A533B7" w:rsidRPr="003F76A2">
        <w:rPr>
          <w:rFonts w:ascii="Times New Roman" w:hAnsi="Times New Roman" w:cs="Times New Roman"/>
          <w:sz w:val="24"/>
          <w:szCs w:val="24"/>
        </w:rPr>
        <w:t xml:space="preserve"> </w:t>
      </w:r>
      <w:r w:rsidR="004A3229">
        <w:rPr>
          <w:rFonts w:ascii="Times New Roman" w:hAnsi="Times New Roman" w:cs="Times New Roman"/>
          <w:sz w:val="24"/>
          <w:szCs w:val="24"/>
        </w:rPr>
        <w:t xml:space="preserve"> </w:t>
      </w:r>
      <w:r w:rsidR="00A533B7" w:rsidRPr="003F76A2">
        <w:rPr>
          <w:rFonts w:ascii="Times New Roman" w:hAnsi="Times New Roman" w:cs="Times New Roman"/>
          <w:sz w:val="24"/>
          <w:szCs w:val="24"/>
        </w:rPr>
        <w:t>It cannot dispute its presence at the property when it insists that employees who work at the property must be dressed in clean, matching outfits, which are in accordance with its specific uniform requirements.</w:t>
      </w:r>
    </w:p>
    <w:p w:rsidR="00F94EBA" w:rsidRDefault="00386183"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The court, it is trite, has in its power</w:t>
      </w:r>
      <w:r w:rsidR="008A23F5" w:rsidRPr="003F76A2">
        <w:rPr>
          <w:rFonts w:ascii="Times New Roman" w:hAnsi="Times New Roman" w:cs="Times New Roman"/>
          <w:sz w:val="24"/>
          <w:szCs w:val="24"/>
        </w:rPr>
        <w:t xml:space="preserve"> the ability</w:t>
      </w:r>
      <w:r w:rsidRPr="003F76A2">
        <w:rPr>
          <w:rFonts w:ascii="Times New Roman" w:hAnsi="Times New Roman" w:cs="Times New Roman"/>
          <w:sz w:val="24"/>
          <w:szCs w:val="24"/>
        </w:rPr>
        <w:t xml:space="preserve"> to refer to its own records.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This is a </w:t>
      </w:r>
      <w:r w:rsidRPr="00F94EBA">
        <w:rPr>
          <w:rFonts w:ascii="Times New Roman" w:hAnsi="Times New Roman" w:cs="Times New Roman"/>
          <w:i/>
          <w:sz w:val="24"/>
          <w:szCs w:val="24"/>
        </w:rPr>
        <w:t>fortiori</w:t>
      </w:r>
      <w:r w:rsidR="00F94EBA">
        <w:rPr>
          <w:rFonts w:ascii="Times New Roman" w:hAnsi="Times New Roman" w:cs="Times New Roman"/>
          <w:sz w:val="24"/>
          <w:szCs w:val="24"/>
        </w:rPr>
        <w:t xml:space="preserve"> the case</w:t>
      </w:r>
      <w:r w:rsidRPr="00F94EBA">
        <w:rPr>
          <w:rFonts w:ascii="Times New Roman" w:hAnsi="Times New Roman" w:cs="Times New Roman"/>
          <w:sz w:val="24"/>
          <w:szCs w:val="24"/>
        </w:rPr>
        <w:t xml:space="preserve"> </w:t>
      </w:r>
      <w:r w:rsidRPr="003F76A2">
        <w:rPr>
          <w:rFonts w:ascii="Times New Roman" w:hAnsi="Times New Roman" w:cs="Times New Roman"/>
          <w:sz w:val="24"/>
          <w:szCs w:val="24"/>
        </w:rPr>
        <w:t xml:space="preserve">where the matter it is dealing with is substantially related to the one </w:t>
      </w:r>
      <w:r w:rsidR="00F94EBA">
        <w:rPr>
          <w:rFonts w:ascii="Times New Roman" w:hAnsi="Times New Roman" w:cs="Times New Roman"/>
          <w:sz w:val="24"/>
          <w:szCs w:val="24"/>
        </w:rPr>
        <w:t>which it dealt with in the past:</w:t>
      </w:r>
      <w:r w:rsidR="002C353E">
        <w:rPr>
          <w:rFonts w:ascii="Times New Roman" w:hAnsi="Times New Roman" w:cs="Times New Roman"/>
          <w:sz w:val="24"/>
          <w:szCs w:val="24"/>
        </w:rPr>
        <w:t xml:space="preserve"> </w:t>
      </w:r>
      <w:r w:rsidR="002C353E" w:rsidRPr="002C353E">
        <w:rPr>
          <w:rFonts w:ascii="Times New Roman" w:hAnsi="Times New Roman" w:cs="Times New Roman"/>
          <w:i/>
          <w:sz w:val="24"/>
          <w:szCs w:val="24"/>
        </w:rPr>
        <w:t>Mhungu</w:t>
      </w:r>
      <w:r w:rsidR="002C353E">
        <w:rPr>
          <w:rFonts w:ascii="Times New Roman" w:hAnsi="Times New Roman" w:cs="Times New Roman"/>
          <w:sz w:val="24"/>
          <w:szCs w:val="24"/>
        </w:rPr>
        <w:t xml:space="preserve"> v </w:t>
      </w:r>
      <w:r w:rsidR="002C353E" w:rsidRPr="002C353E">
        <w:rPr>
          <w:rFonts w:ascii="Times New Roman" w:hAnsi="Times New Roman" w:cs="Times New Roman"/>
          <w:i/>
          <w:sz w:val="24"/>
          <w:szCs w:val="24"/>
        </w:rPr>
        <w:t xml:space="preserve">Mutindi </w:t>
      </w:r>
      <w:r w:rsidR="002C353E">
        <w:rPr>
          <w:rFonts w:ascii="Times New Roman" w:hAnsi="Times New Roman" w:cs="Times New Roman"/>
          <w:sz w:val="24"/>
          <w:szCs w:val="24"/>
        </w:rPr>
        <w:t>1986(2) ZLR 171(SC)</w:t>
      </w:r>
      <w:r w:rsidR="00692460">
        <w:rPr>
          <w:rFonts w:ascii="Times New Roman" w:hAnsi="Times New Roman" w:cs="Times New Roman"/>
          <w:sz w:val="24"/>
          <w:szCs w:val="24"/>
        </w:rPr>
        <w:t>,</w:t>
      </w:r>
      <w:r w:rsidR="002C353E">
        <w:rPr>
          <w:rFonts w:ascii="Times New Roman" w:hAnsi="Times New Roman" w:cs="Times New Roman"/>
          <w:sz w:val="24"/>
          <w:szCs w:val="24"/>
        </w:rPr>
        <w:t xml:space="preserve"> </w:t>
      </w:r>
      <w:r w:rsidR="002C353E" w:rsidRPr="002C353E">
        <w:rPr>
          <w:rFonts w:ascii="Times New Roman" w:hAnsi="Times New Roman" w:cs="Times New Roman"/>
          <w:i/>
          <w:sz w:val="24"/>
          <w:szCs w:val="24"/>
        </w:rPr>
        <w:t>Netone</w:t>
      </w:r>
      <w:r w:rsidR="002C353E">
        <w:rPr>
          <w:rFonts w:ascii="Times New Roman" w:hAnsi="Times New Roman" w:cs="Times New Roman"/>
          <w:sz w:val="24"/>
          <w:szCs w:val="24"/>
        </w:rPr>
        <w:t xml:space="preserve"> v </w:t>
      </w:r>
      <w:r w:rsidR="002C353E" w:rsidRPr="002C353E">
        <w:rPr>
          <w:rFonts w:ascii="Times New Roman" w:hAnsi="Times New Roman" w:cs="Times New Roman"/>
          <w:i/>
          <w:sz w:val="24"/>
          <w:szCs w:val="24"/>
        </w:rPr>
        <w:t>Econet,</w:t>
      </w:r>
      <w:r w:rsidR="002C353E">
        <w:rPr>
          <w:rFonts w:ascii="Times New Roman" w:hAnsi="Times New Roman" w:cs="Times New Roman"/>
          <w:sz w:val="24"/>
          <w:szCs w:val="24"/>
        </w:rPr>
        <w:t xml:space="preserve"> SC 47/18.</w:t>
      </w:r>
    </w:p>
    <w:p w:rsidR="00386183" w:rsidRPr="003F76A2" w:rsidRDefault="00386183"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 xml:space="preserve"> In line with the accepted principle, I had occasion</w:t>
      </w:r>
      <w:r w:rsidR="006927D7">
        <w:rPr>
          <w:rFonts w:ascii="Times New Roman" w:hAnsi="Times New Roman" w:cs="Times New Roman"/>
          <w:sz w:val="24"/>
          <w:szCs w:val="24"/>
        </w:rPr>
        <w:t>,</w:t>
      </w:r>
      <w:r w:rsidRPr="003F76A2">
        <w:rPr>
          <w:rFonts w:ascii="Times New Roman" w:hAnsi="Times New Roman" w:cs="Times New Roman"/>
          <w:sz w:val="24"/>
          <w:szCs w:val="24"/>
        </w:rPr>
        <w:t xml:space="preserve"> in the recent past</w:t>
      </w:r>
      <w:r w:rsidR="006927D7">
        <w:rPr>
          <w:rFonts w:ascii="Times New Roman" w:hAnsi="Times New Roman" w:cs="Times New Roman"/>
          <w:sz w:val="24"/>
          <w:szCs w:val="24"/>
        </w:rPr>
        <w:t>,</w:t>
      </w:r>
      <w:r w:rsidRPr="003F76A2">
        <w:rPr>
          <w:rFonts w:ascii="Times New Roman" w:hAnsi="Times New Roman" w:cs="Times New Roman"/>
          <w:sz w:val="24"/>
          <w:szCs w:val="24"/>
        </w:rPr>
        <w:t xml:space="preserve"> to deal </w:t>
      </w:r>
      <w:r w:rsidR="00363D6C" w:rsidRPr="003F76A2">
        <w:rPr>
          <w:rFonts w:ascii="Times New Roman" w:hAnsi="Times New Roman" w:cs="Times New Roman"/>
          <w:sz w:val="24"/>
          <w:szCs w:val="24"/>
        </w:rPr>
        <w:t>with an</w:t>
      </w:r>
      <w:r w:rsidRPr="003F76A2">
        <w:rPr>
          <w:rFonts w:ascii="Times New Roman" w:hAnsi="Times New Roman" w:cs="Times New Roman"/>
          <w:sz w:val="24"/>
          <w:szCs w:val="24"/>
        </w:rPr>
        <w:t xml:space="preserve"> application which the first respondent filed through the urgent chamber book</w:t>
      </w:r>
      <w:r w:rsidR="00363D6C" w:rsidRPr="003F76A2">
        <w:rPr>
          <w:rFonts w:ascii="Times New Roman" w:hAnsi="Times New Roman" w:cs="Times New Roman"/>
          <w:sz w:val="24"/>
          <w:szCs w:val="24"/>
        </w:rPr>
        <w:t xml:space="preserve"> on 22 August, 2022</w:t>
      </w:r>
      <w:r w:rsidRPr="003F76A2">
        <w:rPr>
          <w:rFonts w:ascii="Times New Roman" w:hAnsi="Times New Roman" w:cs="Times New Roman"/>
          <w:sz w:val="24"/>
          <w:szCs w:val="24"/>
        </w:rPr>
        <w:t xml:space="preserve"> under HC 5571/22. I</w:t>
      </w:r>
      <w:r w:rsidR="004A3229">
        <w:rPr>
          <w:rFonts w:ascii="Times New Roman" w:hAnsi="Times New Roman" w:cs="Times New Roman"/>
          <w:sz w:val="24"/>
          <w:szCs w:val="24"/>
        </w:rPr>
        <w:t>t is the first applicant and Mr</w:t>
      </w:r>
      <w:r w:rsidRPr="003F76A2">
        <w:rPr>
          <w:rFonts w:ascii="Times New Roman" w:hAnsi="Times New Roman" w:cs="Times New Roman"/>
          <w:sz w:val="24"/>
          <w:szCs w:val="24"/>
        </w:rPr>
        <w:t xml:space="preserve"> Manyange is the second applicant in the same. The application relates to the property which is the subject of the present application.</w:t>
      </w:r>
      <w:r w:rsidR="00363D6C" w:rsidRPr="003F76A2">
        <w:rPr>
          <w:rFonts w:ascii="Times New Roman" w:hAnsi="Times New Roman" w:cs="Times New Roman"/>
          <w:sz w:val="24"/>
          <w:szCs w:val="24"/>
        </w:rPr>
        <w:t xml:space="preserve"> The first </w:t>
      </w:r>
      <w:r w:rsidR="006927D7">
        <w:rPr>
          <w:rFonts w:ascii="Times New Roman" w:hAnsi="Times New Roman" w:cs="Times New Roman"/>
          <w:sz w:val="24"/>
          <w:szCs w:val="24"/>
        </w:rPr>
        <w:t>responden</w:t>
      </w:r>
      <w:r w:rsidR="00363D6C" w:rsidRPr="003F76A2">
        <w:rPr>
          <w:rFonts w:ascii="Times New Roman" w:hAnsi="Times New Roman" w:cs="Times New Roman"/>
          <w:sz w:val="24"/>
          <w:szCs w:val="24"/>
        </w:rPr>
        <w:t>t states in para</w:t>
      </w:r>
      <w:r w:rsidR="004A3229">
        <w:rPr>
          <w:rFonts w:ascii="Times New Roman" w:hAnsi="Times New Roman" w:cs="Times New Roman"/>
          <w:sz w:val="24"/>
          <w:szCs w:val="24"/>
        </w:rPr>
        <w:t>(s)</w:t>
      </w:r>
      <w:r w:rsidR="00363D6C" w:rsidRPr="003F76A2">
        <w:rPr>
          <w:rFonts w:ascii="Times New Roman" w:hAnsi="Times New Roman" w:cs="Times New Roman"/>
          <w:sz w:val="24"/>
          <w:szCs w:val="24"/>
        </w:rPr>
        <w:t xml:space="preserve"> 3.1 and 3.2 of its founding affidavit (p</w:t>
      </w:r>
      <w:r w:rsidR="004A3229">
        <w:rPr>
          <w:rFonts w:ascii="Times New Roman" w:hAnsi="Times New Roman" w:cs="Times New Roman"/>
          <w:sz w:val="24"/>
          <w:szCs w:val="24"/>
        </w:rPr>
        <w:t>p</w:t>
      </w:r>
      <w:r w:rsidR="00363D6C" w:rsidRPr="003F76A2">
        <w:rPr>
          <w:rFonts w:ascii="Times New Roman" w:hAnsi="Times New Roman" w:cs="Times New Roman"/>
          <w:sz w:val="24"/>
          <w:szCs w:val="24"/>
        </w:rPr>
        <w:t xml:space="preserve"> 22-23) as follows:</w:t>
      </w:r>
    </w:p>
    <w:p w:rsidR="00363D6C" w:rsidRPr="006927D7" w:rsidRDefault="006927D7" w:rsidP="006927D7">
      <w:pPr>
        <w:spacing w:after="0" w:line="240" w:lineRule="auto"/>
        <w:ind w:firstLine="720"/>
        <w:jc w:val="both"/>
        <w:rPr>
          <w:rFonts w:ascii="Times New Roman" w:hAnsi="Times New Roman" w:cs="Times New Roman"/>
        </w:rPr>
      </w:pPr>
      <w:r w:rsidRPr="006927D7">
        <w:rPr>
          <w:rFonts w:ascii="Times New Roman" w:hAnsi="Times New Roman" w:cs="Times New Roman"/>
        </w:rPr>
        <w:t>“</w:t>
      </w:r>
      <w:r w:rsidR="00363D6C" w:rsidRPr="006927D7">
        <w:rPr>
          <w:rFonts w:ascii="Times New Roman" w:hAnsi="Times New Roman" w:cs="Times New Roman"/>
        </w:rPr>
        <w:t xml:space="preserve">3. </w:t>
      </w:r>
      <w:r w:rsidR="00363D6C" w:rsidRPr="006927D7">
        <w:rPr>
          <w:rFonts w:ascii="Times New Roman" w:hAnsi="Times New Roman" w:cs="Times New Roman"/>
          <w:b/>
        </w:rPr>
        <w:t>THE APPLICATION</w:t>
      </w:r>
    </w:p>
    <w:p w:rsidR="00363D6C" w:rsidRPr="006927D7" w:rsidRDefault="00363D6C" w:rsidP="006927D7">
      <w:pPr>
        <w:spacing w:after="0" w:line="240" w:lineRule="auto"/>
        <w:ind w:left="720" w:firstLine="120"/>
        <w:jc w:val="both"/>
        <w:rPr>
          <w:rFonts w:ascii="Times New Roman" w:hAnsi="Times New Roman" w:cs="Times New Roman"/>
        </w:rPr>
      </w:pPr>
      <w:r w:rsidRPr="006927D7">
        <w:rPr>
          <w:rFonts w:ascii="Times New Roman" w:hAnsi="Times New Roman" w:cs="Times New Roman"/>
        </w:rPr>
        <w:t>3.1 This is an application for restoration of possession as an adjunct to a provisional order seeking the setting aside of the writ of ejectment issued in this court under Case No.HC2513/22 on the return date and further seeking specific declarations of invalidity made in terms of rule 60 of the High Court Rules 2021 (Statutory Inst</w:t>
      </w:r>
      <w:r w:rsidR="00494DAD" w:rsidRPr="006927D7">
        <w:rPr>
          <w:rFonts w:ascii="Times New Roman" w:hAnsi="Times New Roman" w:cs="Times New Roman"/>
        </w:rPr>
        <w:t>r</w:t>
      </w:r>
      <w:r w:rsidRPr="006927D7">
        <w:rPr>
          <w:rFonts w:ascii="Times New Roman" w:hAnsi="Times New Roman" w:cs="Times New Roman"/>
        </w:rPr>
        <w:t>ument 202 of 2021) as read with s</w:t>
      </w:r>
      <w:r w:rsidR="004A3229" w:rsidRPr="006927D7">
        <w:rPr>
          <w:rFonts w:ascii="Times New Roman" w:hAnsi="Times New Roman" w:cs="Times New Roman"/>
        </w:rPr>
        <w:t xml:space="preserve"> 14 of the High Court Act [</w:t>
      </w:r>
      <w:r w:rsidRPr="006927D7">
        <w:rPr>
          <w:rFonts w:ascii="Times New Roman" w:hAnsi="Times New Roman" w:cs="Times New Roman"/>
          <w:i/>
        </w:rPr>
        <w:t>Chapter 7;06</w:t>
      </w:r>
      <w:r w:rsidR="004A3229" w:rsidRPr="006927D7">
        <w:rPr>
          <w:rFonts w:ascii="Times New Roman" w:hAnsi="Times New Roman" w:cs="Times New Roman"/>
        </w:rPr>
        <w:t>]</w:t>
      </w:r>
      <w:r w:rsidRPr="006927D7">
        <w:rPr>
          <w:rFonts w:ascii="Times New Roman" w:hAnsi="Times New Roman" w:cs="Times New Roman"/>
        </w:rPr>
        <w:t>.</w:t>
      </w:r>
    </w:p>
    <w:p w:rsidR="00363D6C" w:rsidRDefault="00363D6C" w:rsidP="006927D7">
      <w:pPr>
        <w:spacing w:after="0" w:line="240" w:lineRule="auto"/>
        <w:ind w:left="720" w:firstLine="180"/>
        <w:jc w:val="both"/>
        <w:rPr>
          <w:rFonts w:ascii="Times New Roman" w:hAnsi="Times New Roman" w:cs="Times New Roman"/>
        </w:rPr>
      </w:pPr>
      <w:r w:rsidRPr="006927D7">
        <w:rPr>
          <w:rFonts w:ascii="Times New Roman" w:hAnsi="Times New Roman" w:cs="Times New Roman"/>
        </w:rPr>
        <w:t xml:space="preserve">3.2 The </w:t>
      </w:r>
      <w:r w:rsidRPr="0066367B">
        <w:rPr>
          <w:rFonts w:ascii="Times New Roman" w:hAnsi="Times New Roman" w:cs="Times New Roman"/>
          <w:i/>
        </w:rPr>
        <w:t xml:space="preserve">remedy </w:t>
      </w:r>
      <w:r w:rsidRPr="006927D7">
        <w:rPr>
          <w:rFonts w:ascii="Times New Roman" w:hAnsi="Times New Roman" w:cs="Times New Roman"/>
        </w:rPr>
        <w:t xml:space="preserve">sought in the interim is </w:t>
      </w:r>
      <w:r w:rsidRPr="0066367B">
        <w:rPr>
          <w:rFonts w:ascii="Times New Roman" w:hAnsi="Times New Roman" w:cs="Times New Roman"/>
          <w:i/>
        </w:rPr>
        <w:t>rightly for the restoration of possession of Stand No.262</w:t>
      </w:r>
      <w:r w:rsidR="009717AD" w:rsidRPr="0066367B">
        <w:rPr>
          <w:rFonts w:ascii="Times New Roman" w:hAnsi="Times New Roman" w:cs="Times New Roman"/>
          <w:i/>
        </w:rPr>
        <w:t xml:space="preserve"> Muzarabani Growth Point</w:t>
      </w:r>
      <w:r w:rsidR="009717AD" w:rsidRPr="006927D7">
        <w:rPr>
          <w:rFonts w:ascii="Times New Roman" w:hAnsi="Times New Roman" w:cs="Times New Roman"/>
        </w:rPr>
        <w:t xml:space="preserve">, Muzarabani </w:t>
      </w:r>
      <w:r w:rsidR="009717AD" w:rsidRPr="0066367B">
        <w:rPr>
          <w:rFonts w:ascii="Times New Roman" w:hAnsi="Times New Roman" w:cs="Times New Roman"/>
          <w:i/>
        </w:rPr>
        <w:t xml:space="preserve">to the </w:t>
      </w:r>
      <w:r w:rsidR="004A3229" w:rsidRPr="0066367B">
        <w:rPr>
          <w:rFonts w:ascii="Times New Roman" w:hAnsi="Times New Roman" w:cs="Times New Roman"/>
          <w:i/>
        </w:rPr>
        <w:t>first</w:t>
      </w:r>
      <w:r w:rsidR="009717AD" w:rsidRPr="0066367B">
        <w:rPr>
          <w:rFonts w:ascii="Times New Roman" w:hAnsi="Times New Roman" w:cs="Times New Roman"/>
          <w:i/>
        </w:rPr>
        <w:t xml:space="preserve"> and </w:t>
      </w:r>
      <w:r w:rsidR="004A3229" w:rsidRPr="0066367B">
        <w:rPr>
          <w:rFonts w:ascii="Times New Roman" w:hAnsi="Times New Roman" w:cs="Times New Roman"/>
          <w:i/>
        </w:rPr>
        <w:t xml:space="preserve">second </w:t>
      </w:r>
      <w:r w:rsidR="009717AD" w:rsidRPr="0066367B">
        <w:rPr>
          <w:rFonts w:ascii="Times New Roman" w:hAnsi="Times New Roman" w:cs="Times New Roman"/>
          <w:i/>
        </w:rPr>
        <w:t>applicant</w:t>
      </w:r>
      <w:r w:rsidR="009717AD" w:rsidRPr="006927D7">
        <w:rPr>
          <w:rFonts w:ascii="Times New Roman" w:hAnsi="Times New Roman" w:cs="Times New Roman"/>
        </w:rPr>
        <w:t xml:space="preserve"> (sic) which have been operating a functional, upgraded and compliant service station on the property.”</w:t>
      </w:r>
    </w:p>
    <w:p w:rsidR="006927D7" w:rsidRPr="006927D7" w:rsidRDefault="006927D7" w:rsidP="006927D7">
      <w:pPr>
        <w:spacing w:after="0" w:line="240" w:lineRule="auto"/>
        <w:ind w:left="720" w:firstLine="180"/>
        <w:jc w:val="both"/>
        <w:rPr>
          <w:rFonts w:ascii="Times New Roman" w:hAnsi="Times New Roman" w:cs="Times New Roman"/>
        </w:rPr>
      </w:pPr>
    </w:p>
    <w:p w:rsidR="006A7619" w:rsidRPr="003F76A2" w:rsidRDefault="003B3162"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It is axiomatic for the first respondent to allege</w:t>
      </w:r>
      <w:r w:rsidR="00494DAD" w:rsidRPr="003F76A2">
        <w:rPr>
          <w:rFonts w:ascii="Times New Roman" w:hAnsi="Times New Roman" w:cs="Times New Roman"/>
          <w:sz w:val="24"/>
          <w:szCs w:val="24"/>
        </w:rPr>
        <w:t>,</w:t>
      </w:r>
      <w:r w:rsidRPr="003F76A2">
        <w:rPr>
          <w:rFonts w:ascii="Times New Roman" w:hAnsi="Times New Roman" w:cs="Times New Roman"/>
          <w:sz w:val="24"/>
          <w:szCs w:val="24"/>
        </w:rPr>
        <w:t xml:space="preserve"> falsely as it is doing</w:t>
      </w:r>
      <w:r w:rsidR="00494DAD" w:rsidRPr="003F76A2">
        <w:rPr>
          <w:rFonts w:ascii="Times New Roman" w:hAnsi="Times New Roman" w:cs="Times New Roman"/>
          <w:sz w:val="24"/>
          <w:szCs w:val="24"/>
        </w:rPr>
        <w:t>,</w:t>
      </w:r>
      <w:r w:rsidRPr="003F76A2">
        <w:rPr>
          <w:rFonts w:ascii="Times New Roman" w:hAnsi="Times New Roman" w:cs="Times New Roman"/>
          <w:sz w:val="24"/>
          <w:szCs w:val="24"/>
        </w:rPr>
        <w:t xml:space="preserve"> that it is not in occupation of the property when the above-cited clauses as read with the above –quoted words which it made in its sworn </w:t>
      </w:r>
      <w:r w:rsidR="00AD0F20">
        <w:rPr>
          <w:rFonts w:ascii="Times New Roman" w:hAnsi="Times New Roman" w:cs="Times New Roman"/>
          <w:sz w:val="24"/>
          <w:szCs w:val="24"/>
        </w:rPr>
        <w:t xml:space="preserve">statement </w:t>
      </w:r>
      <w:r w:rsidR="00AD0F20" w:rsidRPr="003F76A2">
        <w:rPr>
          <w:rFonts w:ascii="Times New Roman" w:hAnsi="Times New Roman" w:cs="Times New Roman"/>
          <w:sz w:val="24"/>
          <w:szCs w:val="24"/>
        </w:rPr>
        <w:t>under</w:t>
      </w:r>
      <w:r w:rsidRPr="003F76A2">
        <w:rPr>
          <w:rFonts w:ascii="Times New Roman" w:hAnsi="Times New Roman" w:cs="Times New Roman"/>
          <w:sz w:val="24"/>
          <w:szCs w:val="24"/>
        </w:rPr>
        <w:t xml:space="preserve"> HC 5571/22 confirm its occupation of the property. The salient principle of the law is that no one is allowed to take up two positions which are inconsistent with one another. No one, in short, is allowed to approbate and reprobate </w:t>
      </w:r>
      <w:r w:rsidR="004A3229" w:rsidRPr="003F76A2">
        <w:rPr>
          <w:rFonts w:ascii="Times New Roman" w:hAnsi="Times New Roman" w:cs="Times New Roman"/>
          <w:sz w:val="24"/>
          <w:szCs w:val="24"/>
        </w:rPr>
        <w:t>or, as</w:t>
      </w:r>
      <w:r w:rsidRPr="003F76A2">
        <w:rPr>
          <w:rFonts w:ascii="Times New Roman" w:hAnsi="Times New Roman" w:cs="Times New Roman"/>
          <w:sz w:val="24"/>
          <w:szCs w:val="24"/>
        </w:rPr>
        <w:t xml:space="preserve"> </w:t>
      </w:r>
      <w:r w:rsidR="002C353E">
        <w:rPr>
          <w:rFonts w:ascii="Times New Roman" w:hAnsi="Times New Roman" w:cs="Times New Roman"/>
          <w:sz w:val="24"/>
          <w:szCs w:val="24"/>
        </w:rPr>
        <w:t xml:space="preserve">it </w:t>
      </w:r>
      <w:r w:rsidRPr="003F76A2">
        <w:rPr>
          <w:rFonts w:ascii="Times New Roman" w:hAnsi="Times New Roman" w:cs="Times New Roman"/>
          <w:sz w:val="24"/>
          <w:szCs w:val="24"/>
        </w:rPr>
        <w:t xml:space="preserve">is often commonly stated, to </w:t>
      </w:r>
      <w:r w:rsidR="00494DAD" w:rsidRPr="003F76A2">
        <w:rPr>
          <w:rFonts w:ascii="Times New Roman" w:hAnsi="Times New Roman" w:cs="Times New Roman"/>
          <w:sz w:val="24"/>
          <w:szCs w:val="24"/>
        </w:rPr>
        <w:t>blow both hot and cold:</w:t>
      </w:r>
      <w:r w:rsidRPr="003F76A2">
        <w:rPr>
          <w:rFonts w:ascii="Times New Roman" w:hAnsi="Times New Roman" w:cs="Times New Roman"/>
          <w:sz w:val="24"/>
          <w:szCs w:val="24"/>
        </w:rPr>
        <w:t xml:space="preserve"> </w:t>
      </w:r>
      <w:r w:rsidRPr="004A3229">
        <w:rPr>
          <w:rFonts w:ascii="Times New Roman" w:hAnsi="Times New Roman" w:cs="Times New Roman"/>
          <w:i/>
          <w:sz w:val="24"/>
          <w:szCs w:val="24"/>
        </w:rPr>
        <w:t>Hlatshwayo</w:t>
      </w:r>
      <w:r w:rsidRPr="003F76A2">
        <w:rPr>
          <w:rFonts w:ascii="Times New Roman" w:hAnsi="Times New Roman" w:cs="Times New Roman"/>
          <w:sz w:val="24"/>
          <w:szCs w:val="24"/>
        </w:rPr>
        <w:t xml:space="preserve"> v </w:t>
      </w:r>
      <w:r w:rsidRPr="004A3229">
        <w:rPr>
          <w:rFonts w:ascii="Times New Roman" w:hAnsi="Times New Roman" w:cs="Times New Roman"/>
          <w:i/>
          <w:sz w:val="24"/>
          <w:szCs w:val="24"/>
        </w:rPr>
        <w:t>Mare &amp; Deas</w:t>
      </w:r>
      <w:r w:rsidRPr="003F76A2">
        <w:rPr>
          <w:rFonts w:ascii="Times New Roman" w:hAnsi="Times New Roman" w:cs="Times New Roman"/>
          <w:sz w:val="24"/>
          <w:szCs w:val="24"/>
        </w:rPr>
        <w:t>, 1912 AD 242 at 259.</w:t>
      </w:r>
    </w:p>
    <w:p w:rsidR="00E90574" w:rsidRPr="003F76A2" w:rsidRDefault="00E90574"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The first respondent was telling a falsehood when it denied its occupation of the property. It, in fact, acknowledged its occupation during it</w:t>
      </w:r>
      <w:r w:rsidR="00315205" w:rsidRPr="003F76A2">
        <w:rPr>
          <w:rFonts w:ascii="Times New Roman" w:hAnsi="Times New Roman" w:cs="Times New Roman"/>
          <w:sz w:val="24"/>
          <w:szCs w:val="24"/>
        </w:rPr>
        <w:t>s discussion with the applicant.</w:t>
      </w:r>
      <w:r w:rsidR="004A3229">
        <w:rPr>
          <w:rFonts w:ascii="Times New Roman" w:hAnsi="Times New Roman" w:cs="Times New Roman"/>
          <w:sz w:val="24"/>
          <w:szCs w:val="24"/>
        </w:rPr>
        <w:t xml:space="preserve"> </w:t>
      </w:r>
      <w:r w:rsidR="00315205" w:rsidRPr="003F76A2">
        <w:rPr>
          <w:rFonts w:ascii="Times New Roman" w:hAnsi="Times New Roman" w:cs="Times New Roman"/>
          <w:sz w:val="24"/>
          <w:szCs w:val="24"/>
        </w:rPr>
        <w:t xml:space="preserve"> It promised to move out of the same but did not.</w:t>
      </w:r>
      <w:r w:rsidR="004A3229">
        <w:rPr>
          <w:rFonts w:ascii="Times New Roman" w:hAnsi="Times New Roman" w:cs="Times New Roman"/>
          <w:sz w:val="24"/>
          <w:szCs w:val="24"/>
        </w:rPr>
        <w:t xml:space="preserve"> </w:t>
      </w:r>
      <w:r w:rsidR="00315205" w:rsidRPr="003F76A2">
        <w:rPr>
          <w:rFonts w:ascii="Times New Roman" w:hAnsi="Times New Roman" w:cs="Times New Roman"/>
          <w:sz w:val="24"/>
          <w:szCs w:val="24"/>
        </w:rPr>
        <w:t xml:space="preserve"> Its continued presence at the property and its continued operation of the same remained very prejudicial to the applicant which had no remedy other than to sue the respondents as it did.</w:t>
      </w:r>
      <w:r w:rsidR="009E0C73" w:rsidRPr="003F76A2">
        <w:rPr>
          <w:rFonts w:ascii="Times New Roman" w:hAnsi="Times New Roman" w:cs="Times New Roman"/>
          <w:sz w:val="24"/>
          <w:szCs w:val="24"/>
        </w:rPr>
        <w:t xml:space="preserve"> </w:t>
      </w:r>
      <w:r w:rsidR="004A3229">
        <w:rPr>
          <w:rFonts w:ascii="Times New Roman" w:hAnsi="Times New Roman" w:cs="Times New Roman"/>
          <w:sz w:val="24"/>
          <w:szCs w:val="24"/>
        </w:rPr>
        <w:t xml:space="preserve"> </w:t>
      </w:r>
      <w:r w:rsidR="009E0C73" w:rsidRPr="003F76A2">
        <w:rPr>
          <w:rFonts w:ascii="Times New Roman" w:hAnsi="Times New Roman" w:cs="Times New Roman"/>
          <w:sz w:val="24"/>
          <w:szCs w:val="24"/>
        </w:rPr>
        <w:t>It is evident that the balance of convenience favours the applicant who stood to lose the investment which it made when it concluded the lease with the owner of the property.</w:t>
      </w:r>
    </w:p>
    <w:p w:rsidR="001B73C0" w:rsidRPr="003F76A2" w:rsidRDefault="001B73C0"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lastRenderedPageBreak/>
        <w:t xml:space="preserve">It cannot be denied that the first respondent’s continued occupation of the applicant’s property prejudiced the latter in a very material way.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It used the equipment and development at the property to the total exclusion of the applicant.</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It conducted business for which the applicant secured the lease. It enriched itself unjustifiably in the process.</w:t>
      </w:r>
    </w:p>
    <w:p w:rsidR="009E0C73" w:rsidRPr="003F76A2" w:rsidRDefault="009E0C73"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 xml:space="preserve">However the first respondent found its way to the property is not the issue.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The issue is that it took occupation in the presence of a subsisting lease which the second respondent did not cancel.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Mr Manyange with whom it went into the fuel supply contract did not have the authority to deal with the property in the manner that the first respondent and him did.  The f</w:t>
      </w:r>
      <w:r w:rsidR="00494DAD" w:rsidRPr="003F76A2">
        <w:rPr>
          <w:rFonts w:ascii="Times New Roman" w:hAnsi="Times New Roman" w:cs="Times New Roman"/>
          <w:sz w:val="24"/>
          <w:szCs w:val="24"/>
        </w:rPr>
        <w:t>irst respondent should have conducted</w:t>
      </w:r>
      <w:r w:rsidRPr="003F76A2">
        <w:rPr>
          <w:rFonts w:ascii="Times New Roman" w:hAnsi="Times New Roman" w:cs="Times New Roman"/>
          <w:sz w:val="24"/>
          <w:szCs w:val="24"/>
        </w:rPr>
        <w:t xml:space="preserve"> due diligence before it signed the lease.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If it had done so, the probabilities are that it would have remained alive to the fact that Mr Manyange, not being the executor of the estate of the deceased, did not have the power or authority to deal with the deceased’s property in the manner that he did.</w:t>
      </w:r>
    </w:p>
    <w:p w:rsidR="00774641" w:rsidRPr="003F76A2" w:rsidRDefault="00A701EC"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 xml:space="preserve">It cannot ever be suggested that the applicant relinquished its right to possession of the property </w:t>
      </w:r>
      <w:r w:rsidR="00494DAD" w:rsidRPr="003F76A2">
        <w:rPr>
          <w:rFonts w:ascii="Times New Roman" w:hAnsi="Times New Roman" w:cs="Times New Roman"/>
          <w:sz w:val="24"/>
          <w:szCs w:val="24"/>
        </w:rPr>
        <w:t xml:space="preserve">and/or the developments which it effected on to the property </w:t>
      </w:r>
      <w:r w:rsidRPr="003F76A2">
        <w:rPr>
          <w:rFonts w:ascii="Times New Roman" w:hAnsi="Times New Roman" w:cs="Times New Roman"/>
          <w:sz w:val="24"/>
          <w:szCs w:val="24"/>
        </w:rPr>
        <w:t xml:space="preserve">when it suspended its operations at the same with a view to complying with the law.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An uncontemplated supervening impossibility </w:t>
      </w:r>
      <w:r w:rsidR="00494DAD" w:rsidRPr="003F76A2">
        <w:rPr>
          <w:rFonts w:ascii="Times New Roman" w:hAnsi="Times New Roman" w:cs="Times New Roman"/>
          <w:sz w:val="24"/>
          <w:szCs w:val="24"/>
        </w:rPr>
        <w:t>had set into</w:t>
      </w:r>
      <w:r w:rsidRPr="003F76A2">
        <w:rPr>
          <w:rFonts w:ascii="Times New Roman" w:hAnsi="Times New Roman" w:cs="Times New Roman"/>
          <w:sz w:val="24"/>
          <w:szCs w:val="24"/>
        </w:rPr>
        <w:t xml:space="preserve"> </w:t>
      </w:r>
      <w:r w:rsidR="002C353E">
        <w:rPr>
          <w:rFonts w:ascii="Times New Roman" w:hAnsi="Times New Roman" w:cs="Times New Roman"/>
          <w:sz w:val="24"/>
          <w:szCs w:val="24"/>
        </w:rPr>
        <w:t xml:space="preserve">its </w:t>
      </w:r>
      <w:r w:rsidRPr="003F76A2">
        <w:rPr>
          <w:rFonts w:ascii="Times New Roman" w:hAnsi="Times New Roman" w:cs="Times New Roman"/>
          <w:sz w:val="24"/>
          <w:szCs w:val="24"/>
        </w:rPr>
        <w:t xml:space="preserve">operations.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The second respondent and it had to address the issue which related to the new law.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The second respondent who, it appears, did not quite appreciate </w:t>
      </w:r>
      <w:r w:rsidR="000057EB" w:rsidRPr="003F76A2">
        <w:rPr>
          <w:rFonts w:ascii="Times New Roman" w:hAnsi="Times New Roman" w:cs="Times New Roman"/>
          <w:sz w:val="24"/>
          <w:szCs w:val="24"/>
        </w:rPr>
        <w:t xml:space="preserve">the implications of the new law made matters worse than they really were when he refused to negotiate with the applicant as his predecessor had done prior to his demise. </w:t>
      </w:r>
      <w:r w:rsidR="004A3229">
        <w:rPr>
          <w:rFonts w:ascii="Times New Roman" w:hAnsi="Times New Roman" w:cs="Times New Roman"/>
          <w:sz w:val="24"/>
          <w:szCs w:val="24"/>
        </w:rPr>
        <w:t xml:space="preserve"> </w:t>
      </w:r>
      <w:r w:rsidR="000057EB" w:rsidRPr="003F76A2">
        <w:rPr>
          <w:rFonts w:ascii="Times New Roman" w:hAnsi="Times New Roman" w:cs="Times New Roman"/>
          <w:sz w:val="24"/>
          <w:szCs w:val="24"/>
        </w:rPr>
        <w:t>If he had done so, as he should have done, the situation which related to the new law would have been addressed and damage arrested in the process.</w:t>
      </w:r>
    </w:p>
    <w:p w:rsidR="00774641" w:rsidRDefault="00774641" w:rsidP="004A3229">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t xml:space="preserve">Going by the premise that the equipment which the first and fourth respondents were using at the property was/is that of the applicant, both had to be interdicted from continuing to use the same.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 xml:space="preserve">Because both of them had no legal title or right to be at the property, their eviction from the same was not without merit. </w:t>
      </w:r>
      <w:r w:rsidR="004A3229">
        <w:rPr>
          <w:rFonts w:ascii="Times New Roman" w:hAnsi="Times New Roman" w:cs="Times New Roman"/>
          <w:sz w:val="24"/>
          <w:szCs w:val="24"/>
        </w:rPr>
        <w:t xml:space="preserve"> </w:t>
      </w:r>
      <w:r w:rsidRPr="003F76A2">
        <w:rPr>
          <w:rFonts w:ascii="Times New Roman" w:hAnsi="Times New Roman" w:cs="Times New Roman"/>
          <w:sz w:val="24"/>
          <w:szCs w:val="24"/>
        </w:rPr>
        <w:t>Because they occupied the property and used the assets of the applicant</w:t>
      </w:r>
      <w:r w:rsidR="00494DAD" w:rsidRPr="003F76A2">
        <w:rPr>
          <w:rFonts w:ascii="Times New Roman" w:hAnsi="Times New Roman" w:cs="Times New Roman"/>
          <w:sz w:val="24"/>
          <w:szCs w:val="24"/>
        </w:rPr>
        <w:t xml:space="preserve"> against the latter’s will</w:t>
      </w:r>
      <w:r w:rsidRPr="003F76A2">
        <w:rPr>
          <w:rFonts w:ascii="Times New Roman" w:hAnsi="Times New Roman" w:cs="Times New Roman"/>
          <w:sz w:val="24"/>
          <w:szCs w:val="24"/>
        </w:rPr>
        <w:t xml:space="preserve">, the order which directs them to account to the latter </w:t>
      </w:r>
      <w:r w:rsidR="00731056" w:rsidRPr="003F76A2">
        <w:rPr>
          <w:rFonts w:ascii="Times New Roman" w:hAnsi="Times New Roman" w:cs="Times New Roman"/>
          <w:sz w:val="24"/>
          <w:szCs w:val="24"/>
        </w:rPr>
        <w:t>all the money which they received</w:t>
      </w:r>
      <w:r w:rsidR="00494DAD" w:rsidRPr="003F76A2">
        <w:rPr>
          <w:rFonts w:ascii="Times New Roman" w:hAnsi="Times New Roman" w:cs="Times New Roman"/>
          <w:sz w:val="24"/>
          <w:szCs w:val="24"/>
        </w:rPr>
        <w:t>,</w:t>
      </w:r>
      <w:r w:rsidR="00731056" w:rsidRPr="003F76A2">
        <w:rPr>
          <w:rFonts w:ascii="Times New Roman" w:hAnsi="Times New Roman" w:cs="Times New Roman"/>
          <w:sz w:val="24"/>
          <w:szCs w:val="24"/>
        </w:rPr>
        <w:t xml:space="preserve"> or would receive</w:t>
      </w:r>
      <w:r w:rsidR="00494DAD" w:rsidRPr="003F76A2">
        <w:rPr>
          <w:rFonts w:ascii="Times New Roman" w:hAnsi="Times New Roman" w:cs="Times New Roman"/>
          <w:sz w:val="24"/>
          <w:szCs w:val="24"/>
        </w:rPr>
        <w:t>,</w:t>
      </w:r>
      <w:r w:rsidR="00731056" w:rsidRPr="003F76A2">
        <w:rPr>
          <w:rFonts w:ascii="Times New Roman" w:hAnsi="Times New Roman" w:cs="Times New Roman"/>
          <w:sz w:val="24"/>
          <w:szCs w:val="24"/>
        </w:rPr>
        <w:t xml:space="preserve"> is not out of place.</w:t>
      </w:r>
    </w:p>
    <w:p w:rsidR="002C353E" w:rsidRDefault="002C353E" w:rsidP="004A3229">
      <w:pPr>
        <w:spacing w:after="0" w:line="360" w:lineRule="auto"/>
        <w:ind w:firstLine="720"/>
        <w:jc w:val="both"/>
        <w:rPr>
          <w:rFonts w:ascii="Times New Roman" w:hAnsi="Times New Roman" w:cs="Times New Roman"/>
          <w:sz w:val="24"/>
          <w:szCs w:val="24"/>
        </w:rPr>
      </w:pPr>
    </w:p>
    <w:p w:rsidR="002C353E" w:rsidRDefault="002C353E" w:rsidP="004A3229">
      <w:pPr>
        <w:spacing w:after="0" w:line="360" w:lineRule="auto"/>
        <w:ind w:firstLine="720"/>
        <w:jc w:val="both"/>
        <w:rPr>
          <w:rFonts w:ascii="Times New Roman" w:hAnsi="Times New Roman" w:cs="Times New Roman"/>
          <w:sz w:val="24"/>
          <w:szCs w:val="24"/>
        </w:rPr>
      </w:pPr>
    </w:p>
    <w:p w:rsidR="002C353E" w:rsidRPr="003F76A2" w:rsidRDefault="002C353E" w:rsidP="004A3229">
      <w:pPr>
        <w:spacing w:after="0" w:line="360" w:lineRule="auto"/>
        <w:ind w:firstLine="720"/>
        <w:jc w:val="both"/>
        <w:rPr>
          <w:rFonts w:ascii="Times New Roman" w:hAnsi="Times New Roman" w:cs="Times New Roman"/>
          <w:sz w:val="24"/>
          <w:szCs w:val="24"/>
        </w:rPr>
      </w:pPr>
    </w:p>
    <w:p w:rsidR="00731056" w:rsidRPr="003F76A2" w:rsidRDefault="00731056" w:rsidP="00E775C2">
      <w:pPr>
        <w:spacing w:after="0" w:line="360" w:lineRule="auto"/>
        <w:ind w:firstLine="720"/>
        <w:jc w:val="both"/>
        <w:rPr>
          <w:rFonts w:ascii="Times New Roman" w:hAnsi="Times New Roman" w:cs="Times New Roman"/>
          <w:sz w:val="24"/>
          <w:szCs w:val="24"/>
        </w:rPr>
      </w:pPr>
      <w:r w:rsidRPr="003F76A2">
        <w:rPr>
          <w:rFonts w:ascii="Times New Roman" w:hAnsi="Times New Roman" w:cs="Times New Roman"/>
          <w:sz w:val="24"/>
          <w:szCs w:val="24"/>
        </w:rPr>
        <w:lastRenderedPageBreak/>
        <w:t>The applicant proved its case on a balance of probabilities. The application is, in the result, granted as prayed in the draft order.</w:t>
      </w:r>
    </w:p>
    <w:p w:rsidR="006A240B" w:rsidRDefault="006A240B" w:rsidP="003F76A2">
      <w:pPr>
        <w:spacing w:line="360" w:lineRule="auto"/>
        <w:jc w:val="both"/>
        <w:rPr>
          <w:rFonts w:ascii="Times New Roman" w:hAnsi="Times New Roman" w:cs="Times New Roman"/>
          <w:sz w:val="24"/>
          <w:szCs w:val="24"/>
        </w:rPr>
      </w:pPr>
    </w:p>
    <w:p w:rsidR="003A134B" w:rsidRDefault="003A134B" w:rsidP="003F76A2">
      <w:pPr>
        <w:spacing w:line="360" w:lineRule="auto"/>
        <w:jc w:val="both"/>
        <w:rPr>
          <w:rFonts w:ascii="Times New Roman" w:hAnsi="Times New Roman" w:cs="Times New Roman"/>
          <w:sz w:val="24"/>
          <w:szCs w:val="24"/>
        </w:rPr>
      </w:pPr>
    </w:p>
    <w:p w:rsidR="003A134B" w:rsidRPr="003F76A2" w:rsidRDefault="003A134B" w:rsidP="003F76A2">
      <w:pPr>
        <w:spacing w:line="360" w:lineRule="auto"/>
        <w:jc w:val="both"/>
        <w:rPr>
          <w:rFonts w:ascii="Times New Roman" w:hAnsi="Times New Roman" w:cs="Times New Roman"/>
          <w:sz w:val="24"/>
          <w:szCs w:val="24"/>
        </w:rPr>
      </w:pPr>
    </w:p>
    <w:p w:rsidR="007B52B6" w:rsidRDefault="007358A3" w:rsidP="003A134B">
      <w:pPr>
        <w:spacing w:after="0" w:line="240" w:lineRule="auto"/>
        <w:jc w:val="both"/>
        <w:rPr>
          <w:rFonts w:ascii="Times New Roman" w:hAnsi="Times New Roman" w:cs="Times New Roman"/>
          <w:sz w:val="24"/>
          <w:szCs w:val="24"/>
        </w:rPr>
      </w:pPr>
      <w:r w:rsidRPr="007358A3">
        <w:rPr>
          <w:rFonts w:ascii="Times New Roman" w:hAnsi="Times New Roman" w:cs="Times New Roman"/>
          <w:i/>
          <w:sz w:val="24"/>
          <w:szCs w:val="24"/>
        </w:rPr>
        <w:t>Madanhe &amp; Chigudugudze</w:t>
      </w:r>
      <w:r>
        <w:rPr>
          <w:rFonts w:ascii="Times New Roman" w:hAnsi="Times New Roman" w:cs="Times New Roman"/>
          <w:sz w:val="24"/>
          <w:szCs w:val="24"/>
        </w:rPr>
        <w:t xml:space="preserve">, </w:t>
      </w:r>
      <w:r w:rsidR="003A134B">
        <w:rPr>
          <w:rFonts w:ascii="Times New Roman" w:hAnsi="Times New Roman" w:cs="Times New Roman"/>
          <w:sz w:val="24"/>
          <w:szCs w:val="24"/>
        </w:rPr>
        <w:t>applicant’s legal practitioners</w:t>
      </w:r>
    </w:p>
    <w:p w:rsidR="003A134B" w:rsidRDefault="007358A3" w:rsidP="003A134B">
      <w:pPr>
        <w:spacing w:after="0" w:line="240" w:lineRule="auto"/>
        <w:jc w:val="both"/>
        <w:rPr>
          <w:rFonts w:ascii="Times New Roman" w:hAnsi="Times New Roman" w:cs="Times New Roman"/>
          <w:sz w:val="24"/>
          <w:szCs w:val="24"/>
        </w:rPr>
      </w:pPr>
      <w:r w:rsidRPr="007358A3">
        <w:rPr>
          <w:rFonts w:ascii="Times New Roman" w:hAnsi="Times New Roman" w:cs="Times New Roman"/>
          <w:i/>
          <w:sz w:val="24"/>
          <w:szCs w:val="24"/>
        </w:rPr>
        <w:t>Saidi Law firm</w:t>
      </w:r>
      <w:r>
        <w:rPr>
          <w:rFonts w:ascii="Times New Roman" w:hAnsi="Times New Roman" w:cs="Times New Roman"/>
          <w:sz w:val="24"/>
          <w:szCs w:val="24"/>
        </w:rPr>
        <w:t>,</w:t>
      </w:r>
      <w:r w:rsidR="003A134B">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3A134B">
        <w:rPr>
          <w:rFonts w:ascii="Times New Roman" w:hAnsi="Times New Roman" w:cs="Times New Roman"/>
          <w:sz w:val="24"/>
          <w:szCs w:val="24"/>
        </w:rPr>
        <w:t>respondent’s legal practitioners</w:t>
      </w:r>
    </w:p>
    <w:p w:rsidR="007358A3" w:rsidRPr="003F76A2" w:rsidRDefault="007358A3" w:rsidP="003A134B">
      <w:pPr>
        <w:spacing w:after="0" w:line="240" w:lineRule="auto"/>
        <w:jc w:val="both"/>
        <w:rPr>
          <w:rFonts w:ascii="Times New Roman" w:hAnsi="Times New Roman" w:cs="Times New Roman"/>
          <w:sz w:val="24"/>
          <w:szCs w:val="24"/>
        </w:rPr>
      </w:pPr>
      <w:r w:rsidRPr="007358A3">
        <w:rPr>
          <w:rFonts w:ascii="Times New Roman" w:hAnsi="Times New Roman" w:cs="Times New Roman"/>
          <w:i/>
          <w:sz w:val="24"/>
          <w:szCs w:val="24"/>
        </w:rPr>
        <w:t>Charamba &amp; Partners</w:t>
      </w:r>
      <w:r>
        <w:rPr>
          <w:rFonts w:ascii="Times New Roman" w:hAnsi="Times New Roman" w:cs="Times New Roman"/>
          <w:sz w:val="24"/>
          <w:szCs w:val="24"/>
        </w:rPr>
        <w:t>, second respondent’s legal practitioners</w:t>
      </w:r>
    </w:p>
    <w:p w:rsidR="00266930" w:rsidRPr="003F76A2" w:rsidRDefault="00266930" w:rsidP="003F76A2">
      <w:pPr>
        <w:pStyle w:val="ListParagraph"/>
        <w:spacing w:line="360" w:lineRule="auto"/>
        <w:ind w:left="1080"/>
        <w:jc w:val="both"/>
        <w:rPr>
          <w:rFonts w:ascii="Times New Roman" w:hAnsi="Times New Roman" w:cs="Times New Roman"/>
          <w:sz w:val="24"/>
          <w:szCs w:val="24"/>
        </w:rPr>
      </w:pPr>
    </w:p>
    <w:p w:rsidR="00F820D7" w:rsidRPr="00EA2454" w:rsidRDefault="00F820D7" w:rsidP="00EA2454">
      <w:pPr>
        <w:rPr>
          <w:b/>
        </w:rPr>
      </w:pPr>
    </w:p>
    <w:sectPr w:rsidR="00F820D7" w:rsidRPr="00EA245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D5" w:rsidRDefault="00305ED5" w:rsidP="003F76A2">
      <w:pPr>
        <w:spacing w:after="0" w:line="240" w:lineRule="auto"/>
      </w:pPr>
      <w:r>
        <w:separator/>
      </w:r>
    </w:p>
  </w:endnote>
  <w:endnote w:type="continuationSeparator" w:id="0">
    <w:p w:rsidR="00305ED5" w:rsidRDefault="00305ED5" w:rsidP="003F7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D5" w:rsidRDefault="00305ED5" w:rsidP="003F76A2">
      <w:pPr>
        <w:spacing w:after="0" w:line="240" w:lineRule="auto"/>
      </w:pPr>
      <w:r>
        <w:separator/>
      </w:r>
    </w:p>
  </w:footnote>
  <w:footnote w:type="continuationSeparator" w:id="0">
    <w:p w:rsidR="00305ED5" w:rsidRDefault="00305ED5" w:rsidP="003F7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596565"/>
      <w:docPartObj>
        <w:docPartGallery w:val="Page Numbers (Top of Page)"/>
        <w:docPartUnique/>
      </w:docPartObj>
    </w:sdtPr>
    <w:sdtEndPr>
      <w:rPr>
        <w:noProof/>
      </w:rPr>
    </w:sdtEndPr>
    <w:sdtContent>
      <w:p w:rsidR="003F76A2" w:rsidRDefault="003F76A2">
        <w:pPr>
          <w:pStyle w:val="Header"/>
          <w:jc w:val="right"/>
          <w:rPr>
            <w:noProof/>
          </w:rPr>
        </w:pPr>
        <w:r>
          <w:fldChar w:fldCharType="begin"/>
        </w:r>
        <w:r>
          <w:instrText xml:space="preserve"> PAGE   \* MERGEFORMAT </w:instrText>
        </w:r>
        <w:r>
          <w:fldChar w:fldCharType="separate"/>
        </w:r>
        <w:r w:rsidR="001A2750">
          <w:rPr>
            <w:noProof/>
          </w:rPr>
          <w:t>1</w:t>
        </w:r>
        <w:r>
          <w:rPr>
            <w:noProof/>
          </w:rPr>
          <w:fldChar w:fldCharType="end"/>
        </w:r>
      </w:p>
      <w:p w:rsidR="003F76A2" w:rsidRDefault="00AC626D">
        <w:pPr>
          <w:pStyle w:val="Header"/>
          <w:jc w:val="right"/>
          <w:rPr>
            <w:noProof/>
          </w:rPr>
        </w:pPr>
        <w:r>
          <w:rPr>
            <w:noProof/>
          </w:rPr>
          <w:t>HH 735-22</w:t>
        </w:r>
      </w:p>
      <w:p w:rsidR="003F76A2" w:rsidRDefault="003F76A2">
        <w:pPr>
          <w:pStyle w:val="Header"/>
          <w:jc w:val="right"/>
        </w:pPr>
        <w:r>
          <w:rPr>
            <w:noProof/>
          </w:rPr>
          <w:t>HC 2513/22</w:t>
        </w:r>
      </w:p>
    </w:sdtContent>
  </w:sdt>
  <w:p w:rsidR="003F76A2" w:rsidRDefault="003F76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80"/>
    <w:multiLevelType w:val="hybridMultilevel"/>
    <w:tmpl w:val="67E8A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1D18"/>
    <w:multiLevelType w:val="hybridMultilevel"/>
    <w:tmpl w:val="1A160D80"/>
    <w:lvl w:ilvl="0" w:tplc="AB42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B1C24"/>
    <w:multiLevelType w:val="hybridMultilevel"/>
    <w:tmpl w:val="1E0CFEC0"/>
    <w:lvl w:ilvl="0" w:tplc="E668DA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59"/>
    <w:rsid w:val="000057EB"/>
    <w:rsid w:val="00042160"/>
    <w:rsid w:val="00054059"/>
    <w:rsid w:val="00091FA5"/>
    <w:rsid w:val="000F46E7"/>
    <w:rsid w:val="001A2750"/>
    <w:rsid w:val="001B73C0"/>
    <w:rsid w:val="002070FA"/>
    <w:rsid w:val="0021428E"/>
    <w:rsid w:val="00242678"/>
    <w:rsid w:val="00266930"/>
    <w:rsid w:val="002C353E"/>
    <w:rsid w:val="00305ED5"/>
    <w:rsid w:val="00315205"/>
    <w:rsid w:val="00363D6C"/>
    <w:rsid w:val="00385DBE"/>
    <w:rsid w:val="00386183"/>
    <w:rsid w:val="003A134B"/>
    <w:rsid w:val="003B3162"/>
    <w:rsid w:val="003F76A2"/>
    <w:rsid w:val="00476165"/>
    <w:rsid w:val="00481255"/>
    <w:rsid w:val="00494DAD"/>
    <w:rsid w:val="004A3229"/>
    <w:rsid w:val="004F753C"/>
    <w:rsid w:val="00511D28"/>
    <w:rsid w:val="005555D0"/>
    <w:rsid w:val="00574E6A"/>
    <w:rsid w:val="0058601B"/>
    <w:rsid w:val="00660CF1"/>
    <w:rsid w:val="0066367B"/>
    <w:rsid w:val="00681893"/>
    <w:rsid w:val="00692460"/>
    <w:rsid w:val="006927D7"/>
    <w:rsid w:val="006A240B"/>
    <w:rsid w:val="006A7619"/>
    <w:rsid w:val="006E09BA"/>
    <w:rsid w:val="00717B89"/>
    <w:rsid w:val="00731056"/>
    <w:rsid w:val="007358A3"/>
    <w:rsid w:val="00757927"/>
    <w:rsid w:val="007722C9"/>
    <w:rsid w:val="00774641"/>
    <w:rsid w:val="00792CB0"/>
    <w:rsid w:val="007B52B6"/>
    <w:rsid w:val="007D58FC"/>
    <w:rsid w:val="007E77BB"/>
    <w:rsid w:val="00812EAE"/>
    <w:rsid w:val="00820A0F"/>
    <w:rsid w:val="00842BD9"/>
    <w:rsid w:val="008722C2"/>
    <w:rsid w:val="008A0EA6"/>
    <w:rsid w:val="008A23F5"/>
    <w:rsid w:val="008C2A09"/>
    <w:rsid w:val="008E6672"/>
    <w:rsid w:val="00935318"/>
    <w:rsid w:val="009717AD"/>
    <w:rsid w:val="009E0C73"/>
    <w:rsid w:val="00A51CAF"/>
    <w:rsid w:val="00A533B7"/>
    <w:rsid w:val="00A701EC"/>
    <w:rsid w:val="00AA7F99"/>
    <w:rsid w:val="00AC5CB1"/>
    <w:rsid w:val="00AC626D"/>
    <w:rsid w:val="00AD0F20"/>
    <w:rsid w:val="00AF7C2F"/>
    <w:rsid w:val="00B62CC4"/>
    <w:rsid w:val="00BA545F"/>
    <w:rsid w:val="00BC7EEE"/>
    <w:rsid w:val="00D029D5"/>
    <w:rsid w:val="00D95299"/>
    <w:rsid w:val="00DA54E6"/>
    <w:rsid w:val="00DA6BE1"/>
    <w:rsid w:val="00DC5AA8"/>
    <w:rsid w:val="00DD409D"/>
    <w:rsid w:val="00E45192"/>
    <w:rsid w:val="00E775C2"/>
    <w:rsid w:val="00E90574"/>
    <w:rsid w:val="00EA2454"/>
    <w:rsid w:val="00EC73EC"/>
    <w:rsid w:val="00F06B17"/>
    <w:rsid w:val="00F4374B"/>
    <w:rsid w:val="00F820D7"/>
    <w:rsid w:val="00F94EBA"/>
    <w:rsid w:val="00FF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A713E-DD38-4995-AD86-4E355FAB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672"/>
    <w:pPr>
      <w:ind w:left="720"/>
      <w:contextualSpacing/>
    </w:pPr>
  </w:style>
  <w:style w:type="paragraph" w:styleId="Header">
    <w:name w:val="header"/>
    <w:basedOn w:val="Normal"/>
    <w:link w:val="HeaderChar"/>
    <w:uiPriority w:val="99"/>
    <w:unhideWhenUsed/>
    <w:rsid w:val="003F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A2"/>
  </w:style>
  <w:style w:type="paragraph" w:styleId="Footer">
    <w:name w:val="footer"/>
    <w:basedOn w:val="Normal"/>
    <w:link w:val="FooterChar"/>
    <w:uiPriority w:val="99"/>
    <w:unhideWhenUsed/>
    <w:rsid w:val="003F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A2"/>
  </w:style>
  <w:style w:type="paragraph" w:styleId="BalloonText">
    <w:name w:val="Balloon Text"/>
    <w:basedOn w:val="Normal"/>
    <w:link w:val="BalloonTextChar"/>
    <w:uiPriority w:val="99"/>
    <w:semiHidden/>
    <w:unhideWhenUsed/>
    <w:rsid w:val="00DA6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85AA-56A6-4FBA-9080-2C3E66E4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2022-10-21T06:14:00Z</cp:lastPrinted>
  <dcterms:created xsi:type="dcterms:W3CDTF">2022-10-21T09:28:00Z</dcterms:created>
  <dcterms:modified xsi:type="dcterms:W3CDTF">2022-10-21T09:28:00Z</dcterms:modified>
</cp:coreProperties>
</file>