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E4" w:rsidRDefault="00FB13D5" w:rsidP="00FB13D5">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721B04">
        <w:rPr>
          <w:rFonts w:asciiTheme="majorHAnsi" w:hAnsiTheme="majorHAnsi"/>
          <w:b/>
          <w:sz w:val="24"/>
          <w:szCs w:val="24"/>
        </w:rPr>
        <w:t>734</w:t>
      </w:r>
      <w:r>
        <w:rPr>
          <w:rFonts w:asciiTheme="majorHAnsi" w:hAnsiTheme="majorHAnsi"/>
          <w:b/>
          <w:sz w:val="24"/>
          <w:szCs w:val="24"/>
        </w:rPr>
        <w:t>/16</w:t>
      </w:r>
    </w:p>
    <w:p w:rsidR="00FB13D5" w:rsidRDefault="00FB13D5" w:rsidP="00FB13D5">
      <w:pPr>
        <w:spacing w:line="360" w:lineRule="auto"/>
        <w:jc w:val="both"/>
        <w:rPr>
          <w:rFonts w:asciiTheme="majorHAnsi" w:hAnsiTheme="majorHAnsi"/>
          <w:b/>
          <w:sz w:val="24"/>
          <w:szCs w:val="24"/>
        </w:rPr>
      </w:pPr>
      <w:r>
        <w:rPr>
          <w:rFonts w:asciiTheme="majorHAnsi" w:hAnsiTheme="majorHAnsi"/>
          <w:b/>
          <w:sz w:val="24"/>
          <w:szCs w:val="24"/>
        </w:rPr>
        <w:t>HELD AT HARARE 12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LC/H/R</w:t>
      </w:r>
      <w:r w:rsidR="00F75C3D">
        <w:rPr>
          <w:rFonts w:asciiTheme="majorHAnsi" w:hAnsiTheme="majorHAnsi"/>
          <w:b/>
          <w:sz w:val="24"/>
          <w:szCs w:val="24"/>
        </w:rPr>
        <w:t>E</w:t>
      </w:r>
      <w:bookmarkStart w:id="0" w:name="_GoBack"/>
      <w:bookmarkEnd w:id="0"/>
      <w:r>
        <w:rPr>
          <w:rFonts w:asciiTheme="majorHAnsi" w:hAnsiTheme="majorHAnsi"/>
          <w:b/>
          <w:sz w:val="24"/>
          <w:szCs w:val="24"/>
        </w:rPr>
        <w:t>V/45/15</w:t>
      </w:r>
    </w:p>
    <w:p w:rsidR="00FB13D5" w:rsidRDefault="00FB13D5" w:rsidP="00FB13D5">
      <w:pPr>
        <w:spacing w:line="360" w:lineRule="auto"/>
        <w:jc w:val="both"/>
        <w:rPr>
          <w:rFonts w:asciiTheme="majorHAnsi" w:hAnsiTheme="majorHAnsi"/>
          <w:b/>
          <w:sz w:val="24"/>
          <w:szCs w:val="24"/>
        </w:rPr>
      </w:pPr>
      <w:r>
        <w:rPr>
          <w:rFonts w:asciiTheme="majorHAnsi" w:hAnsiTheme="majorHAnsi"/>
          <w:b/>
          <w:sz w:val="24"/>
          <w:szCs w:val="24"/>
        </w:rPr>
        <w:t>&amp; 18 NOVEMBER 2016</w:t>
      </w:r>
    </w:p>
    <w:p w:rsidR="00C25583" w:rsidRDefault="00C25583"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PETERHOUSE GROUP OF SCHOOLS’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EMPLOYEES</w:t>
      </w:r>
    </w:p>
    <w:p w:rsidR="00FB13D5" w:rsidRDefault="00FB13D5" w:rsidP="00FB13D5">
      <w:pPr>
        <w:spacing w:after="0" w:line="360" w:lineRule="auto"/>
        <w:jc w:val="both"/>
        <w:rPr>
          <w:rFonts w:asciiTheme="majorHAnsi" w:hAnsiTheme="majorHAnsi"/>
          <w:b/>
          <w:sz w:val="24"/>
          <w:szCs w:val="24"/>
        </w:rPr>
      </w:pPr>
    </w:p>
    <w:p w:rsidR="00C25583"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 xml:space="preserve">PETERHOUSE GROUP OF SCHOOLS </w:t>
      </w:r>
      <w:r w:rsidR="00C25583">
        <w:rPr>
          <w:rFonts w:asciiTheme="majorHAnsi" w:hAnsiTheme="majorHAnsi"/>
          <w:b/>
          <w:sz w:val="24"/>
          <w:szCs w:val="24"/>
        </w:rPr>
        <w:tab/>
      </w:r>
      <w:r w:rsidR="00C25583">
        <w:rPr>
          <w:rFonts w:asciiTheme="majorHAnsi" w:hAnsiTheme="majorHAnsi"/>
          <w:b/>
          <w:sz w:val="24"/>
          <w:szCs w:val="24"/>
        </w:rPr>
        <w:tab/>
      </w:r>
      <w:r w:rsidR="00C25583">
        <w:rPr>
          <w:rFonts w:asciiTheme="majorHAnsi" w:hAnsiTheme="majorHAnsi"/>
          <w:b/>
          <w:sz w:val="24"/>
          <w:szCs w:val="24"/>
        </w:rPr>
        <w:tab/>
      </w:r>
      <w:r w:rsidR="00C25583">
        <w:rPr>
          <w:rFonts w:asciiTheme="majorHAnsi" w:hAnsiTheme="majorHAnsi"/>
          <w:b/>
          <w:sz w:val="24"/>
          <w:szCs w:val="24"/>
        </w:rPr>
        <w:tab/>
        <w:t>1</w:t>
      </w:r>
      <w:r w:rsidR="00C25583" w:rsidRPr="00C25583">
        <w:rPr>
          <w:rFonts w:asciiTheme="majorHAnsi" w:hAnsiTheme="majorHAnsi"/>
          <w:b/>
          <w:sz w:val="24"/>
          <w:szCs w:val="24"/>
          <w:vertAlign w:val="superscript"/>
        </w:rPr>
        <w:t>st</w:t>
      </w:r>
      <w:r w:rsidR="00C25583">
        <w:rPr>
          <w:rFonts w:asciiTheme="majorHAnsi" w:hAnsiTheme="majorHAnsi"/>
          <w:b/>
          <w:sz w:val="24"/>
          <w:szCs w:val="24"/>
        </w:rPr>
        <w:t xml:space="preserve"> Respondent</w:t>
      </w:r>
    </w:p>
    <w:p w:rsidR="00C25583" w:rsidRDefault="00C25583"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NEC WELFARE</w:t>
      </w:r>
      <w:r w:rsidR="00C25583">
        <w:rPr>
          <w:rFonts w:asciiTheme="majorHAnsi" w:hAnsiTheme="majorHAnsi"/>
          <w:b/>
          <w:sz w:val="24"/>
          <w:szCs w:val="24"/>
        </w:rPr>
        <w:t xml:space="preserve"> &amp; EDUCATIONAL INSTITUTIONS</w:t>
      </w:r>
      <w:r w:rsidR="00C25583">
        <w:rPr>
          <w:rFonts w:asciiTheme="majorHAnsi" w:hAnsiTheme="majorHAnsi"/>
          <w:b/>
          <w:sz w:val="24"/>
          <w:szCs w:val="24"/>
        </w:rPr>
        <w:tab/>
      </w:r>
      <w:r w:rsidR="00C25583">
        <w:rPr>
          <w:rFonts w:asciiTheme="majorHAnsi" w:hAnsiTheme="majorHAnsi"/>
          <w:b/>
          <w:sz w:val="24"/>
          <w:szCs w:val="24"/>
        </w:rPr>
        <w:tab/>
        <w:t>2</w:t>
      </w:r>
      <w:r w:rsidR="00C25583" w:rsidRPr="00C25583">
        <w:rPr>
          <w:rFonts w:asciiTheme="majorHAnsi" w:hAnsiTheme="majorHAnsi"/>
          <w:b/>
          <w:sz w:val="24"/>
          <w:szCs w:val="24"/>
          <w:vertAlign w:val="superscript"/>
        </w:rPr>
        <w:t>nd</w:t>
      </w:r>
      <w:r w:rsidR="00C25583">
        <w:rPr>
          <w:rFonts w:asciiTheme="majorHAnsi" w:hAnsiTheme="majorHAnsi"/>
          <w:b/>
          <w:sz w:val="24"/>
          <w:szCs w:val="24"/>
        </w:rPr>
        <w:t xml:space="preserve"> </w:t>
      </w:r>
      <w:r>
        <w:rPr>
          <w:rFonts w:asciiTheme="majorHAnsi" w:hAnsiTheme="majorHAnsi"/>
          <w:b/>
          <w:sz w:val="24"/>
          <w:szCs w:val="24"/>
        </w:rPr>
        <w:t>Respondent</w:t>
      </w:r>
    </w:p>
    <w:p w:rsidR="00FB13D5" w:rsidRDefault="00FB13D5"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FB13D5" w:rsidRDefault="00FB13D5" w:rsidP="00FB13D5">
      <w:pPr>
        <w:spacing w:after="0" w:line="360" w:lineRule="auto"/>
        <w:jc w:val="both"/>
        <w:rPr>
          <w:rFonts w:asciiTheme="majorHAnsi" w:hAnsiTheme="majorHAnsi"/>
          <w:sz w:val="24"/>
          <w:szCs w:val="24"/>
        </w:rPr>
      </w:pP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 xml:space="preserve">Ms S </w:t>
      </w:r>
      <w:proofErr w:type="spellStart"/>
      <w:r>
        <w:rPr>
          <w:rFonts w:asciiTheme="majorHAnsi" w:hAnsiTheme="majorHAnsi"/>
          <w:b/>
          <w:sz w:val="24"/>
          <w:szCs w:val="24"/>
        </w:rPr>
        <w:t>Chihombe</w:t>
      </w:r>
      <w:proofErr w:type="spellEnd"/>
      <w:r>
        <w:rPr>
          <w:rFonts w:asciiTheme="majorHAnsi" w:hAnsiTheme="majorHAnsi"/>
          <w:b/>
          <w:sz w:val="24"/>
          <w:szCs w:val="24"/>
        </w:rPr>
        <w:t>, Unionist</w:t>
      </w:r>
    </w:p>
    <w:p w:rsidR="00FB13D5" w:rsidRDefault="00FB13D5"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For Respondents</w:t>
      </w:r>
      <w:r>
        <w:rPr>
          <w:rFonts w:asciiTheme="majorHAnsi" w:hAnsiTheme="majorHAnsi"/>
          <w:b/>
          <w:sz w:val="24"/>
          <w:szCs w:val="24"/>
        </w:rPr>
        <w:tab/>
      </w:r>
      <w:r>
        <w:rPr>
          <w:rFonts w:asciiTheme="majorHAnsi" w:hAnsiTheme="majorHAnsi"/>
          <w:b/>
          <w:sz w:val="24"/>
          <w:szCs w:val="24"/>
        </w:rPr>
        <w:tab/>
        <w:t>G Makings, Attorney</w:t>
      </w:r>
    </w:p>
    <w:p w:rsidR="00FB13D5" w:rsidRDefault="00FB13D5"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b/>
          <w:sz w:val="24"/>
          <w:szCs w:val="24"/>
        </w:rPr>
      </w:pPr>
      <w:r>
        <w:rPr>
          <w:rFonts w:asciiTheme="majorHAnsi" w:hAnsiTheme="majorHAnsi"/>
          <w:b/>
          <w:sz w:val="24"/>
          <w:szCs w:val="24"/>
        </w:rPr>
        <w:t>MUSARIRI J:</w:t>
      </w:r>
    </w:p>
    <w:p w:rsidR="00FB13D5" w:rsidRDefault="00FB13D5" w:rsidP="00FB13D5">
      <w:pPr>
        <w:spacing w:after="0" w:line="360" w:lineRule="auto"/>
        <w:jc w:val="both"/>
        <w:rPr>
          <w:rFonts w:asciiTheme="majorHAnsi" w:hAnsiTheme="majorHAnsi"/>
          <w:b/>
          <w:sz w:val="24"/>
          <w:szCs w:val="24"/>
        </w:rPr>
      </w:pPr>
    </w:p>
    <w:p w:rsidR="00FB13D5" w:rsidRDefault="00FB13D5" w:rsidP="00FB13D5">
      <w:pPr>
        <w:spacing w:after="0"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Applicant applied for the review and reversal of 2</w:t>
      </w:r>
      <w:r w:rsidRPr="00FB13D5">
        <w:rPr>
          <w:rFonts w:asciiTheme="majorHAnsi" w:hAnsiTheme="majorHAnsi"/>
          <w:sz w:val="24"/>
          <w:szCs w:val="24"/>
          <w:vertAlign w:val="superscript"/>
        </w:rPr>
        <w:t>nd</w:t>
      </w:r>
      <w:r>
        <w:rPr>
          <w:rFonts w:asciiTheme="majorHAnsi" w:hAnsiTheme="majorHAnsi"/>
          <w:sz w:val="24"/>
          <w:szCs w:val="24"/>
        </w:rPr>
        <w:t xml:space="preserve"> respondent’s determination date-stamped 20 March 2015.  Respondent/s opposed the application.  The determination is filed of record.  In the main it endorsed the “exemption agreement” between the employer (</w:t>
      </w:r>
      <w:proofErr w:type="spellStart"/>
      <w:r>
        <w:rPr>
          <w:rFonts w:asciiTheme="majorHAnsi" w:hAnsiTheme="majorHAnsi"/>
          <w:sz w:val="24"/>
          <w:szCs w:val="24"/>
        </w:rPr>
        <w:t>Peterhouse</w:t>
      </w:r>
      <w:proofErr w:type="spellEnd"/>
      <w:r>
        <w:rPr>
          <w:rFonts w:asciiTheme="majorHAnsi" w:hAnsiTheme="majorHAnsi"/>
          <w:sz w:val="24"/>
          <w:szCs w:val="24"/>
        </w:rPr>
        <w:t xml:space="preserve">) and 129 employees wherein </w:t>
      </w:r>
      <w:r w:rsidR="00C25583">
        <w:rPr>
          <w:rFonts w:asciiTheme="majorHAnsi" w:hAnsiTheme="majorHAnsi"/>
          <w:sz w:val="24"/>
          <w:szCs w:val="24"/>
        </w:rPr>
        <w:t xml:space="preserve">the </w:t>
      </w:r>
      <w:r>
        <w:rPr>
          <w:rFonts w:asciiTheme="majorHAnsi" w:hAnsiTheme="majorHAnsi"/>
          <w:sz w:val="24"/>
          <w:szCs w:val="24"/>
        </w:rPr>
        <w:t>parties agreed to waive stipulated wages.</w:t>
      </w:r>
    </w:p>
    <w:p w:rsidR="00FB13D5" w:rsidRDefault="00FB13D5" w:rsidP="00FB13D5">
      <w:pPr>
        <w:spacing w:after="0" w:line="360" w:lineRule="auto"/>
        <w:jc w:val="both"/>
        <w:rPr>
          <w:rFonts w:asciiTheme="majorHAnsi" w:hAnsiTheme="majorHAnsi"/>
          <w:sz w:val="24"/>
          <w:szCs w:val="24"/>
        </w:rPr>
      </w:pPr>
      <w:r>
        <w:rPr>
          <w:rFonts w:asciiTheme="majorHAnsi" w:hAnsiTheme="majorHAnsi"/>
          <w:sz w:val="24"/>
          <w:szCs w:val="24"/>
        </w:rPr>
        <w:t>Four (4) grounds for review were listed.  The 4</w:t>
      </w:r>
      <w:r w:rsidRPr="00FB13D5">
        <w:rPr>
          <w:rFonts w:asciiTheme="majorHAnsi" w:hAnsiTheme="majorHAnsi"/>
          <w:sz w:val="24"/>
          <w:szCs w:val="24"/>
          <w:vertAlign w:val="superscript"/>
        </w:rPr>
        <w:t>th</w:t>
      </w:r>
      <w:r>
        <w:rPr>
          <w:rFonts w:asciiTheme="majorHAnsi" w:hAnsiTheme="majorHAnsi"/>
          <w:sz w:val="24"/>
          <w:szCs w:val="24"/>
        </w:rPr>
        <w:t xml:space="preserve"> ground</w:t>
      </w:r>
      <w:r w:rsidR="009E75BE">
        <w:rPr>
          <w:rFonts w:asciiTheme="majorHAnsi" w:hAnsiTheme="majorHAnsi"/>
          <w:sz w:val="24"/>
          <w:szCs w:val="24"/>
        </w:rPr>
        <w:t xml:space="preserve"> complained about proceedings followed by the NEC.  The complaints were not specified in the application.  Neither were they specified, let alone pursued, in oral argument.  The 3</w:t>
      </w:r>
      <w:r w:rsidR="009E75BE" w:rsidRPr="009E75BE">
        <w:rPr>
          <w:rFonts w:asciiTheme="majorHAnsi" w:hAnsiTheme="majorHAnsi"/>
          <w:sz w:val="24"/>
          <w:szCs w:val="24"/>
          <w:vertAlign w:val="superscript"/>
        </w:rPr>
        <w:t>rd</w:t>
      </w:r>
      <w:r w:rsidR="009E75BE">
        <w:rPr>
          <w:rFonts w:asciiTheme="majorHAnsi" w:hAnsiTheme="majorHAnsi"/>
          <w:sz w:val="24"/>
          <w:szCs w:val="24"/>
        </w:rPr>
        <w:t xml:space="preserve"> ground attacked</w:t>
      </w:r>
      <w:r w:rsidR="00C25583">
        <w:rPr>
          <w:rFonts w:asciiTheme="majorHAnsi" w:hAnsiTheme="majorHAnsi"/>
          <w:sz w:val="24"/>
          <w:szCs w:val="24"/>
        </w:rPr>
        <w:t xml:space="preserve"> the</w:t>
      </w:r>
      <w:r w:rsidR="009E75BE">
        <w:rPr>
          <w:rFonts w:asciiTheme="majorHAnsi" w:hAnsiTheme="majorHAnsi"/>
          <w:sz w:val="24"/>
          <w:szCs w:val="24"/>
        </w:rPr>
        <w:t xml:space="preserve"> way in which the exemption agreement came into being.  This occurred before referral to the NEC.  It does not deal with the conduct </w:t>
      </w:r>
      <w:r w:rsidR="00C25583">
        <w:rPr>
          <w:rFonts w:asciiTheme="majorHAnsi" w:hAnsiTheme="majorHAnsi"/>
          <w:sz w:val="24"/>
          <w:szCs w:val="24"/>
        </w:rPr>
        <w:t xml:space="preserve">of </w:t>
      </w:r>
      <w:r w:rsidR="009E75BE">
        <w:rPr>
          <w:rFonts w:asciiTheme="majorHAnsi" w:hAnsiTheme="majorHAnsi"/>
          <w:sz w:val="24"/>
          <w:szCs w:val="24"/>
        </w:rPr>
        <w:t xml:space="preserve">or </w:t>
      </w:r>
      <w:r w:rsidR="00C25583">
        <w:rPr>
          <w:rFonts w:asciiTheme="majorHAnsi" w:hAnsiTheme="majorHAnsi"/>
          <w:sz w:val="24"/>
          <w:szCs w:val="24"/>
        </w:rPr>
        <w:t xml:space="preserve">the </w:t>
      </w:r>
      <w:r w:rsidR="009E75BE">
        <w:rPr>
          <w:rFonts w:asciiTheme="majorHAnsi" w:hAnsiTheme="majorHAnsi"/>
          <w:sz w:val="24"/>
          <w:szCs w:val="24"/>
        </w:rPr>
        <w:t xml:space="preserve">determination </w:t>
      </w:r>
      <w:r w:rsidR="00C25583">
        <w:rPr>
          <w:rFonts w:asciiTheme="majorHAnsi" w:hAnsiTheme="majorHAnsi"/>
          <w:sz w:val="24"/>
          <w:szCs w:val="24"/>
        </w:rPr>
        <w:t>by</w:t>
      </w:r>
      <w:r w:rsidR="009E75BE">
        <w:rPr>
          <w:rFonts w:asciiTheme="majorHAnsi" w:hAnsiTheme="majorHAnsi"/>
          <w:sz w:val="24"/>
          <w:szCs w:val="24"/>
        </w:rPr>
        <w:t xml:space="preserve"> the NEC.  The </w:t>
      </w:r>
      <w:r w:rsidR="009E75BE">
        <w:rPr>
          <w:rFonts w:asciiTheme="majorHAnsi" w:hAnsiTheme="majorHAnsi"/>
          <w:sz w:val="24"/>
          <w:szCs w:val="24"/>
        </w:rPr>
        <w:lastRenderedPageBreak/>
        <w:t>1</w:t>
      </w:r>
      <w:r w:rsidR="009E75BE" w:rsidRPr="009E75BE">
        <w:rPr>
          <w:rFonts w:asciiTheme="majorHAnsi" w:hAnsiTheme="majorHAnsi"/>
          <w:sz w:val="24"/>
          <w:szCs w:val="24"/>
          <w:vertAlign w:val="superscript"/>
        </w:rPr>
        <w:t>st</w:t>
      </w:r>
      <w:r w:rsidR="009E75BE">
        <w:rPr>
          <w:rFonts w:asciiTheme="majorHAnsi" w:hAnsiTheme="majorHAnsi"/>
          <w:sz w:val="24"/>
          <w:szCs w:val="24"/>
        </w:rPr>
        <w:t xml:space="preserve"> and 2</w:t>
      </w:r>
      <w:r w:rsidR="009E75BE" w:rsidRPr="009E75BE">
        <w:rPr>
          <w:rFonts w:asciiTheme="majorHAnsi" w:hAnsiTheme="majorHAnsi"/>
          <w:sz w:val="24"/>
          <w:szCs w:val="24"/>
          <w:vertAlign w:val="superscript"/>
        </w:rPr>
        <w:t>nd</w:t>
      </w:r>
      <w:r w:rsidR="009E75BE">
        <w:rPr>
          <w:rFonts w:asciiTheme="majorHAnsi" w:hAnsiTheme="majorHAnsi"/>
          <w:sz w:val="24"/>
          <w:szCs w:val="24"/>
        </w:rPr>
        <w:t xml:space="preserve"> grounds</w:t>
      </w:r>
      <w:r w:rsidR="00C25583">
        <w:rPr>
          <w:rFonts w:asciiTheme="majorHAnsi" w:hAnsiTheme="majorHAnsi"/>
          <w:sz w:val="24"/>
          <w:szCs w:val="24"/>
        </w:rPr>
        <w:t xml:space="preserve"> averred that the</w:t>
      </w:r>
      <w:r w:rsidR="009E75BE">
        <w:rPr>
          <w:rFonts w:asciiTheme="majorHAnsi" w:hAnsiTheme="majorHAnsi"/>
          <w:sz w:val="24"/>
          <w:szCs w:val="24"/>
        </w:rPr>
        <w:t xml:space="preserve"> agreement violated provisions of the </w:t>
      </w:r>
      <w:r w:rsidR="009E75BE" w:rsidRPr="009E75BE">
        <w:rPr>
          <w:rFonts w:asciiTheme="majorHAnsi" w:hAnsiTheme="majorHAnsi"/>
          <w:sz w:val="24"/>
          <w:szCs w:val="24"/>
          <w:u w:val="single"/>
        </w:rPr>
        <w:t>Labour Act</w:t>
      </w:r>
      <w:r w:rsidR="009E75BE">
        <w:rPr>
          <w:rFonts w:asciiTheme="majorHAnsi" w:hAnsiTheme="majorHAnsi"/>
          <w:sz w:val="24"/>
          <w:szCs w:val="24"/>
        </w:rPr>
        <w:t xml:space="preserve"> [Chapter 28:01] (hereafter called the Act).</w:t>
      </w:r>
    </w:p>
    <w:p w:rsidR="006667C8" w:rsidRDefault="006667C8" w:rsidP="00FB13D5">
      <w:pPr>
        <w:spacing w:after="0" w:line="360" w:lineRule="auto"/>
        <w:jc w:val="both"/>
        <w:rPr>
          <w:rFonts w:asciiTheme="majorHAnsi" w:hAnsiTheme="majorHAnsi"/>
          <w:sz w:val="24"/>
          <w:szCs w:val="24"/>
        </w:rPr>
      </w:pPr>
    </w:p>
    <w:p w:rsidR="006667C8" w:rsidRDefault="006667C8" w:rsidP="00FB13D5">
      <w:pPr>
        <w:spacing w:after="0" w:line="360" w:lineRule="auto"/>
        <w:jc w:val="both"/>
        <w:rPr>
          <w:rFonts w:asciiTheme="majorHAnsi" w:hAnsiTheme="majorHAnsi"/>
          <w:sz w:val="24"/>
          <w:szCs w:val="24"/>
        </w:rPr>
      </w:pPr>
      <w:r>
        <w:rPr>
          <w:rFonts w:asciiTheme="majorHAnsi" w:hAnsiTheme="majorHAnsi"/>
          <w:sz w:val="24"/>
          <w:szCs w:val="24"/>
        </w:rPr>
        <w:tab/>
        <w:t>It was alleged that the agreement violated section 6 (1) (a) of the Act.  The section provides that,</w:t>
      </w:r>
    </w:p>
    <w:p w:rsidR="006667C8" w:rsidRPr="005005EC" w:rsidRDefault="006667C8" w:rsidP="00FB13D5">
      <w:pPr>
        <w:spacing w:after="0" w:line="360" w:lineRule="auto"/>
        <w:jc w:val="both"/>
        <w:rPr>
          <w:rFonts w:asciiTheme="majorHAnsi" w:hAnsiTheme="majorHAnsi"/>
          <w:sz w:val="20"/>
          <w:szCs w:val="20"/>
        </w:rPr>
      </w:pPr>
      <w:r>
        <w:rPr>
          <w:rFonts w:asciiTheme="majorHAnsi" w:hAnsiTheme="majorHAnsi"/>
          <w:sz w:val="24"/>
          <w:szCs w:val="24"/>
        </w:rPr>
        <w:tab/>
      </w:r>
      <w:r>
        <w:rPr>
          <w:rFonts w:asciiTheme="majorHAnsi" w:hAnsiTheme="majorHAnsi"/>
          <w:sz w:val="24"/>
          <w:szCs w:val="24"/>
        </w:rPr>
        <w:tab/>
      </w:r>
      <w:r w:rsidRPr="005005EC">
        <w:rPr>
          <w:rFonts w:asciiTheme="majorHAnsi" w:hAnsiTheme="majorHAnsi"/>
          <w:sz w:val="20"/>
          <w:szCs w:val="20"/>
        </w:rPr>
        <w:t>“(1) No employer shall-</w:t>
      </w:r>
    </w:p>
    <w:p w:rsidR="006667C8" w:rsidRPr="005005EC" w:rsidRDefault="006667C8" w:rsidP="006667C8">
      <w:pPr>
        <w:pStyle w:val="ListParagraph"/>
        <w:numPr>
          <w:ilvl w:val="0"/>
          <w:numId w:val="1"/>
        </w:numPr>
        <w:spacing w:after="0" w:line="240" w:lineRule="auto"/>
        <w:jc w:val="both"/>
        <w:rPr>
          <w:rFonts w:asciiTheme="majorHAnsi" w:hAnsiTheme="majorHAnsi"/>
          <w:sz w:val="20"/>
          <w:szCs w:val="20"/>
        </w:rPr>
      </w:pPr>
      <w:r w:rsidRPr="005005EC">
        <w:rPr>
          <w:rFonts w:asciiTheme="majorHAnsi" w:hAnsiTheme="majorHAnsi"/>
          <w:sz w:val="20"/>
          <w:szCs w:val="20"/>
        </w:rPr>
        <w:t xml:space="preserve">Pay any employee a wage which is lower than that to fair labour specified </w:t>
      </w:r>
      <w:r w:rsidR="00C25583">
        <w:rPr>
          <w:rFonts w:asciiTheme="majorHAnsi" w:hAnsiTheme="majorHAnsi"/>
          <w:sz w:val="20"/>
          <w:szCs w:val="20"/>
        </w:rPr>
        <w:t xml:space="preserve">for such employee by law or by </w:t>
      </w:r>
      <w:r w:rsidR="00C25583" w:rsidRPr="00C25583">
        <w:rPr>
          <w:rFonts w:asciiTheme="majorHAnsi" w:hAnsiTheme="majorHAnsi"/>
          <w:sz w:val="20"/>
          <w:szCs w:val="20"/>
          <w:u w:val="single"/>
        </w:rPr>
        <w:t>agreement</w:t>
      </w:r>
      <w:r w:rsidRPr="005005EC">
        <w:rPr>
          <w:rFonts w:asciiTheme="majorHAnsi" w:hAnsiTheme="majorHAnsi"/>
          <w:sz w:val="20"/>
          <w:szCs w:val="20"/>
        </w:rPr>
        <w:t xml:space="preserve"> under this Act,” [The underlining is for emphasis.]</w:t>
      </w:r>
    </w:p>
    <w:p w:rsidR="006667C8" w:rsidRDefault="006667C8" w:rsidP="006667C8">
      <w:pPr>
        <w:pStyle w:val="ListParagraph"/>
        <w:spacing w:after="0" w:line="240" w:lineRule="auto"/>
        <w:ind w:left="1800"/>
        <w:jc w:val="both"/>
        <w:rPr>
          <w:rFonts w:asciiTheme="majorHAnsi" w:hAnsiTheme="majorHAnsi"/>
        </w:rPr>
      </w:pPr>
    </w:p>
    <w:p w:rsidR="006667C8" w:rsidRDefault="006667C8" w:rsidP="006667C8">
      <w:pPr>
        <w:spacing w:after="0" w:line="240" w:lineRule="auto"/>
        <w:jc w:val="both"/>
        <w:rPr>
          <w:rFonts w:asciiTheme="majorHAnsi" w:hAnsiTheme="majorHAnsi"/>
        </w:rPr>
      </w:pPr>
    </w:p>
    <w:p w:rsidR="006667C8" w:rsidRDefault="006667C8" w:rsidP="006667C8">
      <w:pPr>
        <w:spacing w:after="0" w:line="360" w:lineRule="auto"/>
        <w:ind w:left="720"/>
        <w:jc w:val="both"/>
        <w:rPr>
          <w:rFonts w:asciiTheme="majorHAnsi" w:hAnsiTheme="majorHAnsi"/>
          <w:sz w:val="24"/>
          <w:szCs w:val="24"/>
        </w:rPr>
      </w:pPr>
      <w:r>
        <w:rPr>
          <w:rFonts w:asciiTheme="majorHAnsi" w:hAnsiTheme="majorHAnsi"/>
          <w:sz w:val="24"/>
          <w:szCs w:val="24"/>
        </w:rPr>
        <w:t xml:space="preserve">The wages in question were set out under a Collective Bargaining Agreement </w:t>
      </w:r>
    </w:p>
    <w:p w:rsidR="006667C8" w:rsidRDefault="006667C8" w:rsidP="006667C8">
      <w:pPr>
        <w:spacing w:after="0" w:line="360" w:lineRule="auto"/>
        <w:jc w:val="both"/>
        <w:rPr>
          <w:rFonts w:asciiTheme="majorHAnsi" w:hAnsiTheme="majorHAnsi"/>
          <w:sz w:val="24"/>
          <w:szCs w:val="24"/>
        </w:rPr>
      </w:pPr>
      <w:r>
        <w:rPr>
          <w:rFonts w:asciiTheme="majorHAnsi" w:hAnsiTheme="majorHAnsi"/>
          <w:sz w:val="24"/>
          <w:szCs w:val="24"/>
        </w:rPr>
        <w:t>(CBA)</w:t>
      </w:r>
      <w:r w:rsidR="00C25583">
        <w:rPr>
          <w:rFonts w:asciiTheme="majorHAnsi" w:hAnsiTheme="majorHAnsi"/>
          <w:sz w:val="24"/>
          <w:szCs w:val="24"/>
        </w:rPr>
        <w:t xml:space="preserve"> </w:t>
      </w:r>
      <w:proofErr w:type="gramStart"/>
      <w:r w:rsidR="00C25583">
        <w:rPr>
          <w:rFonts w:asciiTheme="majorHAnsi" w:hAnsiTheme="majorHAnsi"/>
          <w:sz w:val="24"/>
          <w:szCs w:val="24"/>
        </w:rPr>
        <w:t>S.I. 102/14.</w:t>
      </w:r>
      <w:proofErr w:type="gramEnd"/>
      <w:r w:rsidR="00C25583">
        <w:rPr>
          <w:rFonts w:asciiTheme="majorHAnsi" w:hAnsiTheme="majorHAnsi"/>
          <w:sz w:val="24"/>
          <w:szCs w:val="24"/>
        </w:rPr>
        <w:t xml:space="preserve">  Section 5 of the CBA </w:t>
      </w:r>
      <w:r>
        <w:rPr>
          <w:rFonts w:asciiTheme="majorHAnsi" w:hAnsiTheme="majorHAnsi"/>
          <w:sz w:val="24"/>
          <w:szCs w:val="24"/>
        </w:rPr>
        <w:t xml:space="preserve">empowers the NEC to exempt payment of prescribed wages upon application.   </w:t>
      </w:r>
      <w:r w:rsidR="005005EC">
        <w:rPr>
          <w:rFonts w:asciiTheme="majorHAnsi" w:hAnsiTheme="majorHAnsi"/>
          <w:sz w:val="24"/>
          <w:szCs w:val="24"/>
        </w:rPr>
        <w:t xml:space="preserve">Apparently </w:t>
      </w:r>
      <w:r>
        <w:rPr>
          <w:rFonts w:asciiTheme="majorHAnsi" w:hAnsiTheme="majorHAnsi"/>
          <w:sz w:val="24"/>
          <w:szCs w:val="24"/>
        </w:rPr>
        <w:t xml:space="preserve">this is what happened </w:t>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The employer and employees agreed on the exemption.  The employer applied to the NEC for exemption relying on the agreement.  The NEC granted the exemption.  Thus the exemption was granted in terms of the CBA.  That is consistent with the provision of the afore-quoted section 6 (1) (a)</w:t>
      </w:r>
      <w:r w:rsidR="005005EC">
        <w:rPr>
          <w:rFonts w:asciiTheme="majorHAnsi" w:hAnsiTheme="majorHAnsi"/>
          <w:sz w:val="24"/>
          <w:szCs w:val="24"/>
        </w:rPr>
        <w:t xml:space="preserve"> </w:t>
      </w:r>
      <w:r>
        <w:rPr>
          <w:rFonts w:asciiTheme="majorHAnsi" w:hAnsiTheme="majorHAnsi"/>
          <w:sz w:val="24"/>
          <w:szCs w:val="24"/>
        </w:rPr>
        <w:t>of the Act.</w:t>
      </w:r>
    </w:p>
    <w:p w:rsidR="006667C8" w:rsidRDefault="006667C8" w:rsidP="006667C8">
      <w:pPr>
        <w:spacing w:after="0" w:line="360" w:lineRule="auto"/>
        <w:jc w:val="both"/>
        <w:rPr>
          <w:rFonts w:asciiTheme="majorHAnsi" w:hAnsiTheme="majorHAnsi"/>
          <w:sz w:val="24"/>
          <w:szCs w:val="24"/>
        </w:rPr>
      </w:pPr>
    </w:p>
    <w:p w:rsidR="006667C8" w:rsidRDefault="006667C8" w:rsidP="006667C8">
      <w:pPr>
        <w:spacing w:after="0" w:line="360" w:lineRule="auto"/>
        <w:jc w:val="both"/>
        <w:rPr>
          <w:rFonts w:asciiTheme="majorHAnsi" w:hAnsiTheme="majorHAnsi"/>
          <w:sz w:val="24"/>
          <w:szCs w:val="24"/>
        </w:rPr>
      </w:pPr>
      <w:r>
        <w:rPr>
          <w:rFonts w:asciiTheme="majorHAnsi" w:hAnsiTheme="majorHAnsi"/>
          <w:sz w:val="24"/>
          <w:szCs w:val="24"/>
        </w:rPr>
        <w:tab/>
        <w:t xml:space="preserve">It was also argued that NEC ignored </w:t>
      </w:r>
      <w:r w:rsidR="00C25583">
        <w:rPr>
          <w:rFonts w:asciiTheme="majorHAnsi" w:hAnsiTheme="majorHAnsi"/>
          <w:sz w:val="24"/>
          <w:szCs w:val="24"/>
        </w:rPr>
        <w:t xml:space="preserve">the </w:t>
      </w:r>
      <w:r>
        <w:rPr>
          <w:rFonts w:asciiTheme="majorHAnsi" w:hAnsiTheme="majorHAnsi"/>
          <w:sz w:val="24"/>
          <w:szCs w:val="24"/>
        </w:rPr>
        <w:t>binding nature of CBA</w:t>
      </w:r>
      <w:r w:rsidR="005005EC">
        <w:rPr>
          <w:rFonts w:asciiTheme="majorHAnsi" w:hAnsiTheme="majorHAnsi"/>
          <w:sz w:val="24"/>
          <w:szCs w:val="24"/>
        </w:rPr>
        <w:t>s as per section 82 (1) (a) of the Act.</w:t>
      </w:r>
    </w:p>
    <w:p w:rsidR="005005EC" w:rsidRDefault="005005EC" w:rsidP="006667C8">
      <w:pPr>
        <w:spacing w:after="0" w:line="360" w:lineRule="auto"/>
        <w:jc w:val="both"/>
        <w:rPr>
          <w:rFonts w:asciiTheme="majorHAnsi" w:hAnsiTheme="majorHAnsi"/>
          <w:sz w:val="24"/>
          <w:szCs w:val="24"/>
        </w:rPr>
      </w:pPr>
      <w:r>
        <w:rPr>
          <w:rFonts w:asciiTheme="majorHAnsi" w:hAnsiTheme="majorHAnsi"/>
          <w:sz w:val="24"/>
          <w:szCs w:val="24"/>
        </w:rPr>
        <w:t>The section provides that,</w:t>
      </w:r>
    </w:p>
    <w:p w:rsidR="005005EC" w:rsidRDefault="005005EC" w:rsidP="006667C8">
      <w:pPr>
        <w:spacing w:after="0" w:line="360" w:lineRule="auto"/>
        <w:jc w:val="both"/>
        <w:rPr>
          <w:rFonts w:asciiTheme="majorHAnsi" w:hAnsiTheme="majorHAnsi"/>
          <w:sz w:val="20"/>
          <w:szCs w:val="20"/>
        </w:rPr>
      </w:pPr>
      <w:r>
        <w:rPr>
          <w:rFonts w:asciiTheme="majorHAnsi" w:hAnsiTheme="majorHAnsi"/>
          <w:sz w:val="24"/>
          <w:szCs w:val="24"/>
        </w:rPr>
        <w:tab/>
      </w:r>
      <w:r>
        <w:rPr>
          <w:rFonts w:asciiTheme="majorHAnsi" w:hAnsiTheme="majorHAnsi"/>
          <w:sz w:val="24"/>
          <w:szCs w:val="24"/>
        </w:rPr>
        <w:tab/>
      </w:r>
      <w:r>
        <w:rPr>
          <w:rFonts w:asciiTheme="majorHAnsi" w:hAnsiTheme="majorHAnsi"/>
          <w:sz w:val="20"/>
          <w:szCs w:val="20"/>
        </w:rPr>
        <w:t>“(1) Where a collective bargaining agreement has been registered it shall-</w:t>
      </w:r>
    </w:p>
    <w:p w:rsidR="005005EC" w:rsidRPr="005005EC" w:rsidRDefault="005005EC" w:rsidP="005005EC">
      <w:pPr>
        <w:pStyle w:val="ListParagraph"/>
        <w:numPr>
          <w:ilvl w:val="0"/>
          <w:numId w:val="2"/>
        </w:numPr>
        <w:spacing w:after="0" w:line="240" w:lineRule="auto"/>
        <w:jc w:val="both"/>
        <w:rPr>
          <w:rFonts w:asciiTheme="majorHAnsi" w:hAnsiTheme="majorHAnsi"/>
          <w:sz w:val="20"/>
          <w:szCs w:val="20"/>
        </w:rPr>
      </w:pPr>
      <w:r>
        <w:rPr>
          <w:rFonts w:asciiTheme="majorHAnsi" w:hAnsiTheme="majorHAnsi"/>
          <w:sz w:val="20"/>
          <w:szCs w:val="20"/>
        </w:rPr>
        <w:t>w</w:t>
      </w:r>
      <w:r w:rsidRPr="005005EC">
        <w:rPr>
          <w:rFonts w:asciiTheme="majorHAnsi" w:hAnsiTheme="majorHAnsi"/>
          <w:sz w:val="20"/>
          <w:szCs w:val="20"/>
        </w:rPr>
        <w:t>ith effect from the date of its publication in terms of section eighty-five, …, be binding on the parties to the agreement, and all employer, contractors</w:t>
      </w:r>
      <w:r>
        <w:rPr>
          <w:rFonts w:asciiTheme="majorHAnsi" w:hAnsiTheme="majorHAnsi"/>
          <w:sz w:val="20"/>
          <w:szCs w:val="20"/>
        </w:rPr>
        <w:t xml:space="preserve"> and their </w:t>
      </w:r>
      <w:r w:rsidRPr="005005EC">
        <w:rPr>
          <w:rFonts w:asciiTheme="majorHAnsi" w:hAnsiTheme="majorHAnsi"/>
          <w:sz w:val="20"/>
          <w:szCs w:val="20"/>
        </w:rPr>
        <w:tab/>
      </w:r>
      <w:r>
        <w:rPr>
          <w:rFonts w:asciiTheme="majorHAnsi" w:hAnsiTheme="majorHAnsi"/>
          <w:sz w:val="20"/>
          <w:szCs w:val="20"/>
        </w:rPr>
        <w:t xml:space="preserve"> respective employees in the undertaking or industry to which the agreement relates;”</w:t>
      </w:r>
      <w:r w:rsidRPr="005005EC">
        <w:rPr>
          <w:rFonts w:asciiTheme="majorHAnsi" w:hAnsiTheme="majorHAnsi"/>
          <w:sz w:val="20"/>
          <w:szCs w:val="20"/>
        </w:rPr>
        <w:tab/>
      </w:r>
    </w:p>
    <w:p w:rsidR="009E75BE" w:rsidRDefault="009E75BE" w:rsidP="00FB13D5">
      <w:pPr>
        <w:spacing w:after="0" w:line="360" w:lineRule="auto"/>
        <w:jc w:val="both"/>
        <w:rPr>
          <w:rFonts w:asciiTheme="majorHAnsi" w:hAnsiTheme="majorHAnsi"/>
          <w:sz w:val="24"/>
          <w:szCs w:val="24"/>
        </w:rPr>
      </w:pPr>
    </w:p>
    <w:p w:rsidR="005005EC" w:rsidRDefault="005005EC" w:rsidP="00B27430">
      <w:pPr>
        <w:spacing w:after="0" w:line="360" w:lineRule="auto"/>
        <w:ind w:left="720"/>
        <w:jc w:val="both"/>
        <w:rPr>
          <w:rFonts w:asciiTheme="majorHAnsi" w:hAnsiTheme="majorHAnsi"/>
          <w:sz w:val="24"/>
          <w:szCs w:val="24"/>
        </w:rPr>
      </w:pPr>
      <w:r>
        <w:rPr>
          <w:rFonts w:asciiTheme="majorHAnsi" w:hAnsiTheme="majorHAnsi"/>
          <w:sz w:val="24"/>
          <w:szCs w:val="24"/>
        </w:rPr>
        <w:t>This provision does not impugn the exemption</w:t>
      </w:r>
      <w:r w:rsidR="00C25583">
        <w:rPr>
          <w:rFonts w:asciiTheme="majorHAnsi" w:hAnsiTheme="majorHAnsi"/>
          <w:sz w:val="24"/>
          <w:szCs w:val="24"/>
        </w:rPr>
        <w:t xml:space="preserve"> agreement</w:t>
      </w:r>
      <w:r w:rsidR="00B27430">
        <w:rPr>
          <w:rFonts w:asciiTheme="majorHAnsi" w:hAnsiTheme="majorHAnsi"/>
          <w:sz w:val="24"/>
          <w:szCs w:val="24"/>
        </w:rPr>
        <w:t xml:space="preserve">.  It underscores the </w:t>
      </w:r>
    </w:p>
    <w:p w:rsidR="00B27430" w:rsidRDefault="00B27430" w:rsidP="00B27430">
      <w:pPr>
        <w:spacing w:after="0" w:line="360" w:lineRule="auto"/>
        <w:jc w:val="both"/>
        <w:rPr>
          <w:rFonts w:asciiTheme="majorHAnsi" w:hAnsiTheme="majorHAnsi"/>
          <w:sz w:val="24"/>
          <w:szCs w:val="24"/>
        </w:rPr>
      </w:pPr>
      <w:proofErr w:type="gramStart"/>
      <w:r>
        <w:rPr>
          <w:rFonts w:asciiTheme="majorHAnsi" w:hAnsiTheme="majorHAnsi"/>
          <w:sz w:val="24"/>
          <w:szCs w:val="24"/>
        </w:rPr>
        <w:t>importance</w:t>
      </w:r>
      <w:proofErr w:type="gramEnd"/>
      <w:r>
        <w:rPr>
          <w:rFonts w:asciiTheme="majorHAnsi" w:hAnsiTheme="majorHAnsi"/>
          <w:sz w:val="24"/>
          <w:szCs w:val="24"/>
        </w:rPr>
        <w:t xml:space="preserve"> of the CBA.  However what respondent either ignored or underplayed is that it is </w:t>
      </w:r>
      <w:r w:rsidRPr="00C25583">
        <w:rPr>
          <w:rFonts w:asciiTheme="majorHAnsi" w:hAnsiTheme="majorHAnsi"/>
          <w:sz w:val="24"/>
          <w:szCs w:val="24"/>
          <w:u w:val="single"/>
        </w:rPr>
        <w:t>their CBA</w:t>
      </w:r>
      <w:r>
        <w:rPr>
          <w:rFonts w:asciiTheme="majorHAnsi" w:hAnsiTheme="majorHAnsi"/>
          <w:sz w:val="24"/>
          <w:szCs w:val="24"/>
        </w:rPr>
        <w:t xml:space="preserve"> itself which provides for the exemption.  If the employees were unhappy with the manner in which they agreed to the exemption, they should have challenged the agreement directly.  They could not smuggle their challenge in the review proceedings against the NEC.  All in all I consider that no valid grounds for review were substantiated.</w:t>
      </w:r>
    </w:p>
    <w:p w:rsidR="00B27430" w:rsidRDefault="00B27430" w:rsidP="00B27430">
      <w:pPr>
        <w:spacing w:after="0" w:line="360" w:lineRule="auto"/>
        <w:jc w:val="both"/>
        <w:rPr>
          <w:rFonts w:asciiTheme="majorHAnsi" w:hAnsiTheme="majorHAnsi"/>
          <w:sz w:val="24"/>
          <w:szCs w:val="24"/>
        </w:rPr>
      </w:pPr>
    </w:p>
    <w:p w:rsidR="00B27430" w:rsidRDefault="00B27430" w:rsidP="00B27430">
      <w:pPr>
        <w:spacing w:after="0" w:line="360" w:lineRule="auto"/>
        <w:jc w:val="both"/>
        <w:rPr>
          <w:rFonts w:asciiTheme="majorHAnsi" w:hAnsiTheme="majorHAnsi"/>
          <w:sz w:val="24"/>
          <w:szCs w:val="24"/>
        </w:rPr>
      </w:pPr>
    </w:p>
    <w:p w:rsidR="005005EC" w:rsidRDefault="005005EC" w:rsidP="005005EC">
      <w:pPr>
        <w:spacing w:after="0" w:line="360" w:lineRule="auto"/>
        <w:jc w:val="both"/>
        <w:rPr>
          <w:rFonts w:asciiTheme="majorHAnsi" w:hAnsiTheme="majorHAnsi"/>
          <w:sz w:val="24"/>
          <w:szCs w:val="24"/>
        </w:rPr>
      </w:pPr>
    </w:p>
    <w:p w:rsidR="005005EC" w:rsidRDefault="005005EC" w:rsidP="005005EC">
      <w:pPr>
        <w:spacing w:after="0" w:line="360" w:lineRule="auto"/>
        <w:jc w:val="both"/>
        <w:rPr>
          <w:rFonts w:asciiTheme="majorHAnsi" w:hAnsiTheme="majorHAnsi"/>
          <w:sz w:val="24"/>
          <w:szCs w:val="24"/>
        </w:rPr>
      </w:pPr>
    </w:p>
    <w:p w:rsidR="005005EC" w:rsidRDefault="005005EC" w:rsidP="005005EC">
      <w:pPr>
        <w:spacing w:after="0" w:line="360" w:lineRule="auto"/>
        <w:jc w:val="both"/>
        <w:rPr>
          <w:rFonts w:asciiTheme="majorHAnsi" w:hAnsiTheme="majorHAnsi"/>
          <w:sz w:val="24"/>
          <w:szCs w:val="24"/>
        </w:rPr>
      </w:pPr>
    </w:p>
    <w:p w:rsidR="005005EC" w:rsidRDefault="005005EC" w:rsidP="005005EC">
      <w:pPr>
        <w:spacing w:after="0" w:line="360" w:lineRule="auto"/>
        <w:jc w:val="both"/>
        <w:rPr>
          <w:rFonts w:asciiTheme="majorHAnsi" w:hAnsiTheme="majorHAnsi"/>
          <w:b/>
          <w:sz w:val="24"/>
          <w:szCs w:val="24"/>
        </w:rPr>
      </w:pPr>
      <w:r>
        <w:rPr>
          <w:rFonts w:asciiTheme="majorHAnsi" w:hAnsiTheme="majorHAnsi"/>
          <w:b/>
          <w:sz w:val="24"/>
          <w:szCs w:val="24"/>
        </w:rPr>
        <w:t>Wherefore it is order that,</w:t>
      </w:r>
    </w:p>
    <w:p w:rsidR="005005EC" w:rsidRDefault="005005EC" w:rsidP="005005EC">
      <w:pPr>
        <w:spacing w:after="0" w:line="360" w:lineRule="auto"/>
        <w:jc w:val="both"/>
        <w:rPr>
          <w:rFonts w:asciiTheme="majorHAnsi" w:hAnsiTheme="majorHAnsi"/>
          <w:b/>
          <w:sz w:val="24"/>
          <w:szCs w:val="24"/>
        </w:rPr>
      </w:pPr>
    </w:p>
    <w:p w:rsidR="005005EC" w:rsidRDefault="005005EC" w:rsidP="005005EC">
      <w:pPr>
        <w:pStyle w:val="ListParagraph"/>
        <w:numPr>
          <w:ilvl w:val="0"/>
          <w:numId w:val="3"/>
        </w:numPr>
        <w:spacing w:after="0" w:line="360" w:lineRule="auto"/>
        <w:jc w:val="both"/>
        <w:rPr>
          <w:rFonts w:asciiTheme="majorHAnsi" w:hAnsiTheme="majorHAnsi"/>
          <w:b/>
          <w:sz w:val="24"/>
          <w:szCs w:val="24"/>
        </w:rPr>
      </w:pPr>
      <w:r>
        <w:rPr>
          <w:rFonts w:asciiTheme="majorHAnsi" w:hAnsiTheme="majorHAnsi"/>
          <w:b/>
          <w:sz w:val="24"/>
          <w:szCs w:val="24"/>
        </w:rPr>
        <w:t>The application for review be and is hereby dismissed; and</w:t>
      </w:r>
    </w:p>
    <w:p w:rsidR="003B416F" w:rsidRDefault="003B416F" w:rsidP="003B416F">
      <w:pPr>
        <w:pStyle w:val="ListParagraph"/>
        <w:spacing w:after="0" w:line="360" w:lineRule="auto"/>
        <w:jc w:val="both"/>
        <w:rPr>
          <w:rFonts w:asciiTheme="majorHAnsi" w:hAnsiTheme="majorHAnsi"/>
          <w:b/>
          <w:sz w:val="24"/>
          <w:szCs w:val="24"/>
        </w:rPr>
      </w:pPr>
    </w:p>
    <w:p w:rsidR="005005EC" w:rsidRPr="005005EC" w:rsidRDefault="005005EC" w:rsidP="005005EC">
      <w:pPr>
        <w:pStyle w:val="ListParagraph"/>
        <w:numPr>
          <w:ilvl w:val="0"/>
          <w:numId w:val="3"/>
        </w:numPr>
        <w:spacing w:after="0" w:line="360" w:lineRule="auto"/>
        <w:jc w:val="both"/>
        <w:rPr>
          <w:rFonts w:asciiTheme="majorHAnsi" w:hAnsiTheme="majorHAnsi"/>
          <w:b/>
          <w:sz w:val="24"/>
          <w:szCs w:val="24"/>
        </w:rPr>
      </w:pPr>
      <w:r>
        <w:rPr>
          <w:rFonts w:asciiTheme="majorHAnsi" w:hAnsiTheme="majorHAnsi"/>
          <w:b/>
          <w:sz w:val="24"/>
          <w:szCs w:val="24"/>
        </w:rPr>
        <w:t>Each party shall bear its own costs.</w:t>
      </w:r>
    </w:p>
    <w:p w:rsidR="005005EC" w:rsidRDefault="005005EC" w:rsidP="005005EC">
      <w:pPr>
        <w:spacing w:after="0" w:line="360" w:lineRule="auto"/>
        <w:jc w:val="both"/>
        <w:rPr>
          <w:rFonts w:asciiTheme="majorHAnsi" w:hAnsiTheme="majorHAnsi"/>
          <w:sz w:val="24"/>
          <w:szCs w:val="24"/>
        </w:rPr>
      </w:pPr>
    </w:p>
    <w:p w:rsidR="003B416F" w:rsidRDefault="003B416F" w:rsidP="005005EC">
      <w:pPr>
        <w:spacing w:after="0" w:line="360" w:lineRule="auto"/>
        <w:jc w:val="both"/>
        <w:rPr>
          <w:rFonts w:asciiTheme="majorHAnsi" w:hAnsiTheme="majorHAnsi"/>
          <w:sz w:val="24"/>
          <w:szCs w:val="24"/>
        </w:rPr>
      </w:pPr>
    </w:p>
    <w:p w:rsidR="003B416F" w:rsidRDefault="003B416F" w:rsidP="005005EC">
      <w:pPr>
        <w:spacing w:after="0" w:line="360" w:lineRule="auto"/>
        <w:jc w:val="both"/>
        <w:rPr>
          <w:rFonts w:asciiTheme="majorHAnsi" w:hAnsiTheme="majorHAnsi"/>
          <w:sz w:val="24"/>
          <w:szCs w:val="24"/>
        </w:rPr>
      </w:pPr>
    </w:p>
    <w:p w:rsidR="003B416F" w:rsidRPr="003B416F" w:rsidRDefault="003B416F" w:rsidP="003B416F">
      <w:pPr>
        <w:spacing w:after="0" w:line="360" w:lineRule="auto"/>
        <w:ind w:left="5040"/>
        <w:jc w:val="both"/>
        <w:rPr>
          <w:rFonts w:asciiTheme="majorHAnsi" w:hAnsiTheme="majorHAnsi"/>
          <w:b/>
          <w:sz w:val="24"/>
          <w:szCs w:val="24"/>
        </w:rPr>
      </w:pPr>
      <w:r w:rsidRPr="003B416F">
        <w:rPr>
          <w:rFonts w:asciiTheme="majorHAnsi" w:hAnsiTheme="majorHAnsi"/>
          <w:b/>
          <w:sz w:val="24"/>
          <w:szCs w:val="24"/>
        </w:rPr>
        <w:t>G MUSARIRI</w:t>
      </w:r>
    </w:p>
    <w:p w:rsidR="003B416F" w:rsidRPr="003B416F" w:rsidRDefault="003B416F" w:rsidP="003B416F">
      <w:pPr>
        <w:spacing w:after="0" w:line="360" w:lineRule="auto"/>
        <w:ind w:left="5040"/>
        <w:jc w:val="both"/>
        <w:rPr>
          <w:rFonts w:asciiTheme="majorHAnsi" w:hAnsiTheme="majorHAnsi"/>
          <w:b/>
          <w:sz w:val="24"/>
          <w:szCs w:val="24"/>
        </w:rPr>
      </w:pPr>
      <w:r w:rsidRPr="003B416F">
        <w:rPr>
          <w:rFonts w:asciiTheme="majorHAnsi" w:hAnsiTheme="majorHAnsi"/>
          <w:b/>
          <w:sz w:val="24"/>
          <w:szCs w:val="24"/>
        </w:rPr>
        <w:t>J U D G E</w:t>
      </w:r>
    </w:p>
    <w:sectPr w:rsidR="003B416F" w:rsidRPr="003B416F" w:rsidSect="009E75B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18" w:rsidRDefault="008C5018" w:rsidP="009E75BE">
      <w:pPr>
        <w:spacing w:after="0" w:line="240" w:lineRule="auto"/>
      </w:pPr>
      <w:r>
        <w:separator/>
      </w:r>
    </w:p>
  </w:endnote>
  <w:endnote w:type="continuationSeparator" w:id="0">
    <w:p w:rsidR="008C5018" w:rsidRDefault="008C5018" w:rsidP="009E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06078"/>
      <w:docPartObj>
        <w:docPartGallery w:val="Page Numbers (Bottom of Page)"/>
        <w:docPartUnique/>
      </w:docPartObj>
    </w:sdtPr>
    <w:sdtEndPr>
      <w:rPr>
        <w:noProof/>
      </w:rPr>
    </w:sdtEndPr>
    <w:sdtContent>
      <w:p w:rsidR="00C25583" w:rsidRDefault="00C25583">
        <w:pPr>
          <w:pStyle w:val="Footer"/>
          <w:jc w:val="right"/>
        </w:pPr>
        <w:r>
          <w:fldChar w:fldCharType="begin"/>
        </w:r>
        <w:r>
          <w:instrText xml:space="preserve"> PAGE   \* MERGEFORMAT </w:instrText>
        </w:r>
        <w:r>
          <w:fldChar w:fldCharType="separate"/>
        </w:r>
        <w:r w:rsidR="00F75C3D">
          <w:rPr>
            <w:noProof/>
          </w:rPr>
          <w:t>3</w:t>
        </w:r>
        <w:r>
          <w:rPr>
            <w:noProof/>
          </w:rPr>
          <w:fldChar w:fldCharType="end"/>
        </w:r>
      </w:p>
    </w:sdtContent>
  </w:sdt>
  <w:p w:rsidR="00C25583" w:rsidRDefault="00C25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18" w:rsidRDefault="008C5018" w:rsidP="009E75BE">
      <w:pPr>
        <w:spacing w:after="0" w:line="240" w:lineRule="auto"/>
      </w:pPr>
      <w:r>
        <w:separator/>
      </w:r>
    </w:p>
  </w:footnote>
  <w:footnote w:type="continuationSeparator" w:id="0">
    <w:p w:rsidR="008C5018" w:rsidRDefault="008C5018" w:rsidP="009E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BE" w:rsidRDefault="009E75BE" w:rsidP="009E75BE">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721B04">
      <w:rPr>
        <w:rFonts w:asciiTheme="majorHAnsi" w:hAnsiTheme="majorHAnsi"/>
        <w:b/>
        <w:sz w:val="24"/>
        <w:szCs w:val="24"/>
      </w:rPr>
      <w:t>734</w:t>
    </w:r>
    <w:r>
      <w:rPr>
        <w:rFonts w:asciiTheme="majorHAnsi" w:hAnsiTheme="majorHAnsi"/>
        <w:b/>
        <w:sz w:val="24"/>
        <w:szCs w:val="24"/>
      </w:rPr>
      <w:t>/16</w:t>
    </w:r>
  </w:p>
  <w:p w:rsidR="009E75BE" w:rsidRDefault="009E7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7692"/>
    <w:multiLevelType w:val="hybridMultilevel"/>
    <w:tmpl w:val="E632A6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FE0287"/>
    <w:multiLevelType w:val="hybridMultilevel"/>
    <w:tmpl w:val="86CA705C"/>
    <w:lvl w:ilvl="0" w:tplc="70C83B2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71A149E"/>
    <w:multiLevelType w:val="hybridMultilevel"/>
    <w:tmpl w:val="3CB2FBEE"/>
    <w:lvl w:ilvl="0" w:tplc="D9868DF4">
      <w:start w:val="1"/>
      <w:numFmt w:val="lowerLetter"/>
      <w:lvlText w:val="(%1)"/>
      <w:lvlJc w:val="left"/>
      <w:pPr>
        <w:ind w:left="1800" w:hanging="360"/>
      </w:pPr>
      <w:rPr>
        <w:rFonts w:hint="default"/>
        <w:sz w:val="2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D5"/>
    <w:rsid w:val="00225303"/>
    <w:rsid w:val="003B416F"/>
    <w:rsid w:val="005005EC"/>
    <w:rsid w:val="006667C8"/>
    <w:rsid w:val="00721B04"/>
    <w:rsid w:val="008C5018"/>
    <w:rsid w:val="00957D3A"/>
    <w:rsid w:val="009E75BE"/>
    <w:rsid w:val="00B27430"/>
    <w:rsid w:val="00BA05E4"/>
    <w:rsid w:val="00C25583"/>
    <w:rsid w:val="00F75C3D"/>
    <w:rsid w:val="00F84EA2"/>
    <w:rsid w:val="00FB13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BE"/>
  </w:style>
  <w:style w:type="paragraph" w:styleId="Footer">
    <w:name w:val="footer"/>
    <w:basedOn w:val="Normal"/>
    <w:link w:val="FooterChar"/>
    <w:uiPriority w:val="99"/>
    <w:unhideWhenUsed/>
    <w:rsid w:val="009E7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BE"/>
  </w:style>
  <w:style w:type="paragraph" w:styleId="ListParagraph">
    <w:name w:val="List Paragraph"/>
    <w:basedOn w:val="Normal"/>
    <w:uiPriority w:val="34"/>
    <w:qFormat/>
    <w:rsid w:val="006667C8"/>
    <w:pPr>
      <w:ind w:left="720"/>
      <w:contextualSpacing/>
    </w:pPr>
  </w:style>
  <w:style w:type="paragraph" w:styleId="BalloonText">
    <w:name w:val="Balloon Text"/>
    <w:basedOn w:val="Normal"/>
    <w:link w:val="BalloonTextChar"/>
    <w:uiPriority w:val="99"/>
    <w:semiHidden/>
    <w:unhideWhenUsed/>
    <w:rsid w:val="00F75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C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BE"/>
  </w:style>
  <w:style w:type="paragraph" w:styleId="Footer">
    <w:name w:val="footer"/>
    <w:basedOn w:val="Normal"/>
    <w:link w:val="FooterChar"/>
    <w:uiPriority w:val="99"/>
    <w:unhideWhenUsed/>
    <w:rsid w:val="009E7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BE"/>
  </w:style>
  <w:style w:type="paragraph" w:styleId="ListParagraph">
    <w:name w:val="List Paragraph"/>
    <w:basedOn w:val="Normal"/>
    <w:uiPriority w:val="34"/>
    <w:qFormat/>
    <w:rsid w:val="006667C8"/>
    <w:pPr>
      <w:ind w:left="720"/>
      <w:contextualSpacing/>
    </w:pPr>
  </w:style>
  <w:style w:type="paragraph" w:styleId="BalloonText">
    <w:name w:val="Balloon Text"/>
    <w:basedOn w:val="Normal"/>
    <w:link w:val="BalloonTextChar"/>
    <w:uiPriority w:val="99"/>
    <w:semiHidden/>
    <w:unhideWhenUsed/>
    <w:rsid w:val="00F75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2016-11-15T06:54:00Z</cp:lastPrinted>
  <dcterms:created xsi:type="dcterms:W3CDTF">2016-11-10T09:47:00Z</dcterms:created>
  <dcterms:modified xsi:type="dcterms:W3CDTF">2016-11-15T06:54:00Z</dcterms:modified>
</cp:coreProperties>
</file>