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B56E35" w:rsidRDefault="006A3585" w:rsidP="00B56E35">
      <w:pPr>
        <w:pStyle w:val="NoSpacing"/>
        <w:jc w:val="both"/>
        <w:rPr>
          <w:b/>
          <w:szCs w:val="24"/>
        </w:rPr>
      </w:pPr>
      <w:r w:rsidRPr="00B56E35">
        <w:rPr>
          <w:b/>
          <w:szCs w:val="24"/>
        </w:rPr>
        <w:t>PETER STAAK</w:t>
      </w:r>
    </w:p>
    <w:p w:rsidR="006A3585" w:rsidRPr="00B56E35" w:rsidRDefault="006A3585" w:rsidP="00B56E35">
      <w:pPr>
        <w:pStyle w:val="NoSpacing"/>
        <w:jc w:val="both"/>
        <w:rPr>
          <w:b/>
          <w:szCs w:val="24"/>
        </w:rPr>
      </w:pPr>
    </w:p>
    <w:p w:rsidR="006A3585" w:rsidRPr="00B56E35" w:rsidRDefault="006A3585" w:rsidP="00B56E35">
      <w:pPr>
        <w:pStyle w:val="NoSpacing"/>
        <w:jc w:val="both"/>
        <w:rPr>
          <w:b/>
          <w:szCs w:val="24"/>
        </w:rPr>
      </w:pPr>
      <w:r w:rsidRPr="00B56E35">
        <w:rPr>
          <w:b/>
          <w:szCs w:val="24"/>
        </w:rPr>
        <w:t>Versus</w:t>
      </w:r>
    </w:p>
    <w:p w:rsidR="006A3585" w:rsidRPr="00B56E35" w:rsidRDefault="006A3585" w:rsidP="00B56E35">
      <w:pPr>
        <w:pStyle w:val="NoSpacing"/>
        <w:jc w:val="both"/>
        <w:rPr>
          <w:b/>
          <w:szCs w:val="24"/>
        </w:rPr>
      </w:pPr>
    </w:p>
    <w:p w:rsidR="006A3585" w:rsidRPr="00B56E35" w:rsidRDefault="006A3585" w:rsidP="00B56E35">
      <w:pPr>
        <w:pStyle w:val="NoSpacing"/>
        <w:jc w:val="both"/>
        <w:rPr>
          <w:b/>
          <w:szCs w:val="24"/>
        </w:rPr>
      </w:pPr>
      <w:r w:rsidRPr="00B56E35">
        <w:rPr>
          <w:b/>
          <w:szCs w:val="24"/>
        </w:rPr>
        <w:t>DENNY DEANA ASHLEY DAVIES</w:t>
      </w:r>
    </w:p>
    <w:p w:rsidR="006A3585" w:rsidRPr="00B56E35" w:rsidRDefault="006A3585" w:rsidP="00B56E35">
      <w:pPr>
        <w:pStyle w:val="NoSpacing"/>
        <w:jc w:val="both"/>
        <w:rPr>
          <w:b/>
          <w:szCs w:val="24"/>
        </w:rPr>
      </w:pPr>
    </w:p>
    <w:p w:rsidR="006A3585" w:rsidRPr="00B56E35" w:rsidRDefault="006A3585" w:rsidP="00B56E35">
      <w:pPr>
        <w:pStyle w:val="NoSpacing"/>
        <w:jc w:val="both"/>
        <w:rPr>
          <w:szCs w:val="24"/>
        </w:rPr>
      </w:pPr>
      <w:r w:rsidRPr="00B56E35">
        <w:rPr>
          <w:szCs w:val="24"/>
        </w:rPr>
        <w:t>IN THE HIGH COURT OF ZIMBABWE</w:t>
      </w:r>
    </w:p>
    <w:p w:rsidR="006A3585" w:rsidRPr="00B56E35" w:rsidRDefault="006A3585" w:rsidP="00B56E35">
      <w:pPr>
        <w:pStyle w:val="NoSpacing"/>
        <w:jc w:val="both"/>
        <w:rPr>
          <w:szCs w:val="24"/>
        </w:rPr>
      </w:pPr>
      <w:r w:rsidRPr="00B56E35">
        <w:rPr>
          <w:szCs w:val="24"/>
        </w:rPr>
        <w:t>TAKUVA J</w:t>
      </w:r>
    </w:p>
    <w:p w:rsidR="006A3585" w:rsidRPr="00B56E35" w:rsidRDefault="006A3585" w:rsidP="00B56E35">
      <w:pPr>
        <w:pStyle w:val="NoSpacing"/>
        <w:jc w:val="both"/>
        <w:rPr>
          <w:szCs w:val="24"/>
        </w:rPr>
      </w:pPr>
      <w:r w:rsidRPr="00B56E35">
        <w:rPr>
          <w:szCs w:val="24"/>
        </w:rPr>
        <w:t>BULAWAYO</w:t>
      </w:r>
      <w:r w:rsidR="00464F99">
        <w:rPr>
          <w:szCs w:val="24"/>
        </w:rPr>
        <w:t xml:space="preserve"> 7 FEBRUARY </w:t>
      </w:r>
      <w:r w:rsidR="00DF21FF" w:rsidRPr="00B56E35">
        <w:rPr>
          <w:szCs w:val="24"/>
        </w:rPr>
        <w:t xml:space="preserve">&amp; 13 </w:t>
      </w:r>
      <w:r w:rsidRPr="00B56E35">
        <w:rPr>
          <w:szCs w:val="24"/>
        </w:rPr>
        <w:t>JUNE 2019</w:t>
      </w:r>
    </w:p>
    <w:p w:rsidR="006A3585" w:rsidRPr="00B56E35" w:rsidRDefault="006A3585" w:rsidP="00B56E35">
      <w:pPr>
        <w:pStyle w:val="NoSpacing"/>
        <w:jc w:val="both"/>
        <w:rPr>
          <w:b/>
          <w:szCs w:val="24"/>
        </w:rPr>
      </w:pPr>
    </w:p>
    <w:p w:rsidR="006A3585" w:rsidRPr="00B56E35" w:rsidRDefault="006A3585" w:rsidP="00B56E35">
      <w:pPr>
        <w:pStyle w:val="NoSpacing"/>
        <w:jc w:val="both"/>
        <w:rPr>
          <w:b/>
          <w:szCs w:val="24"/>
        </w:rPr>
      </w:pPr>
      <w:r w:rsidRPr="00B56E35">
        <w:rPr>
          <w:b/>
          <w:szCs w:val="24"/>
        </w:rPr>
        <w:t>Provisional Sentence</w:t>
      </w:r>
    </w:p>
    <w:p w:rsidR="006A3585" w:rsidRPr="00B56E35" w:rsidRDefault="006A3585" w:rsidP="00B56E35">
      <w:pPr>
        <w:pStyle w:val="NoSpacing"/>
        <w:jc w:val="both"/>
        <w:rPr>
          <w:szCs w:val="24"/>
        </w:rPr>
      </w:pPr>
    </w:p>
    <w:p w:rsidR="006A3585" w:rsidRPr="00B56E35" w:rsidRDefault="006A3585" w:rsidP="00B56E35">
      <w:pPr>
        <w:pStyle w:val="NoSpacing"/>
        <w:jc w:val="both"/>
        <w:rPr>
          <w:szCs w:val="24"/>
        </w:rPr>
      </w:pPr>
      <w:r w:rsidRPr="00B56E35">
        <w:rPr>
          <w:i/>
          <w:szCs w:val="24"/>
        </w:rPr>
        <w:t>T. Tavengwa</w:t>
      </w:r>
      <w:r w:rsidRPr="00B56E35">
        <w:rPr>
          <w:szCs w:val="24"/>
        </w:rPr>
        <w:t xml:space="preserve"> for the plaintiff</w:t>
      </w:r>
    </w:p>
    <w:p w:rsidR="006A3585" w:rsidRPr="00B56E35" w:rsidRDefault="006A3585" w:rsidP="00B56E35">
      <w:pPr>
        <w:pStyle w:val="NoSpacing"/>
        <w:jc w:val="both"/>
        <w:rPr>
          <w:szCs w:val="24"/>
        </w:rPr>
      </w:pPr>
      <w:r w:rsidRPr="00B56E35">
        <w:rPr>
          <w:i/>
          <w:szCs w:val="24"/>
        </w:rPr>
        <w:t>N. Mangena</w:t>
      </w:r>
      <w:r w:rsidRPr="00B56E35">
        <w:rPr>
          <w:szCs w:val="24"/>
        </w:rPr>
        <w:t xml:space="preserve"> for the defendant</w:t>
      </w:r>
    </w:p>
    <w:p w:rsidR="006A3585" w:rsidRPr="00B56E35" w:rsidRDefault="006A3585" w:rsidP="00B56E35">
      <w:pPr>
        <w:jc w:val="both"/>
        <w:rPr>
          <w:szCs w:val="24"/>
        </w:rPr>
      </w:pPr>
      <w:r w:rsidRPr="00B56E35">
        <w:rPr>
          <w:szCs w:val="24"/>
        </w:rPr>
        <w:tab/>
      </w:r>
      <w:r w:rsidRPr="00B56E35">
        <w:rPr>
          <w:b/>
          <w:szCs w:val="24"/>
        </w:rPr>
        <w:t>TAKUVA J:</w:t>
      </w:r>
      <w:r w:rsidRPr="00B56E35">
        <w:rPr>
          <w:b/>
          <w:szCs w:val="24"/>
        </w:rPr>
        <w:tab/>
      </w:r>
      <w:r w:rsidRPr="00B56E35">
        <w:rPr>
          <w:szCs w:val="24"/>
        </w:rPr>
        <w:t>This is a provisional sentence matter.  Plaintiff issued provisional sentence summons against t</w:t>
      </w:r>
      <w:r w:rsidR="00D72C55" w:rsidRPr="00B56E35">
        <w:rPr>
          <w:szCs w:val="24"/>
        </w:rPr>
        <w:t>h</w:t>
      </w:r>
      <w:r w:rsidRPr="00B56E35">
        <w:rPr>
          <w:szCs w:val="24"/>
        </w:rPr>
        <w:t>e defendant claiming provisional sentence in an amount of US$208 0</w:t>
      </w:r>
      <w:r w:rsidR="00DF21FF" w:rsidRPr="00B56E35">
        <w:rPr>
          <w:szCs w:val="24"/>
        </w:rPr>
        <w:t>0</w:t>
      </w:r>
      <w:r w:rsidRPr="00B56E35">
        <w:rPr>
          <w:szCs w:val="24"/>
        </w:rPr>
        <w:t>0,00, together interest at t</w:t>
      </w:r>
      <w:r w:rsidR="00D72C55" w:rsidRPr="00B56E35">
        <w:rPr>
          <w:szCs w:val="24"/>
        </w:rPr>
        <w:t>h</w:t>
      </w:r>
      <w:r w:rsidRPr="00B56E35">
        <w:rPr>
          <w:szCs w:val="24"/>
        </w:rPr>
        <w:t>e prescribed rate from the</w:t>
      </w:r>
      <w:r w:rsidR="00D72C55" w:rsidRPr="00B56E35">
        <w:rPr>
          <w:szCs w:val="24"/>
        </w:rPr>
        <w:t xml:space="preserve"> </w:t>
      </w:r>
      <w:r w:rsidRPr="00B56E35">
        <w:rPr>
          <w:szCs w:val="24"/>
        </w:rPr>
        <w:t>date of</w:t>
      </w:r>
      <w:r w:rsidR="00D72C55" w:rsidRPr="00B56E35">
        <w:rPr>
          <w:szCs w:val="24"/>
        </w:rPr>
        <w:t xml:space="preserve"> acknowledgment of debt to the date of payment in full.</w:t>
      </w:r>
    </w:p>
    <w:p w:rsidR="00D72C55" w:rsidRPr="00B56E35" w:rsidRDefault="00D72C55" w:rsidP="00B56E35">
      <w:pPr>
        <w:ind w:firstLine="720"/>
        <w:jc w:val="both"/>
        <w:rPr>
          <w:szCs w:val="24"/>
        </w:rPr>
      </w:pPr>
      <w:r w:rsidRPr="00B56E35">
        <w:rPr>
          <w:szCs w:val="24"/>
        </w:rPr>
        <w:t>Plaintiff relies on an acknowledgment of debt allegedly signed by the defendant on 15 June 2017.  Buoyed by what plaintiff believed to be a liquid document</w:t>
      </w:r>
      <w:r w:rsidR="00DF21FF" w:rsidRPr="00B56E35">
        <w:rPr>
          <w:szCs w:val="24"/>
        </w:rPr>
        <w:t>,</w:t>
      </w:r>
      <w:r w:rsidR="009D1EE8">
        <w:rPr>
          <w:szCs w:val="24"/>
        </w:rPr>
        <w:t xml:space="preserve"> he </w:t>
      </w:r>
      <w:r w:rsidRPr="00B56E35">
        <w:rPr>
          <w:szCs w:val="24"/>
        </w:rPr>
        <w:t>issued summons on 21</w:t>
      </w:r>
      <w:r w:rsidRPr="00B56E35">
        <w:rPr>
          <w:szCs w:val="24"/>
          <w:vertAlign w:val="superscript"/>
        </w:rPr>
        <w:t>st</w:t>
      </w:r>
      <w:r w:rsidRPr="00B56E35">
        <w:rPr>
          <w:szCs w:val="24"/>
        </w:rPr>
        <w:t xml:space="preserve"> of September 2018.  Upon service</w:t>
      </w:r>
      <w:r w:rsidR="009D1EE8">
        <w:rPr>
          <w:szCs w:val="24"/>
        </w:rPr>
        <w:t>,</w:t>
      </w:r>
      <w:r w:rsidRPr="00B56E35">
        <w:rPr>
          <w:szCs w:val="24"/>
        </w:rPr>
        <w:t xml:space="preserve"> the Sheriff endorsed th</w:t>
      </w:r>
      <w:r w:rsidR="009D1EE8">
        <w:rPr>
          <w:szCs w:val="24"/>
        </w:rPr>
        <w:t>e</w:t>
      </w:r>
      <w:r w:rsidRPr="00B56E35">
        <w:rPr>
          <w:szCs w:val="24"/>
        </w:rPr>
        <w:t xml:space="preserve"> date of the 25</w:t>
      </w:r>
      <w:r w:rsidRPr="00B56E35">
        <w:rPr>
          <w:szCs w:val="24"/>
          <w:vertAlign w:val="superscript"/>
        </w:rPr>
        <w:t>th</w:t>
      </w:r>
      <w:r w:rsidRPr="00B56E35">
        <w:rPr>
          <w:szCs w:val="24"/>
        </w:rPr>
        <w:t xml:space="preserve"> of October 2018.  On that </w:t>
      </w:r>
      <w:r w:rsidR="009D1EE8">
        <w:rPr>
          <w:szCs w:val="24"/>
        </w:rPr>
        <w:t xml:space="preserve">date, </w:t>
      </w:r>
      <w:r w:rsidRPr="00B56E35">
        <w:rPr>
          <w:szCs w:val="24"/>
        </w:rPr>
        <w:t>the defendant was supposed to appear in court to answer the claim.  However on 16</w:t>
      </w:r>
      <w:r w:rsidRPr="00B56E35">
        <w:rPr>
          <w:szCs w:val="24"/>
          <w:vertAlign w:val="superscript"/>
        </w:rPr>
        <w:t>th</w:t>
      </w:r>
      <w:r w:rsidRPr="00B56E35">
        <w:rPr>
          <w:szCs w:val="24"/>
        </w:rPr>
        <w:t xml:space="preserve"> of October 2018 defendant’s legal practitioners filed a notice of opposition on behalf of their client.  The notice of opposition was served upon t</w:t>
      </w:r>
      <w:r w:rsidR="00DF21FF" w:rsidRPr="00B56E35">
        <w:rPr>
          <w:szCs w:val="24"/>
        </w:rPr>
        <w:t>h</w:t>
      </w:r>
      <w:r w:rsidRPr="00B56E35">
        <w:rPr>
          <w:szCs w:val="24"/>
        </w:rPr>
        <w:t>e plaintiff’s lawyers</w:t>
      </w:r>
      <w:r w:rsidR="009D1EE8">
        <w:rPr>
          <w:szCs w:val="24"/>
        </w:rPr>
        <w:t>’</w:t>
      </w:r>
      <w:r w:rsidRPr="00B56E35">
        <w:rPr>
          <w:szCs w:val="24"/>
        </w:rPr>
        <w:t xml:space="preserve"> corresponding practitioners on the 1</w:t>
      </w:r>
      <w:r w:rsidR="009D1EE8">
        <w:rPr>
          <w:szCs w:val="24"/>
        </w:rPr>
        <w:t>7</w:t>
      </w:r>
      <w:r w:rsidRPr="00B56E35">
        <w:rPr>
          <w:szCs w:val="24"/>
          <w:vertAlign w:val="superscript"/>
        </w:rPr>
        <w:t>th</w:t>
      </w:r>
      <w:r w:rsidRPr="00B56E35">
        <w:rPr>
          <w:szCs w:val="24"/>
        </w:rPr>
        <w:t xml:space="preserve"> of </w:t>
      </w:r>
      <w:r w:rsidR="009D1EE8">
        <w:rPr>
          <w:szCs w:val="24"/>
        </w:rPr>
        <w:t>Octo</w:t>
      </w:r>
      <w:r w:rsidRPr="00B56E35">
        <w:rPr>
          <w:szCs w:val="24"/>
        </w:rPr>
        <w:t>ber 2018.</w:t>
      </w:r>
    </w:p>
    <w:p w:rsidR="00D72C55" w:rsidRPr="00B56E35" w:rsidRDefault="00D72C55" w:rsidP="00B56E35">
      <w:pPr>
        <w:jc w:val="both"/>
        <w:rPr>
          <w:szCs w:val="24"/>
        </w:rPr>
      </w:pPr>
      <w:r w:rsidRPr="00B56E35">
        <w:rPr>
          <w:szCs w:val="24"/>
        </w:rPr>
        <w:tab/>
        <w:t>On the date of hearing, i.e the 25</w:t>
      </w:r>
      <w:r w:rsidRPr="00B56E35">
        <w:rPr>
          <w:szCs w:val="24"/>
          <w:vertAlign w:val="superscript"/>
        </w:rPr>
        <w:t>th</w:t>
      </w:r>
      <w:r w:rsidRPr="00B56E35">
        <w:rPr>
          <w:szCs w:val="24"/>
        </w:rPr>
        <w:t xml:space="preserve"> of October 2018 </w:t>
      </w:r>
      <w:r w:rsidRPr="00B56E35">
        <w:rPr>
          <w:i/>
          <w:szCs w:val="24"/>
        </w:rPr>
        <w:t>Advocate S.  M. H</w:t>
      </w:r>
      <w:r w:rsidR="009D1EE8">
        <w:rPr>
          <w:i/>
          <w:szCs w:val="24"/>
        </w:rPr>
        <w:t>a</w:t>
      </w:r>
      <w:r w:rsidRPr="00B56E35">
        <w:rPr>
          <w:i/>
          <w:szCs w:val="24"/>
        </w:rPr>
        <w:t>shiti</w:t>
      </w:r>
      <w:r w:rsidRPr="00B56E35">
        <w:rPr>
          <w:szCs w:val="24"/>
        </w:rPr>
        <w:t xml:space="preserve"> appeared in court on be</w:t>
      </w:r>
      <w:r w:rsidR="00DF21FF" w:rsidRPr="00B56E35">
        <w:rPr>
          <w:szCs w:val="24"/>
        </w:rPr>
        <w:t>h</w:t>
      </w:r>
      <w:r w:rsidRPr="00B56E35">
        <w:rPr>
          <w:szCs w:val="24"/>
        </w:rPr>
        <w:t xml:space="preserve">alf of the defendant. The plaintiff and his legal practitioners were not in attendance.  In view of that and out of professional courtesy, </w:t>
      </w:r>
      <w:r w:rsidRPr="00B56E35">
        <w:rPr>
          <w:i/>
          <w:szCs w:val="24"/>
        </w:rPr>
        <w:t>Advocate Hashiti</w:t>
      </w:r>
      <w:r w:rsidRPr="00B56E35">
        <w:rPr>
          <w:szCs w:val="24"/>
        </w:rPr>
        <w:t xml:space="preserve"> </w:t>
      </w:r>
      <w:r w:rsidR="009D1EE8">
        <w:rPr>
          <w:szCs w:val="24"/>
        </w:rPr>
        <w:t xml:space="preserve">applied for </w:t>
      </w:r>
      <w:r w:rsidRPr="00B56E35">
        <w:rPr>
          <w:szCs w:val="24"/>
        </w:rPr>
        <w:t>the matter</w:t>
      </w:r>
      <w:r w:rsidR="00BE5C85" w:rsidRPr="00BE5C85">
        <w:rPr>
          <w:szCs w:val="24"/>
        </w:rPr>
        <w:t xml:space="preserve"> </w:t>
      </w:r>
      <w:r w:rsidR="00BE5C85">
        <w:rPr>
          <w:szCs w:val="24"/>
        </w:rPr>
        <w:t>to be</w:t>
      </w:r>
      <w:r w:rsidRPr="00B56E35">
        <w:rPr>
          <w:szCs w:val="24"/>
        </w:rPr>
        <w:t xml:space="preserve"> removed from the roll.  Consequently, this court per M</w:t>
      </w:r>
      <w:r w:rsidRPr="00B56E35">
        <w:rPr>
          <w:sz w:val="20"/>
          <w:szCs w:val="20"/>
        </w:rPr>
        <w:t>OYO</w:t>
      </w:r>
      <w:r w:rsidRPr="00B56E35">
        <w:rPr>
          <w:szCs w:val="24"/>
        </w:rPr>
        <w:t xml:space="preserve"> J re</w:t>
      </w:r>
      <w:r w:rsidR="00DF21FF" w:rsidRPr="00B56E35">
        <w:rPr>
          <w:szCs w:val="24"/>
        </w:rPr>
        <w:t>m</w:t>
      </w:r>
      <w:r w:rsidRPr="00B56E35">
        <w:rPr>
          <w:szCs w:val="24"/>
        </w:rPr>
        <w:t>oved the matter from the roll.</w:t>
      </w:r>
    </w:p>
    <w:p w:rsidR="00D72C55" w:rsidRPr="00B56E35" w:rsidRDefault="00D72C55" w:rsidP="00B56E35">
      <w:pPr>
        <w:jc w:val="both"/>
        <w:rPr>
          <w:szCs w:val="24"/>
        </w:rPr>
      </w:pPr>
      <w:r w:rsidRPr="00B56E35">
        <w:rPr>
          <w:szCs w:val="24"/>
        </w:rPr>
        <w:tab/>
      </w:r>
      <w:r w:rsidR="009D1EE8">
        <w:rPr>
          <w:szCs w:val="24"/>
        </w:rPr>
        <w:t>Later</w:t>
      </w:r>
      <w:r w:rsidRPr="00B56E35">
        <w:rPr>
          <w:szCs w:val="24"/>
        </w:rPr>
        <w:t xml:space="preserve">, </w:t>
      </w:r>
      <w:r w:rsidRPr="00B56E35">
        <w:rPr>
          <w:i/>
          <w:szCs w:val="24"/>
        </w:rPr>
        <w:t>Mr Tavengwa</w:t>
      </w:r>
      <w:r w:rsidRPr="00B56E35">
        <w:rPr>
          <w:szCs w:val="24"/>
        </w:rPr>
        <w:t xml:space="preserve"> for the plaintiff had the matter re-enrolled on the u</w:t>
      </w:r>
      <w:r w:rsidR="009D1EE8">
        <w:rPr>
          <w:szCs w:val="24"/>
        </w:rPr>
        <w:t>nopposed roll for the 9</w:t>
      </w:r>
      <w:r w:rsidR="009D1EE8" w:rsidRPr="009D1EE8">
        <w:rPr>
          <w:szCs w:val="24"/>
          <w:vertAlign w:val="superscript"/>
        </w:rPr>
        <w:t>th</w:t>
      </w:r>
      <w:r w:rsidR="009D1EE8">
        <w:rPr>
          <w:szCs w:val="24"/>
        </w:rPr>
        <w:t xml:space="preserve"> </w:t>
      </w:r>
      <w:r w:rsidRPr="00B56E35">
        <w:rPr>
          <w:szCs w:val="24"/>
        </w:rPr>
        <w:t>of February 2019 on the basis that the notice of opposition was defective and th</w:t>
      </w:r>
      <w:r w:rsidR="001F23D2" w:rsidRPr="00B56E35">
        <w:rPr>
          <w:szCs w:val="24"/>
        </w:rPr>
        <w:t xml:space="preserve">erefore </w:t>
      </w:r>
      <w:r w:rsidR="001F23D2" w:rsidRPr="00B56E35">
        <w:rPr>
          <w:szCs w:val="24"/>
        </w:rPr>
        <w:lastRenderedPageBreak/>
        <w:t xml:space="preserve">legally there was no opposition.  When the matter was called up in motion court, </w:t>
      </w:r>
      <w:r w:rsidR="001F23D2" w:rsidRPr="00B56E35">
        <w:rPr>
          <w:i/>
          <w:szCs w:val="24"/>
        </w:rPr>
        <w:t>Mr Mangena</w:t>
      </w:r>
      <w:r w:rsidR="001F23D2" w:rsidRPr="00B56E35">
        <w:rPr>
          <w:szCs w:val="24"/>
        </w:rPr>
        <w:t xml:space="preserve"> for the defendant</w:t>
      </w:r>
      <w:r w:rsidR="00DF21FF" w:rsidRPr="00B56E35">
        <w:rPr>
          <w:szCs w:val="24"/>
        </w:rPr>
        <w:t>,</w:t>
      </w:r>
      <w:r w:rsidR="001F23D2" w:rsidRPr="00B56E35">
        <w:rPr>
          <w:szCs w:val="24"/>
        </w:rPr>
        <w:t xml:space="preserve"> applied for the matter to be removed from the unopposed roll as it was clearl</w:t>
      </w:r>
      <w:r w:rsidR="00DF21FF" w:rsidRPr="00B56E35">
        <w:rPr>
          <w:szCs w:val="24"/>
        </w:rPr>
        <w:t>y</w:t>
      </w:r>
      <w:r w:rsidR="001F23D2" w:rsidRPr="00B56E35">
        <w:rPr>
          <w:szCs w:val="24"/>
        </w:rPr>
        <w:t xml:space="preserve"> opposed.  </w:t>
      </w:r>
      <w:r w:rsidR="001F23D2" w:rsidRPr="00B56E35">
        <w:rPr>
          <w:i/>
          <w:szCs w:val="24"/>
        </w:rPr>
        <w:t>Mr Tavengwa</w:t>
      </w:r>
      <w:r w:rsidR="001F23D2" w:rsidRPr="00B56E35">
        <w:rPr>
          <w:szCs w:val="24"/>
        </w:rPr>
        <w:t xml:space="preserve"> opposed the application insisting that the matter should remain and be treated as unopposed because of the de</w:t>
      </w:r>
      <w:r w:rsidR="00B56E35" w:rsidRPr="00B56E35">
        <w:rPr>
          <w:szCs w:val="24"/>
        </w:rPr>
        <w:t>f</w:t>
      </w:r>
      <w:r w:rsidR="001F23D2" w:rsidRPr="00B56E35">
        <w:rPr>
          <w:szCs w:val="24"/>
        </w:rPr>
        <w:t>ective nature of the notice of opposition.</w:t>
      </w:r>
    </w:p>
    <w:p w:rsidR="001F23D2" w:rsidRPr="00B56E35" w:rsidRDefault="001F23D2" w:rsidP="00B56E35">
      <w:pPr>
        <w:jc w:val="both"/>
        <w:rPr>
          <w:szCs w:val="24"/>
        </w:rPr>
      </w:pPr>
      <w:r w:rsidRPr="00B56E35">
        <w:rPr>
          <w:szCs w:val="24"/>
        </w:rPr>
        <w:tab/>
        <w:t>Plaintiff’s basis for contenting th</w:t>
      </w:r>
      <w:r w:rsidR="00B56E35" w:rsidRPr="00B56E35">
        <w:rPr>
          <w:szCs w:val="24"/>
        </w:rPr>
        <w:t>a</w:t>
      </w:r>
      <w:r w:rsidRPr="00B56E35">
        <w:rPr>
          <w:szCs w:val="24"/>
        </w:rPr>
        <w:t xml:space="preserve">t the notice of opposition is invalid is that the defendant did not use the correct forms but rather invented </w:t>
      </w:r>
      <w:r w:rsidR="009D1EE8">
        <w:rPr>
          <w:szCs w:val="24"/>
        </w:rPr>
        <w:t>hi</w:t>
      </w:r>
      <w:r w:rsidRPr="00B56E35">
        <w:rPr>
          <w:szCs w:val="24"/>
        </w:rPr>
        <w:t xml:space="preserve">s own format.  The argument is that the opposing papers are headed “Notice of Filing” instead of notice of opposition.  It is not denied that defendant filed </w:t>
      </w:r>
      <w:r w:rsidR="009D1EE8">
        <w:rPr>
          <w:szCs w:val="24"/>
        </w:rPr>
        <w:t>a</w:t>
      </w:r>
      <w:r w:rsidRPr="00B56E35">
        <w:rPr>
          <w:szCs w:val="24"/>
        </w:rPr>
        <w:t>n</w:t>
      </w:r>
      <w:r w:rsidR="009D1EE8">
        <w:rPr>
          <w:szCs w:val="24"/>
        </w:rPr>
        <w:t xml:space="preserve"> </w:t>
      </w:r>
      <w:r w:rsidRPr="00B56E35">
        <w:rPr>
          <w:szCs w:val="24"/>
        </w:rPr>
        <w:t>opposing affidavit.  In my view, t</w:t>
      </w:r>
      <w:r w:rsidR="00B56E35" w:rsidRPr="00B56E35">
        <w:rPr>
          <w:szCs w:val="24"/>
        </w:rPr>
        <w:t>he notice of opposition is vali</w:t>
      </w:r>
      <w:r w:rsidRPr="00B56E35">
        <w:rPr>
          <w:szCs w:val="24"/>
        </w:rPr>
        <w:t>d because the papers clearly show that the matter is opposed and the plaintiff has not been prejudiced in any manner by t</w:t>
      </w:r>
      <w:r w:rsidR="00B56E35" w:rsidRPr="00B56E35">
        <w:rPr>
          <w:szCs w:val="24"/>
        </w:rPr>
        <w:t>h</w:t>
      </w:r>
      <w:r w:rsidRPr="00B56E35">
        <w:rPr>
          <w:szCs w:val="24"/>
        </w:rPr>
        <w:t>e alleged innovation by the defendant.</w:t>
      </w:r>
    </w:p>
    <w:p w:rsidR="001F23D2" w:rsidRPr="00B56E35" w:rsidRDefault="001F23D2" w:rsidP="00B56E35">
      <w:pPr>
        <w:jc w:val="both"/>
        <w:rPr>
          <w:szCs w:val="24"/>
        </w:rPr>
      </w:pPr>
      <w:r w:rsidRPr="00B56E35">
        <w:rPr>
          <w:szCs w:val="24"/>
        </w:rPr>
        <w:tab/>
        <w:t>The second issue is whether or not an opposed matter for provisional sentence should be set down on the unopposed roll?  This question has previously</w:t>
      </w:r>
      <w:r w:rsidR="00B56E35" w:rsidRPr="00B56E35">
        <w:rPr>
          <w:szCs w:val="24"/>
        </w:rPr>
        <w:t xml:space="preserve"> </w:t>
      </w:r>
      <w:r w:rsidRPr="00B56E35">
        <w:rPr>
          <w:szCs w:val="24"/>
        </w:rPr>
        <w:t>arisen in this court.  M</w:t>
      </w:r>
      <w:r w:rsidRPr="00B56E35">
        <w:rPr>
          <w:sz w:val="20"/>
          <w:szCs w:val="20"/>
        </w:rPr>
        <w:t xml:space="preserve">AKARAU </w:t>
      </w:r>
      <w:r w:rsidRPr="00B56E35">
        <w:rPr>
          <w:szCs w:val="24"/>
        </w:rPr>
        <w:t>J (as sh</w:t>
      </w:r>
      <w:r w:rsidR="00B56E35" w:rsidRPr="00B56E35">
        <w:rPr>
          <w:szCs w:val="24"/>
        </w:rPr>
        <w:t xml:space="preserve">e then was) in </w:t>
      </w:r>
      <w:r w:rsidR="00B56E35" w:rsidRPr="00B56E35">
        <w:rPr>
          <w:i/>
          <w:szCs w:val="24"/>
        </w:rPr>
        <w:t>ZIMBANK</w:t>
      </w:r>
      <w:r w:rsidR="00B56E35" w:rsidRPr="00B56E35">
        <w:rPr>
          <w:szCs w:val="24"/>
        </w:rPr>
        <w:t xml:space="preserve"> v </w:t>
      </w:r>
      <w:r w:rsidR="00B56E35" w:rsidRPr="00B56E35">
        <w:rPr>
          <w:i/>
          <w:szCs w:val="24"/>
        </w:rPr>
        <w:t xml:space="preserve">Interfin </w:t>
      </w:r>
      <w:r w:rsidRPr="00B56E35">
        <w:rPr>
          <w:i/>
          <w:szCs w:val="24"/>
        </w:rPr>
        <w:t>N Merc</w:t>
      </w:r>
      <w:r w:rsidR="00B56E35" w:rsidRPr="00B56E35">
        <w:rPr>
          <w:i/>
          <w:szCs w:val="24"/>
        </w:rPr>
        <w:t>h</w:t>
      </w:r>
      <w:r w:rsidRPr="00B56E35">
        <w:rPr>
          <w:i/>
          <w:szCs w:val="24"/>
        </w:rPr>
        <w:t>ant Bank of Zimbabwe Ltd</w:t>
      </w:r>
      <w:r w:rsidRPr="00B56E35">
        <w:rPr>
          <w:szCs w:val="24"/>
        </w:rPr>
        <w:t xml:space="preserve"> 2005 (1) ZLR 114 (H) at 116F-117A, stated the following:</w:t>
      </w:r>
    </w:p>
    <w:p w:rsidR="001F23D2" w:rsidRPr="00B56E35" w:rsidRDefault="001F23D2" w:rsidP="00B56E35">
      <w:pPr>
        <w:pStyle w:val="NoSpacing"/>
        <w:ind w:left="720"/>
        <w:jc w:val="both"/>
        <w:rPr>
          <w:szCs w:val="24"/>
        </w:rPr>
      </w:pPr>
      <w:r w:rsidRPr="00B56E35">
        <w:rPr>
          <w:szCs w:val="24"/>
        </w:rPr>
        <w:t>“It has always been the practice of this court to determine provisional sentence matters on the date appearing</w:t>
      </w:r>
      <w:r w:rsidR="00607D30" w:rsidRPr="00B56E35">
        <w:rPr>
          <w:szCs w:val="24"/>
        </w:rPr>
        <w:t xml:space="preserve"> on the face of the summons.  Issues of convenience to the court, which is essentially sitting as an unopposed court</w:t>
      </w:r>
      <w:r w:rsidR="009D1EE8">
        <w:rPr>
          <w:szCs w:val="24"/>
        </w:rPr>
        <w:t>, c</w:t>
      </w:r>
      <w:r w:rsidR="00607D30" w:rsidRPr="00B56E35">
        <w:rPr>
          <w:szCs w:val="24"/>
        </w:rPr>
        <w:t xml:space="preserve">an effectively be overcome by the presiding judge standing the matter down to the end </w:t>
      </w:r>
      <w:r w:rsidR="009D1EE8">
        <w:rPr>
          <w:szCs w:val="24"/>
        </w:rPr>
        <w:t>o</w:t>
      </w:r>
      <w:r w:rsidR="00607D30" w:rsidRPr="00B56E35">
        <w:rPr>
          <w:szCs w:val="24"/>
        </w:rPr>
        <w:t>f the roll for counsel to make their submissions to court.  I have not been able to conceive of any interpretation of the rules of this court that would tend to suggest that this is not the proper way of proceeding.  I have further failed to conceive of any possible reason why the practice of this court should be changed to refer contested provisional sentence</w:t>
      </w:r>
      <w:r w:rsidR="009D1EE8">
        <w:rPr>
          <w:szCs w:val="24"/>
        </w:rPr>
        <w:t>s</w:t>
      </w:r>
      <w:r w:rsidR="00607D30" w:rsidRPr="00B56E35">
        <w:rPr>
          <w:szCs w:val="24"/>
        </w:rPr>
        <w:t xml:space="preserve"> to </w:t>
      </w:r>
      <w:r w:rsidR="0022467C">
        <w:rPr>
          <w:szCs w:val="24"/>
        </w:rPr>
        <w:t>the opposed roll as that course</w:t>
      </w:r>
      <w:r w:rsidR="00607D30" w:rsidRPr="00B56E35">
        <w:rPr>
          <w:szCs w:val="24"/>
        </w:rPr>
        <w:t xml:space="preserve"> will effectively rob t</w:t>
      </w:r>
      <w:r w:rsidR="00B56E35" w:rsidRPr="00B56E35">
        <w:rPr>
          <w:szCs w:val="24"/>
        </w:rPr>
        <w:t>h</w:t>
      </w:r>
      <w:r w:rsidR="00607D30" w:rsidRPr="00B56E35">
        <w:rPr>
          <w:szCs w:val="24"/>
        </w:rPr>
        <w:t xml:space="preserve">e </w:t>
      </w:r>
      <w:r w:rsidR="0022467C">
        <w:rPr>
          <w:szCs w:val="24"/>
        </w:rPr>
        <w:t>“</w:t>
      </w:r>
      <w:r w:rsidR="00607D30" w:rsidRPr="00B56E35">
        <w:rPr>
          <w:szCs w:val="24"/>
        </w:rPr>
        <w:t>quick</w:t>
      </w:r>
      <w:r w:rsidR="0022467C">
        <w:rPr>
          <w:szCs w:val="24"/>
        </w:rPr>
        <w:t>”</w:t>
      </w:r>
      <w:r w:rsidR="00607D30" w:rsidRPr="00B56E35">
        <w:rPr>
          <w:szCs w:val="24"/>
        </w:rPr>
        <w:t xml:space="preserve"> remedy of its effec</w:t>
      </w:r>
      <w:r w:rsidR="00B56E35" w:rsidRPr="00B56E35">
        <w:rPr>
          <w:szCs w:val="24"/>
        </w:rPr>
        <w:t>t</w:t>
      </w:r>
      <w:r w:rsidR="00607D30" w:rsidRPr="00B56E35">
        <w:rPr>
          <w:szCs w:val="24"/>
        </w:rPr>
        <w:t xml:space="preserve"> and </w:t>
      </w:r>
      <w:r w:rsidR="0022467C">
        <w:rPr>
          <w:szCs w:val="24"/>
        </w:rPr>
        <w:t>t</w:t>
      </w:r>
      <w:r w:rsidR="00607D30" w:rsidRPr="00B56E35">
        <w:rPr>
          <w:szCs w:val="24"/>
        </w:rPr>
        <w:t>hereby weaken the whole machinery of provisional sentence.”</w:t>
      </w:r>
    </w:p>
    <w:p w:rsidR="00607D30" w:rsidRPr="00B56E35" w:rsidRDefault="00607D30" w:rsidP="00B56E35">
      <w:pPr>
        <w:jc w:val="both"/>
        <w:rPr>
          <w:szCs w:val="24"/>
        </w:rPr>
      </w:pPr>
      <w:r w:rsidRPr="00B56E35">
        <w:rPr>
          <w:szCs w:val="24"/>
        </w:rPr>
        <w:tab/>
        <w:t xml:space="preserve">However, 8years later in </w:t>
      </w:r>
      <w:r w:rsidRPr="00B56E35">
        <w:rPr>
          <w:i/>
          <w:szCs w:val="24"/>
        </w:rPr>
        <w:t>A L Shama Global BVI Ltd</w:t>
      </w:r>
      <w:r w:rsidRPr="00B56E35">
        <w:rPr>
          <w:szCs w:val="24"/>
        </w:rPr>
        <w:t xml:space="preserve"> v </w:t>
      </w:r>
      <w:r w:rsidRPr="00B56E35">
        <w:rPr>
          <w:i/>
          <w:szCs w:val="24"/>
        </w:rPr>
        <w:t>Equity Properties (Pvt) Ltd</w:t>
      </w:r>
      <w:r w:rsidRPr="00B56E35">
        <w:rPr>
          <w:szCs w:val="24"/>
        </w:rPr>
        <w:t xml:space="preserve"> 2013 </w:t>
      </w:r>
      <w:r w:rsidR="00B56E35" w:rsidRPr="00B56E35">
        <w:rPr>
          <w:szCs w:val="24"/>
        </w:rPr>
        <w:t>(@) ZLR 131 (H).  Z</w:t>
      </w:r>
      <w:r w:rsidR="00B56E35" w:rsidRPr="00B56E35">
        <w:rPr>
          <w:sz w:val="20"/>
          <w:szCs w:val="20"/>
        </w:rPr>
        <w:t>HOU</w:t>
      </w:r>
      <w:r w:rsidR="00B56E35" w:rsidRPr="00B56E35">
        <w:rPr>
          <w:szCs w:val="24"/>
        </w:rPr>
        <w:t xml:space="preserve"> J while </w:t>
      </w:r>
      <w:r w:rsidRPr="00B56E35">
        <w:rPr>
          <w:szCs w:val="24"/>
        </w:rPr>
        <w:t>deciding the fate of an opposed matter for provisional sen</w:t>
      </w:r>
      <w:r w:rsidR="00B56E35" w:rsidRPr="00B56E35">
        <w:rPr>
          <w:szCs w:val="24"/>
        </w:rPr>
        <w:t>t</w:t>
      </w:r>
      <w:r w:rsidRPr="00B56E35">
        <w:rPr>
          <w:szCs w:val="24"/>
        </w:rPr>
        <w:t>ence stated:</w:t>
      </w:r>
    </w:p>
    <w:p w:rsidR="00607D30" w:rsidRPr="00B56E35" w:rsidRDefault="00607D30" w:rsidP="00B56E35">
      <w:pPr>
        <w:pStyle w:val="NoSpacing"/>
        <w:ind w:left="720"/>
        <w:jc w:val="both"/>
        <w:rPr>
          <w:szCs w:val="24"/>
        </w:rPr>
      </w:pPr>
      <w:r w:rsidRPr="00B56E35">
        <w:rPr>
          <w:szCs w:val="24"/>
        </w:rPr>
        <w:lastRenderedPageBreak/>
        <w:t>“It as previously been held that the practice of the High Court is to determine provisional sentence matters on the</w:t>
      </w:r>
      <w:r w:rsidR="00BD7FB3" w:rsidRPr="00B56E35">
        <w:rPr>
          <w:szCs w:val="24"/>
        </w:rPr>
        <w:t xml:space="preserve"> date appearing on the face of the summons.  Issues of convenience to the court, which is essentially sitting as an unopposed court, can effectively be overco</w:t>
      </w:r>
      <w:r w:rsidR="00B56E35" w:rsidRPr="00B56E35">
        <w:rPr>
          <w:szCs w:val="24"/>
        </w:rPr>
        <w:t>m</w:t>
      </w:r>
      <w:r w:rsidR="00BD7FB3" w:rsidRPr="00B56E35">
        <w:rPr>
          <w:szCs w:val="24"/>
        </w:rPr>
        <w:t>e by t</w:t>
      </w:r>
      <w:r w:rsidR="00B56E35" w:rsidRPr="00B56E35">
        <w:rPr>
          <w:szCs w:val="24"/>
        </w:rPr>
        <w:t>h</w:t>
      </w:r>
      <w:r w:rsidR="00BD7FB3" w:rsidRPr="00B56E35">
        <w:rPr>
          <w:szCs w:val="24"/>
        </w:rPr>
        <w:t>e presiding judge standing the matter down</w:t>
      </w:r>
      <w:r w:rsidR="00ED7EEA" w:rsidRPr="00B56E35">
        <w:rPr>
          <w:szCs w:val="24"/>
        </w:rPr>
        <w:t xml:space="preserve"> to the end of the roll for counsel to make their submissions to court.  However, r223 (1) (a) provides for the setting down of uncontested cases for provisional sentence on the roll for unopposed matters.  There is no provision </w:t>
      </w:r>
      <w:r w:rsidR="0022467C">
        <w:rPr>
          <w:szCs w:val="24"/>
        </w:rPr>
        <w:t>i</w:t>
      </w:r>
      <w:r w:rsidR="00ED7EEA" w:rsidRPr="00B56E35">
        <w:rPr>
          <w:szCs w:val="24"/>
        </w:rPr>
        <w:t>n the rules for contested cases for provisional sentence to be set down on the same roll.  The setting down of contested cases for provisional sentence on the “unopposed” roll is therefore not in accordance with the provisions of the rules … The three course</w:t>
      </w:r>
      <w:r w:rsidR="0022467C">
        <w:rPr>
          <w:szCs w:val="24"/>
        </w:rPr>
        <w:t>s</w:t>
      </w:r>
      <w:r w:rsidR="00ED7EEA" w:rsidRPr="00B56E35">
        <w:rPr>
          <w:szCs w:val="24"/>
        </w:rPr>
        <w:t xml:space="preserve"> of action available to the defendant are (a) to satisfy the claim; (b) to file opposing affidavits; or (c) to appear </w:t>
      </w:r>
      <w:r w:rsidR="0022467C">
        <w:rPr>
          <w:szCs w:val="24"/>
        </w:rPr>
        <w:t>i</w:t>
      </w:r>
      <w:r w:rsidR="00ED7EEA" w:rsidRPr="00B56E35">
        <w:rPr>
          <w:szCs w:val="24"/>
        </w:rPr>
        <w:t>n court on the date stated in the summons o</w:t>
      </w:r>
      <w:r w:rsidR="0022467C">
        <w:rPr>
          <w:szCs w:val="24"/>
        </w:rPr>
        <w:t>r</w:t>
      </w:r>
      <w:r w:rsidR="00ED7EEA" w:rsidRPr="00B56E35">
        <w:rPr>
          <w:szCs w:val="24"/>
        </w:rPr>
        <w:t xml:space="preserve"> admit or deny the claim. Where a defendant choose</w:t>
      </w:r>
      <w:r w:rsidR="00B56E35" w:rsidRPr="00B56E35">
        <w:rPr>
          <w:szCs w:val="24"/>
        </w:rPr>
        <w:t xml:space="preserve">s </w:t>
      </w:r>
      <w:r w:rsidR="00ED7EEA" w:rsidRPr="00B56E35">
        <w:rPr>
          <w:szCs w:val="24"/>
        </w:rPr>
        <w:t>to appear in court on the date of the hearing to deny</w:t>
      </w:r>
      <w:r w:rsidR="00E93648" w:rsidRPr="00B56E35">
        <w:rPr>
          <w:szCs w:val="24"/>
        </w:rPr>
        <w:t xml:space="preserve"> liability, it is only then that </w:t>
      </w:r>
      <w:r w:rsidR="0022467C">
        <w:rPr>
          <w:szCs w:val="24"/>
        </w:rPr>
        <w:t>t</w:t>
      </w:r>
      <w:r w:rsidR="00E93648" w:rsidRPr="00B56E35">
        <w:rPr>
          <w:szCs w:val="24"/>
        </w:rPr>
        <w:t xml:space="preserve">he court becomes aware that the matter is contested.  </w:t>
      </w:r>
      <w:r w:rsidR="00E93648" w:rsidRPr="00B56E35">
        <w:rPr>
          <w:szCs w:val="24"/>
          <w:u w:val="single"/>
        </w:rPr>
        <w:t>But if the plaintiff becomes aware before the date of hearing that the matter is opposed he should not s</w:t>
      </w:r>
      <w:r w:rsidR="00B56E35" w:rsidRPr="00B56E35">
        <w:rPr>
          <w:szCs w:val="24"/>
          <w:u w:val="single"/>
        </w:rPr>
        <w:t>e</w:t>
      </w:r>
      <w:r w:rsidR="00E93648" w:rsidRPr="00B56E35">
        <w:rPr>
          <w:szCs w:val="24"/>
          <w:u w:val="single"/>
        </w:rPr>
        <w:t>t it down on the unopposed roll.”</w:t>
      </w:r>
      <w:r w:rsidR="00E93648" w:rsidRPr="00B56E35">
        <w:rPr>
          <w:szCs w:val="24"/>
        </w:rPr>
        <w:t xml:space="preserve"> (my emphasis)</w:t>
      </w:r>
    </w:p>
    <w:p w:rsidR="00E93648" w:rsidRPr="00B56E35" w:rsidRDefault="00E93648" w:rsidP="00B56E35">
      <w:pPr>
        <w:jc w:val="both"/>
        <w:rPr>
          <w:szCs w:val="24"/>
        </w:rPr>
      </w:pPr>
      <w:r w:rsidRPr="00B56E35">
        <w:rPr>
          <w:szCs w:val="24"/>
        </w:rPr>
        <w:tab/>
        <w:t xml:space="preserve">See also </w:t>
      </w:r>
      <w:r w:rsidRPr="00B56E35">
        <w:rPr>
          <w:i/>
          <w:szCs w:val="24"/>
        </w:rPr>
        <w:t>Mavindidze &amp; Anor</w:t>
      </w:r>
      <w:r w:rsidRPr="00B56E35">
        <w:rPr>
          <w:szCs w:val="24"/>
        </w:rPr>
        <w:t xml:space="preserve"> v </w:t>
      </w:r>
      <w:r w:rsidRPr="00B56E35">
        <w:rPr>
          <w:i/>
          <w:szCs w:val="24"/>
        </w:rPr>
        <w:t>Mukonoweshuro</w:t>
      </w:r>
      <w:r w:rsidRPr="00B56E35">
        <w:rPr>
          <w:szCs w:val="24"/>
        </w:rPr>
        <w:t xml:space="preserve"> 2010 (1) ZLR 191 (H); </w:t>
      </w:r>
      <w:r w:rsidRPr="00B56E35">
        <w:rPr>
          <w:i/>
          <w:szCs w:val="24"/>
        </w:rPr>
        <w:t xml:space="preserve">Sibanda </w:t>
      </w:r>
      <w:r w:rsidRPr="00B56E35">
        <w:rPr>
          <w:szCs w:val="24"/>
        </w:rPr>
        <w:t xml:space="preserve">v </w:t>
      </w:r>
      <w:r w:rsidRPr="00B56E35">
        <w:rPr>
          <w:i/>
          <w:szCs w:val="24"/>
        </w:rPr>
        <w:t>Mushapandze</w:t>
      </w:r>
      <w:r w:rsidRPr="00B56E35">
        <w:rPr>
          <w:szCs w:val="24"/>
        </w:rPr>
        <w:t xml:space="preserve"> 2010 (1) ZLR 216 (H); </w:t>
      </w:r>
      <w:r w:rsidRPr="00B56E35">
        <w:rPr>
          <w:i/>
          <w:szCs w:val="24"/>
        </w:rPr>
        <w:t>Spar Harare (Pvt) Ltd</w:t>
      </w:r>
      <w:r w:rsidRPr="00B56E35">
        <w:rPr>
          <w:szCs w:val="24"/>
        </w:rPr>
        <w:t xml:space="preserve"> v </w:t>
      </w:r>
      <w:r w:rsidRPr="00B56E35">
        <w:rPr>
          <w:i/>
          <w:szCs w:val="24"/>
        </w:rPr>
        <w:t xml:space="preserve">Munava Enterprises &amp; Ors </w:t>
      </w:r>
      <w:r w:rsidRPr="00B56E35">
        <w:rPr>
          <w:szCs w:val="24"/>
        </w:rPr>
        <w:t>H-784-16</w:t>
      </w:r>
    </w:p>
    <w:p w:rsidR="00E93648" w:rsidRPr="00B56E35" w:rsidRDefault="00E93648" w:rsidP="00B56E35">
      <w:pPr>
        <w:jc w:val="both"/>
        <w:rPr>
          <w:szCs w:val="24"/>
        </w:rPr>
      </w:pPr>
      <w:r w:rsidRPr="00B56E35">
        <w:rPr>
          <w:szCs w:val="24"/>
        </w:rPr>
        <w:tab/>
      </w:r>
      <w:r w:rsidRPr="00B56E35">
        <w:rPr>
          <w:i/>
          <w:szCs w:val="24"/>
        </w:rPr>
        <w:t>In casu</w:t>
      </w:r>
      <w:r w:rsidRPr="00B56E35">
        <w:rPr>
          <w:szCs w:val="24"/>
        </w:rPr>
        <w:t xml:space="preserve"> t</w:t>
      </w:r>
      <w:r w:rsidR="00B56E35" w:rsidRPr="00B56E35">
        <w:rPr>
          <w:szCs w:val="24"/>
        </w:rPr>
        <w:t>h</w:t>
      </w:r>
      <w:r w:rsidRPr="00B56E35">
        <w:rPr>
          <w:szCs w:val="24"/>
        </w:rPr>
        <w:t xml:space="preserve">e plaintiff became aware before the date of </w:t>
      </w:r>
      <w:r w:rsidR="0022467C">
        <w:rPr>
          <w:szCs w:val="24"/>
        </w:rPr>
        <w:t xml:space="preserve">the </w:t>
      </w:r>
      <w:r w:rsidRPr="00B56E35">
        <w:rPr>
          <w:szCs w:val="24"/>
        </w:rPr>
        <w:t>hearing that the matter was opposed.  Consequently, he should not have set the matter down on the unopposed roll.</w:t>
      </w:r>
    </w:p>
    <w:p w:rsidR="00E93648" w:rsidRPr="00B56E35" w:rsidRDefault="00E93648" w:rsidP="00B56E35">
      <w:pPr>
        <w:jc w:val="both"/>
        <w:rPr>
          <w:szCs w:val="24"/>
        </w:rPr>
      </w:pPr>
      <w:r w:rsidRPr="00B56E35">
        <w:rPr>
          <w:szCs w:val="24"/>
        </w:rPr>
        <w:tab/>
        <w:t>In my view, while M</w:t>
      </w:r>
      <w:r w:rsidRPr="00B56E35">
        <w:rPr>
          <w:sz w:val="20"/>
          <w:szCs w:val="20"/>
        </w:rPr>
        <w:t>AKARAU</w:t>
      </w:r>
      <w:r w:rsidRPr="00B56E35">
        <w:rPr>
          <w:szCs w:val="24"/>
        </w:rPr>
        <w:t xml:space="preserve"> J’s views are noble in that they are consistent with the hallmarks of a brisk and robust remedy provisional sentence provides, currently, the unopposed motion roll is clogged with 60 to 70 cases (for Harare) and 40 to 50 cases for </w:t>
      </w:r>
      <w:r w:rsidR="00B56E35" w:rsidRPr="00B56E35">
        <w:rPr>
          <w:szCs w:val="24"/>
        </w:rPr>
        <w:t>(</w:t>
      </w:r>
      <w:r w:rsidRPr="00B56E35">
        <w:rPr>
          <w:szCs w:val="24"/>
        </w:rPr>
        <w:t>Bulawayo) per week, making the option of standing down opposed matters for provisional sentence to the end of the</w:t>
      </w:r>
      <w:r w:rsidR="00E651FA" w:rsidRPr="00B56E35">
        <w:rPr>
          <w:szCs w:val="24"/>
        </w:rPr>
        <w:t xml:space="preserve"> roll inconvenient and burdensome to the presiding judge who must be satisfied before granting provisional sentence th</w:t>
      </w:r>
      <w:r w:rsidR="00B56E35" w:rsidRPr="00B56E35">
        <w:rPr>
          <w:szCs w:val="24"/>
        </w:rPr>
        <w:t>a</w:t>
      </w:r>
      <w:r w:rsidR="00E651FA" w:rsidRPr="00B56E35">
        <w:rPr>
          <w:szCs w:val="24"/>
        </w:rPr>
        <w:t xml:space="preserve">t the defendant </w:t>
      </w:r>
      <w:r w:rsidR="0022467C">
        <w:rPr>
          <w:szCs w:val="24"/>
        </w:rPr>
        <w:t>h</w:t>
      </w:r>
      <w:r w:rsidR="00E651FA" w:rsidRPr="00B56E35">
        <w:rPr>
          <w:szCs w:val="24"/>
        </w:rPr>
        <w:t>as no probability of success in the principal case.</w:t>
      </w:r>
    </w:p>
    <w:p w:rsidR="00705690" w:rsidRDefault="00B56E35" w:rsidP="00B56E35">
      <w:pPr>
        <w:jc w:val="both"/>
        <w:rPr>
          <w:szCs w:val="24"/>
        </w:rPr>
      </w:pPr>
      <w:r w:rsidRPr="00B56E35">
        <w:rPr>
          <w:szCs w:val="24"/>
        </w:rPr>
        <w:tab/>
        <w:t>In order to do just</w:t>
      </w:r>
      <w:r w:rsidR="00E651FA" w:rsidRPr="00B56E35">
        <w:rPr>
          <w:szCs w:val="24"/>
        </w:rPr>
        <w:t>ice to these cases</w:t>
      </w:r>
      <w:r w:rsidR="00BE5C85">
        <w:rPr>
          <w:szCs w:val="24"/>
        </w:rPr>
        <w:t>, they should be set down on the opposed roll.</w:t>
      </w:r>
    </w:p>
    <w:p w:rsidR="00E651FA" w:rsidRPr="00B56E35" w:rsidRDefault="00705690" w:rsidP="00705690">
      <w:pPr>
        <w:ind w:firstLine="720"/>
        <w:jc w:val="both"/>
        <w:rPr>
          <w:szCs w:val="24"/>
        </w:rPr>
      </w:pPr>
      <w:r>
        <w:rPr>
          <w:szCs w:val="24"/>
        </w:rPr>
        <w:t xml:space="preserve">In the  circumstances, it </w:t>
      </w:r>
      <w:r w:rsidR="00E651FA" w:rsidRPr="00B56E35">
        <w:rPr>
          <w:szCs w:val="24"/>
        </w:rPr>
        <w:t>is ordered that;</w:t>
      </w:r>
    </w:p>
    <w:p w:rsidR="00E651FA" w:rsidRPr="00B56E35" w:rsidRDefault="00E651FA" w:rsidP="00B56E35">
      <w:pPr>
        <w:pStyle w:val="ListParagraph"/>
        <w:numPr>
          <w:ilvl w:val="0"/>
          <w:numId w:val="1"/>
        </w:numPr>
        <w:jc w:val="both"/>
        <w:rPr>
          <w:szCs w:val="24"/>
        </w:rPr>
      </w:pPr>
      <w:r w:rsidRPr="00B56E35">
        <w:rPr>
          <w:szCs w:val="24"/>
        </w:rPr>
        <w:t>The matter is opposed.</w:t>
      </w:r>
    </w:p>
    <w:p w:rsidR="00E651FA" w:rsidRPr="00B56E35" w:rsidRDefault="00E651FA" w:rsidP="00B56E35">
      <w:pPr>
        <w:pStyle w:val="ListParagraph"/>
        <w:numPr>
          <w:ilvl w:val="0"/>
          <w:numId w:val="1"/>
        </w:numPr>
        <w:jc w:val="both"/>
        <w:rPr>
          <w:szCs w:val="24"/>
        </w:rPr>
      </w:pPr>
      <w:r w:rsidRPr="00B56E35">
        <w:rPr>
          <w:szCs w:val="24"/>
        </w:rPr>
        <w:lastRenderedPageBreak/>
        <w:t>Te matter is removed from the roll of unopposed matters.</w:t>
      </w:r>
    </w:p>
    <w:p w:rsidR="00E651FA" w:rsidRPr="00B56E35" w:rsidRDefault="00E651FA" w:rsidP="00B56E35">
      <w:pPr>
        <w:pStyle w:val="ListParagraph"/>
        <w:numPr>
          <w:ilvl w:val="0"/>
          <w:numId w:val="1"/>
        </w:numPr>
        <w:jc w:val="both"/>
        <w:rPr>
          <w:szCs w:val="24"/>
        </w:rPr>
      </w:pPr>
      <w:r w:rsidRPr="00B56E35">
        <w:rPr>
          <w:szCs w:val="24"/>
        </w:rPr>
        <w:t>The Registrar is directed to s</w:t>
      </w:r>
      <w:r w:rsidR="00B56E35" w:rsidRPr="00B56E35">
        <w:rPr>
          <w:szCs w:val="24"/>
        </w:rPr>
        <w:t>e</w:t>
      </w:r>
      <w:r w:rsidRPr="00B56E35">
        <w:rPr>
          <w:szCs w:val="24"/>
        </w:rPr>
        <w:t>t the matter down on the opposed roll.</w:t>
      </w:r>
    </w:p>
    <w:p w:rsidR="00E651FA" w:rsidRDefault="00E651FA" w:rsidP="00B56E35">
      <w:pPr>
        <w:pStyle w:val="ListParagraph"/>
        <w:numPr>
          <w:ilvl w:val="0"/>
          <w:numId w:val="1"/>
        </w:numPr>
        <w:jc w:val="both"/>
        <w:rPr>
          <w:szCs w:val="24"/>
        </w:rPr>
      </w:pPr>
      <w:r w:rsidRPr="00B56E35">
        <w:rPr>
          <w:szCs w:val="24"/>
        </w:rPr>
        <w:t>T</w:t>
      </w:r>
      <w:r w:rsidR="00B56E35" w:rsidRPr="00B56E35">
        <w:rPr>
          <w:szCs w:val="24"/>
        </w:rPr>
        <w:t>h</w:t>
      </w:r>
      <w:r w:rsidRPr="00B56E35">
        <w:rPr>
          <w:szCs w:val="24"/>
        </w:rPr>
        <w:t>ere is no order as to costs.</w:t>
      </w:r>
    </w:p>
    <w:p w:rsidR="00B56E35" w:rsidRDefault="00B56E35" w:rsidP="00B56E35">
      <w:pPr>
        <w:jc w:val="both"/>
        <w:rPr>
          <w:szCs w:val="24"/>
        </w:rPr>
      </w:pPr>
    </w:p>
    <w:p w:rsidR="00B56E35" w:rsidRPr="00B56E35" w:rsidRDefault="00B56E35" w:rsidP="00B56E35">
      <w:pPr>
        <w:jc w:val="both"/>
        <w:rPr>
          <w:szCs w:val="24"/>
        </w:rPr>
      </w:pPr>
    </w:p>
    <w:p w:rsidR="00E651FA" w:rsidRPr="00B56E35" w:rsidRDefault="00E651FA" w:rsidP="00B56E35">
      <w:pPr>
        <w:pStyle w:val="NoSpacing"/>
        <w:jc w:val="both"/>
        <w:rPr>
          <w:szCs w:val="24"/>
        </w:rPr>
      </w:pPr>
      <w:r w:rsidRPr="00B56E35">
        <w:rPr>
          <w:i/>
          <w:szCs w:val="24"/>
        </w:rPr>
        <w:t>Gunje Legal Practice c/o M. R. Pertkar Law Firm</w:t>
      </w:r>
      <w:r w:rsidRPr="00B56E35">
        <w:rPr>
          <w:szCs w:val="24"/>
        </w:rPr>
        <w:t>, plaintiff’s legal practitioners</w:t>
      </w:r>
    </w:p>
    <w:p w:rsidR="00E651FA" w:rsidRPr="00B56E35" w:rsidRDefault="00E651FA" w:rsidP="00B56E35">
      <w:pPr>
        <w:pStyle w:val="NoSpacing"/>
        <w:jc w:val="both"/>
        <w:rPr>
          <w:szCs w:val="24"/>
        </w:rPr>
      </w:pPr>
      <w:r w:rsidRPr="00B56E35">
        <w:rPr>
          <w:i/>
          <w:szCs w:val="24"/>
        </w:rPr>
        <w:t>Coghlan &amp; Welsh</w:t>
      </w:r>
      <w:r w:rsidRPr="00B56E35">
        <w:rPr>
          <w:szCs w:val="24"/>
        </w:rPr>
        <w:t xml:space="preserve"> defendant’s legal practitioners</w:t>
      </w:r>
    </w:p>
    <w:p w:rsidR="006A3585" w:rsidRPr="00B56E35" w:rsidRDefault="006A3585" w:rsidP="00B56E35">
      <w:pPr>
        <w:pStyle w:val="NoSpacing"/>
        <w:jc w:val="both"/>
        <w:rPr>
          <w:szCs w:val="24"/>
        </w:rPr>
      </w:pPr>
    </w:p>
    <w:p w:rsidR="006A3585" w:rsidRPr="00B56E35" w:rsidRDefault="006A3585" w:rsidP="00B56E35">
      <w:pPr>
        <w:pStyle w:val="NoSpacing"/>
        <w:jc w:val="both"/>
        <w:rPr>
          <w:b/>
          <w:szCs w:val="24"/>
        </w:rPr>
      </w:pPr>
    </w:p>
    <w:sectPr w:rsidR="006A3585" w:rsidRPr="00B56E35"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4E6" w:rsidRDefault="009D74E6" w:rsidP="00B56E35">
      <w:pPr>
        <w:spacing w:before="0" w:after="0" w:line="240" w:lineRule="auto"/>
      </w:pPr>
      <w:r>
        <w:separator/>
      </w:r>
    </w:p>
  </w:endnote>
  <w:endnote w:type="continuationSeparator" w:id="1">
    <w:p w:rsidR="009D74E6" w:rsidRDefault="009D74E6" w:rsidP="00B56E3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4E6" w:rsidRDefault="009D74E6" w:rsidP="00B56E35">
      <w:pPr>
        <w:spacing w:before="0" w:after="0" w:line="240" w:lineRule="auto"/>
      </w:pPr>
      <w:r>
        <w:separator/>
      </w:r>
    </w:p>
  </w:footnote>
  <w:footnote w:type="continuationSeparator" w:id="1">
    <w:p w:rsidR="009D74E6" w:rsidRDefault="009D74E6" w:rsidP="00B56E3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7591"/>
      <w:docPartObj>
        <w:docPartGallery w:val="Page Numbers (Top of Page)"/>
        <w:docPartUnique/>
      </w:docPartObj>
    </w:sdtPr>
    <w:sdtContent>
      <w:p w:rsidR="00B56E35" w:rsidRDefault="006E15AD">
        <w:pPr>
          <w:pStyle w:val="Header"/>
          <w:jc w:val="right"/>
        </w:pPr>
        <w:fldSimple w:instr=" PAGE   \* MERGEFORMAT ">
          <w:r w:rsidR="00705690">
            <w:rPr>
              <w:noProof/>
            </w:rPr>
            <w:t>4</w:t>
          </w:r>
        </w:fldSimple>
      </w:p>
      <w:p w:rsidR="00B56E35" w:rsidRDefault="00B56E35" w:rsidP="00B56E35">
        <w:pPr>
          <w:pStyle w:val="NoSpacing"/>
          <w:ind w:left="7920"/>
        </w:pPr>
        <w:r>
          <w:t xml:space="preserve">        HB 94/19</w:t>
        </w:r>
      </w:p>
      <w:p w:rsidR="00B56E35" w:rsidRDefault="00B56E35" w:rsidP="00B56E35">
        <w:pPr>
          <w:pStyle w:val="NoSpacing"/>
          <w:ind w:left="7920"/>
        </w:pPr>
        <w:r>
          <w:t xml:space="preserve">    HC 2530/18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852CD"/>
    <w:multiLevelType w:val="hybridMultilevel"/>
    <w:tmpl w:val="5BD0C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3585"/>
    <w:rsid w:val="001D126B"/>
    <w:rsid w:val="001F23D2"/>
    <w:rsid w:val="0022467C"/>
    <w:rsid w:val="002C7F8A"/>
    <w:rsid w:val="003A3365"/>
    <w:rsid w:val="003E5BAA"/>
    <w:rsid w:val="00464F99"/>
    <w:rsid w:val="00477B02"/>
    <w:rsid w:val="0054317D"/>
    <w:rsid w:val="005D4076"/>
    <w:rsid w:val="005E242B"/>
    <w:rsid w:val="00607D30"/>
    <w:rsid w:val="0068662E"/>
    <w:rsid w:val="006A03C9"/>
    <w:rsid w:val="006A3585"/>
    <w:rsid w:val="006E15AD"/>
    <w:rsid w:val="00701C30"/>
    <w:rsid w:val="00705690"/>
    <w:rsid w:val="007B49A6"/>
    <w:rsid w:val="007D0B26"/>
    <w:rsid w:val="007D2790"/>
    <w:rsid w:val="008A7672"/>
    <w:rsid w:val="008C3209"/>
    <w:rsid w:val="00992B15"/>
    <w:rsid w:val="009A5976"/>
    <w:rsid w:val="009D1EE8"/>
    <w:rsid w:val="009D74E6"/>
    <w:rsid w:val="009E5C1A"/>
    <w:rsid w:val="00A1225E"/>
    <w:rsid w:val="00A50BC8"/>
    <w:rsid w:val="00B56E35"/>
    <w:rsid w:val="00BD7FB3"/>
    <w:rsid w:val="00BE5C85"/>
    <w:rsid w:val="00C61900"/>
    <w:rsid w:val="00D20B4C"/>
    <w:rsid w:val="00D72C55"/>
    <w:rsid w:val="00D81065"/>
    <w:rsid w:val="00DF21FF"/>
    <w:rsid w:val="00E10C27"/>
    <w:rsid w:val="00E651FA"/>
    <w:rsid w:val="00E93648"/>
    <w:rsid w:val="00ED7EEA"/>
    <w:rsid w:val="00F96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E651FA"/>
    <w:pPr>
      <w:ind w:left="720"/>
      <w:contextualSpacing/>
    </w:pPr>
  </w:style>
  <w:style w:type="paragraph" w:styleId="Header">
    <w:name w:val="header"/>
    <w:basedOn w:val="Normal"/>
    <w:link w:val="HeaderChar"/>
    <w:uiPriority w:val="99"/>
    <w:unhideWhenUsed/>
    <w:rsid w:val="00B56E3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6E35"/>
    <w:rPr>
      <w:rFonts w:ascii="Times New Roman" w:hAnsi="Times New Roman"/>
      <w:sz w:val="24"/>
    </w:rPr>
  </w:style>
  <w:style w:type="paragraph" w:styleId="Footer">
    <w:name w:val="footer"/>
    <w:basedOn w:val="Normal"/>
    <w:link w:val="FooterChar"/>
    <w:uiPriority w:val="99"/>
    <w:semiHidden/>
    <w:unhideWhenUsed/>
    <w:rsid w:val="00B56E3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56E3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10</cp:revision>
  <cp:lastPrinted>2019-06-11T06:05:00Z</cp:lastPrinted>
  <dcterms:created xsi:type="dcterms:W3CDTF">2019-06-07T08:43:00Z</dcterms:created>
  <dcterms:modified xsi:type="dcterms:W3CDTF">2019-06-11T06:06:00Z</dcterms:modified>
</cp:coreProperties>
</file>