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C3CC4" w14:textId="5A5E138A" w:rsidR="00F95555" w:rsidRPr="00775261" w:rsidRDefault="00960DF0" w:rsidP="00D05F51">
      <w:pPr>
        <w:jc w:val="both"/>
        <w:rPr>
          <w:sz w:val="24"/>
          <w:szCs w:val="24"/>
        </w:rPr>
      </w:pPr>
      <w:bookmarkStart w:id="0" w:name="_Hlk146262155"/>
      <w:bookmarkStart w:id="1" w:name="_Hlk149723841"/>
      <w:bookmarkStart w:id="2" w:name="_Hlk152505341"/>
      <w:bookmarkStart w:id="3" w:name="_Hlk150434823"/>
      <w:bookmarkStart w:id="4" w:name="_Hlk153988295"/>
      <w:bookmarkStart w:id="5" w:name="_GoBack"/>
      <w:bookmarkEnd w:id="5"/>
      <w:r w:rsidRPr="00775261">
        <w:rPr>
          <w:sz w:val="24"/>
          <w:szCs w:val="24"/>
        </w:rPr>
        <w:t>PETER MUSINDO</w:t>
      </w:r>
    </w:p>
    <w:p w14:paraId="5A043047" w14:textId="082D4321" w:rsidR="00F95555" w:rsidRPr="00775261" w:rsidRDefault="00D05F51" w:rsidP="00D05F51">
      <w:pPr>
        <w:jc w:val="both"/>
        <w:rPr>
          <w:sz w:val="24"/>
          <w:szCs w:val="24"/>
        </w:rPr>
      </w:pPr>
      <w:r>
        <w:rPr>
          <w:sz w:val="24"/>
          <w:szCs w:val="24"/>
        </w:rPr>
        <w:t>v</w:t>
      </w:r>
      <w:r w:rsidR="00F95555" w:rsidRPr="00775261">
        <w:rPr>
          <w:sz w:val="24"/>
          <w:szCs w:val="24"/>
        </w:rPr>
        <w:t>ersus</w:t>
      </w:r>
    </w:p>
    <w:p w14:paraId="0B620973" w14:textId="77777777" w:rsidR="00371B86" w:rsidRPr="00775261" w:rsidRDefault="00371B86" w:rsidP="00D05F51">
      <w:pPr>
        <w:jc w:val="both"/>
        <w:rPr>
          <w:sz w:val="24"/>
          <w:szCs w:val="24"/>
        </w:rPr>
      </w:pPr>
      <w:r w:rsidRPr="00775261">
        <w:rPr>
          <w:sz w:val="24"/>
          <w:szCs w:val="24"/>
        </w:rPr>
        <w:t>ISAAC KAZAMBARA</w:t>
      </w:r>
    </w:p>
    <w:p w14:paraId="4E4E2AC3" w14:textId="64A9B482" w:rsidR="00371B86" w:rsidRPr="00775261" w:rsidRDefault="00D05F51" w:rsidP="00D05F51">
      <w:pPr>
        <w:jc w:val="both"/>
        <w:rPr>
          <w:sz w:val="24"/>
          <w:szCs w:val="24"/>
        </w:rPr>
      </w:pPr>
      <w:r>
        <w:rPr>
          <w:sz w:val="24"/>
          <w:szCs w:val="24"/>
        </w:rPr>
        <w:t>a</w:t>
      </w:r>
      <w:r w:rsidR="00371B86" w:rsidRPr="00775261">
        <w:rPr>
          <w:sz w:val="24"/>
          <w:szCs w:val="24"/>
        </w:rPr>
        <w:t>nd</w:t>
      </w:r>
    </w:p>
    <w:p w14:paraId="5D7ED59D" w14:textId="77777777" w:rsidR="00D05F51" w:rsidRDefault="0057360F" w:rsidP="00D05F51">
      <w:pPr>
        <w:jc w:val="both"/>
        <w:rPr>
          <w:sz w:val="24"/>
          <w:szCs w:val="24"/>
        </w:rPr>
      </w:pPr>
      <w:r w:rsidRPr="00775261">
        <w:rPr>
          <w:sz w:val="24"/>
          <w:szCs w:val="24"/>
        </w:rPr>
        <w:t>MUKUMBA BROTHERS</w:t>
      </w:r>
      <w:r w:rsidR="00371B86" w:rsidRPr="00775261">
        <w:rPr>
          <w:sz w:val="24"/>
          <w:szCs w:val="24"/>
        </w:rPr>
        <w:t xml:space="preserve"> TRANSPORT (PRIVATE) LIMITED </w:t>
      </w:r>
    </w:p>
    <w:p w14:paraId="6DBCF51F" w14:textId="67D27E2F" w:rsidR="00F95555" w:rsidRPr="00775261" w:rsidRDefault="00D05F51" w:rsidP="00BB4BA2">
      <w:pPr>
        <w:jc w:val="both"/>
        <w:rPr>
          <w:sz w:val="24"/>
          <w:szCs w:val="24"/>
        </w:rPr>
      </w:pPr>
      <w:r w:rsidRPr="00775261">
        <w:rPr>
          <w:sz w:val="24"/>
          <w:szCs w:val="24"/>
        </w:rPr>
        <w:t xml:space="preserve">t/a </w:t>
      </w:r>
      <w:r w:rsidR="00371B86" w:rsidRPr="00775261">
        <w:rPr>
          <w:sz w:val="24"/>
          <w:szCs w:val="24"/>
        </w:rPr>
        <w:t>INTER AFRICA BUS SERVICES</w:t>
      </w:r>
    </w:p>
    <w:p w14:paraId="01BB4E98" w14:textId="77777777" w:rsidR="005822E9" w:rsidRDefault="005822E9" w:rsidP="00BB4BA2">
      <w:pPr>
        <w:jc w:val="both"/>
        <w:rPr>
          <w:sz w:val="24"/>
          <w:szCs w:val="24"/>
        </w:rPr>
      </w:pPr>
    </w:p>
    <w:p w14:paraId="1F6D5402" w14:textId="77777777" w:rsidR="00BB4BA2" w:rsidRDefault="00BB4BA2" w:rsidP="00BB4BA2">
      <w:pPr>
        <w:jc w:val="both"/>
        <w:rPr>
          <w:sz w:val="24"/>
          <w:szCs w:val="24"/>
        </w:rPr>
      </w:pPr>
    </w:p>
    <w:p w14:paraId="12E09B41" w14:textId="77777777" w:rsidR="00F95555" w:rsidRPr="00775261" w:rsidRDefault="00F95555" w:rsidP="005822E9">
      <w:pPr>
        <w:spacing w:line="360" w:lineRule="auto"/>
        <w:jc w:val="both"/>
        <w:rPr>
          <w:sz w:val="24"/>
          <w:szCs w:val="24"/>
        </w:rPr>
      </w:pPr>
      <w:r w:rsidRPr="00775261">
        <w:rPr>
          <w:sz w:val="24"/>
          <w:szCs w:val="24"/>
        </w:rPr>
        <w:t>HIGH COURT OF ZIMBABWE</w:t>
      </w:r>
    </w:p>
    <w:p w14:paraId="4DB0BBD1" w14:textId="77777777" w:rsidR="00F95555" w:rsidRPr="00775261" w:rsidRDefault="00F95555" w:rsidP="00D05F51">
      <w:pPr>
        <w:jc w:val="both"/>
        <w:rPr>
          <w:sz w:val="24"/>
          <w:szCs w:val="24"/>
        </w:rPr>
      </w:pPr>
      <w:r w:rsidRPr="00775261">
        <w:rPr>
          <w:sz w:val="24"/>
          <w:szCs w:val="24"/>
        </w:rPr>
        <w:t>DEME J</w:t>
      </w:r>
    </w:p>
    <w:p w14:paraId="10222B67" w14:textId="411D4E4A" w:rsidR="00F95555" w:rsidRPr="00775261" w:rsidRDefault="00F95555" w:rsidP="00BB4BA2">
      <w:pPr>
        <w:jc w:val="both"/>
        <w:rPr>
          <w:sz w:val="24"/>
          <w:szCs w:val="24"/>
        </w:rPr>
      </w:pPr>
      <w:r w:rsidRPr="00775261">
        <w:rPr>
          <w:sz w:val="24"/>
          <w:szCs w:val="24"/>
        </w:rPr>
        <w:t xml:space="preserve">HARARE, </w:t>
      </w:r>
      <w:r w:rsidR="00072E18" w:rsidRPr="00775261">
        <w:rPr>
          <w:sz w:val="24"/>
          <w:szCs w:val="24"/>
        </w:rPr>
        <w:t xml:space="preserve">21 September 2023 and </w:t>
      </w:r>
      <w:r w:rsidR="00D05F51">
        <w:rPr>
          <w:sz w:val="24"/>
          <w:szCs w:val="24"/>
        </w:rPr>
        <w:t>31 October</w:t>
      </w:r>
      <w:r w:rsidR="00B24B60" w:rsidRPr="00775261">
        <w:rPr>
          <w:sz w:val="24"/>
          <w:szCs w:val="24"/>
        </w:rPr>
        <w:t xml:space="preserve"> 2023</w:t>
      </w:r>
    </w:p>
    <w:p w14:paraId="09E7C62B" w14:textId="77777777" w:rsidR="00F95555" w:rsidRDefault="00F95555" w:rsidP="00BB4BA2">
      <w:pPr>
        <w:jc w:val="both"/>
        <w:rPr>
          <w:sz w:val="24"/>
          <w:szCs w:val="24"/>
        </w:rPr>
      </w:pPr>
    </w:p>
    <w:p w14:paraId="55046EA1" w14:textId="77777777" w:rsidR="00BB4BA2" w:rsidRPr="00775261" w:rsidRDefault="00BB4BA2" w:rsidP="00BB4BA2">
      <w:pPr>
        <w:jc w:val="both"/>
        <w:rPr>
          <w:sz w:val="24"/>
          <w:szCs w:val="24"/>
        </w:rPr>
      </w:pPr>
    </w:p>
    <w:p w14:paraId="1BAA187F" w14:textId="5A68775D" w:rsidR="00F95555" w:rsidRPr="00775261" w:rsidRDefault="00B24B60" w:rsidP="00BB4BA2">
      <w:pPr>
        <w:jc w:val="both"/>
        <w:rPr>
          <w:b/>
          <w:sz w:val="24"/>
          <w:szCs w:val="24"/>
        </w:rPr>
      </w:pPr>
      <w:r w:rsidRPr="00775261">
        <w:rPr>
          <w:b/>
          <w:sz w:val="24"/>
          <w:szCs w:val="24"/>
        </w:rPr>
        <w:t>Special Plea for Prescription</w:t>
      </w:r>
    </w:p>
    <w:p w14:paraId="677A6E71" w14:textId="77777777" w:rsidR="00F95555" w:rsidRPr="00775261" w:rsidRDefault="00F95555" w:rsidP="00775261">
      <w:pPr>
        <w:spacing w:line="360" w:lineRule="auto"/>
        <w:jc w:val="both"/>
        <w:rPr>
          <w:b/>
          <w:sz w:val="24"/>
          <w:szCs w:val="24"/>
        </w:rPr>
      </w:pPr>
    </w:p>
    <w:p w14:paraId="5EEBC8A1" w14:textId="0EFA42FB" w:rsidR="00F95555" w:rsidRPr="00775261" w:rsidRDefault="00D05F51" w:rsidP="00D05F51">
      <w:pPr>
        <w:jc w:val="both"/>
        <w:rPr>
          <w:sz w:val="24"/>
          <w:szCs w:val="24"/>
        </w:rPr>
      </w:pPr>
      <w:r>
        <w:rPr>
          <w:i/>
          <w:sz w:val="24"/>
          <w:szCs w:val="24"/>
        </w:rPr>
        <w:t>M</w:t>
      </w:r>
      <w:r w:rsidR="00B24B60" w:rsidRPr="00775261">
        <w:rPr>
          <w:i/>
          <w:sz w:val="24"/>
          <w:szCs w:val="24"/>
        </w:rPr>
        <w:t xml:space="preserve"> Ndlovu</w:t>
      </w:r>
      <w:r>
        <w:rPr>
          <w:i/>
          <w:sz w:val="24"/>
          <w:szCs w:val="24"/>
        </w:rPr>
        <w:t>,</w:t>
      </w:r>
      <w:r w:rsidR="00B24B60" w:rsidRPr="00775261">
        <w:rPr>
          <w:i/>
          <w:sz w:val="24"/>
          <w:szCs w:val="24"/>
        </w:rPr>
        <w:t xml:space="preserve"> </w:t>
      </w:r>
      <w:r w:rsidR="00F95555" w:rsidRPr="00775261">
        <w:rPr>
          <w:sz w:val="24"/>
          <w:szCs w:val="24"/>
        </w:rPr>
        <w:t xml:space="preserve">for the </w:t>
      </w:r>
      <w:r>
        <w:rPr>
          <w:sz w:val="24"/>
          <w:szCs w:val="24"/>
        </w:rPr>
        <w:t>p</w:t>
      </w:r>
      <w:r w:rsidR="002E54CB" w:rsidRPr="00775261">
        <w:rPr>
          <w:sz w:val="24"/>
          <w:szCs w:val="24"/>
        </w:rPr>
        <w:t>laintiff</w:t>
      </w:r>
    </w:p>
    <w:p w14:paraId="1096D06B" w14:textId="77EB6B88" w:rsidR="00F95555" w:rsidRDefault="00B24B60" w:rsidP="00D05F51">
      <w:pPr>
        <w:jc w:val="both"/>
        <w:rPr>
          <w:sz w:val="24"/>
          <w:szCs w:val="24"/>
        </w:rPr>
      </w:pPr>
      <w:r w:rsidRPr="00775261">
        <w:rPr>
          <w:i/>
          <w:sz w:val="24"/>
          <w:szCs w:val="24"/>
        </w:rPr>
        <w:t>T Magwaliba</w:t>
      </w:r>
      <w:r w:rsidR="00D05F51">
        <w:rPr>
          <w:i/>
          <w:sz w:val="24"/>
          <w:szCs w:val="24"/>
        </w:rPr>
        <w:t>,</w:t>
      </w:r>
      <w:r w:rsidRPr="00775261">
        <w:rPr>
          <w:i/>
          <w:sz w:val="24"/>
          <w:szCs w:val="24"/>
        </w:rPr>
        <w:t xml:space="preserve"> </w:t>
      </w:r>
      <w:r w:rsidRPr="00D05F51">
        <w:rPr>
          <w:sz w:val="24"/>
          <w:szCs w:val="24"/>
        </w:rPr>
        <w:t xml:space="preserve">for the </w:t>
      </w:r>
      <w:r w:rsidR="00D05F51">
        <w:rPr>
          <w:sz w:val="24"/>
          <w:szCs w:val="24"/>
        </w:rPr>
        <w:t>d</w:t>
      </w:r>
      <w:r w:rsidRPr="00D05F51">
        <w:rPr>
          <w:sz w:val="24"/>
          <w:szCs w:val="24"/>
        </w:rPr>
        <w:t>efendants</w:t>
      </w:r>
    </w:p>
    <w:p w14:paraId="1D894016" w14:textId="77777777" w:rsidR="00D05F51" w:rsidRPr="00775261" w:rsidRDefault="00D05F51" w:rsidP="00D05F51">
      <w:pPr>
        <w:jc w:val="both"/>
        <w:rPr>
          <w:sz w:val="24"/>
          <w:szCs w:val="24"/>
        </w:rPr>
      </w:pPr>
    </w:p>
    <w:p w14:paraId="04C640D0" w14:textId="77777777" w:rsidR="00F95555" w:rsidRPr="00775261" w:rsidRDefault="00F95555" w:rsidP="00D05F51">
      <w:pPr>
        <w:jc w:val="both"/>
        <w:rPr>
          <w:sz w:val="24"/>
          <w:szCs w:val="24"/>
        </w:rPr>
      </w:pPr>
    </w:p>
    <w:p w14:paraId="76B5C3BB" w14:textId="6A7EE48C" w:rsidR="0032049C" w:rsidRPr="00775261" w:rsidRDefault="00F95555" w:rsidP="00775261">
      <w:pPr>
        <w:spacing w:line="360" w:lineRule="auto"/>
        <w:jc w:val="both"/>
        <w:rPr>
          <w:sz w:val="24"/>
          <w:szCs w:val="24"/>
        </w:rPr>
      </w:pPr>
      <w:r w:rsidRPr="00775261">
        <w:rPr>
          <w:sz w:val="24"/>
          <w:szCs w:val="24"/>
        </w:rPr>
        <w:tab/>
        <w:t>DEME J:</w:t>
      </w:r>
      <w:r w:rsidR="00371B86" w:rsidRPr="00775261">
        <w:rPr>
          <w:sz w:val="24"/>
          <w:szCs w:val="24"/>
        </w:rPr>
        <w:t xml:space="preserve"> </w:t>
      </w:r>
      <w:r w:rsidR="00D2497A">
        <w:rPr>
          <w:sz w:val="24"/>
          <w:szCs w:val="24"/>
        </w:rPr>
        <w:t xml:space="preserve">  </w:t>
      </w:r>
      <w:r w:rsidR="00371B86" w:rsidRPr="00775261">
        <w:rPr>
          <w:sz w:val="24"/>
          <w:szCs w:val="24"/>
        </w:rPr>
        <w:t xml:space="preserve">On </w:t>
      </w:r>
      <w:r w:rsidR="00543F64" w:rsidRPr="00775261">
        <w:rPr>
          <w:sz w:val="24"/>
          <w:szCs w:val="24"/>
        </w:rPr>
        <w:t>31 October</w:t>
      </w:r>
      <w:r w:rsidR="00371B86" w:rsidRPr="00775261">
        <w:rPr>
          <w:sz w:val="24"/>
          <w:szCs w:val="24"/>
        </w:rPr>
        <w:t xml:space="preserve"> 2023</w:t>
      </w:r>
      <w:r w:rsidR="00543F64" w:rsidRPr="00775261">
        <w:rPr>
          <w:sz w:val="24"/>
          <w:szCs w:val="24"/>
        </w:rPr>
        <w:t>, I</w:t>
      </w:r>
      <w:r w:rsidR="00371B86" w:rsidRPr="00775261">
        <w:rPr>
          <w:sz w:val="24"/>
          <w:szCs w:val="24"/>
        </w:rPr>
        <w:t xml:space="preserve"> delivered an order </w:t>
      </w:r>
      <w:r w:rsidR="00543F64" w:rsidRPr="00775261">
        <w:rPr>
          <w:sz w:val="24"/>
          <w:szCs w:val="24"/>
        </w:rPr>
        <w:t>upholding the</w:t>
      </w:r>
      <w:r w:rsidR="00C23D2F" w:rsidRPr="00775261">
        <w:rPr>
          <w:sz w:val="24"/>
          <w:szCs w:val="24"/>
        </w:rPr>
        <w:t xml:space="preserve"> special plea for prescription. I consequently dismissed the claim for damages</w:t>
      </w:r>
      <w:r w:rsidR="0063141E" w:rsidRPr="00775261">
        <w:rPr>
          <w:sz w:val="24"/>
          <w:szCs w:val="24"/>
        </w:rPr>
        <w:t xml:space="preserve"> instituted by the </w:t>
      </w:r>
      <w:r w:rsidR="00D2497A">
        <w:rPr>
          <w:sz w:val="24"/>
          <w:szCs w:val="24"/>
        </w:rPr>
        <w:t>p</w:t>
      </w:r>
      <w:r w:rsidR="0063141E" w:rsidRPr="00775261">
        <w:rPr>
          <w:sz w:val="24"/>
          <w:szCs w:val="24"/>
        </w:rPr>
        <w:t>laintiff</w:t>
      </w:r>
      <w:r w:rsidR="00D2497A">
        <w:rPr>
          <w:sz w:val="24"/>
          <w:szCs w:val="24"/>
        </w:rPr>
        <w:t xml:space="preserve"> against the d</w:t>
      </w:r>
      <w:r w:rsidR="00387265" w:rsidRPr="00775261">
        <w:rPr>
          <w:sz w:val="24"/>
          <w:szCs w:val="24"/>
        </w:rPr>
        <w:t>efendants</w:t>
      </w:r>
      <w:r w:rsidR="0063141E" w:rsidRPr="00775261">
        <w:rPr>
          <w:sz w:val="24"/>
          <w:szCs w:val="24"/>
        </w:rPr>
        <w:t>.</w:t>
      </w:r>
      <w:r w:rsidR="00387265" w:rsidRPr="00775261">
        <w:rPr>
          <w:sz w:val="24"/>
          <w:szCs w:val="24"/>
        </w:rPr>
        <w:t xml:space="preserve"> </w:t>
      </w:r>
      <w:r w:rsidR="00543F64" w:rsidRPr="00775261">
        <w:rPr>
          <w:sz w:val="24"/>
          <w:szCs w:val="24"/>
        </w:rPr>
        <w:t>In particular</w:t>
      </w:r>
      <w:r w:rsidR="0032049C" w:rsidRPr="00775261">
        <w:rPr>
          <w:sz w:val="24"/>
          <w:szCs w:val="24"/>
        </w:rPr>
        <w:t>, the order is as follows:</w:t>
      </w:r>
    </w:p>
    <w:p w14:paraId="7CB3F922" w14:textId="1B467FE5" w:rsidR="0032049C" w:rsidRPr="00D2497A" w:rsidRDefault="00D2497A" w:rsidP="00D2497A">
      <w:pPr>
        <w:tabs>
          <w:tab w:val="left" w:pos="720"/>
          <w:tab w:val="left" w:pos="1080"/>
        </w:tabs>
        <w:jc w:val="both"/>
        <w:rPr>
          <w:sz w:val="22"/>
          <w:szCs w:val="22"/>
        </w:rPr>
      </w:pPr>
      <w:r>
        <w:rPr>
          <w:sz w:val="24"/>
          <w:szCs w:val="24"/>
        </w:rPr>
        <w:tab/>
      </w:r>
      <w:r w:rsidR="0032049C" w:rsidRPr="00D2497A">
        <w:rPr>
          <w:sz w:val="22"/>
          <w:szCs w:val="22"/>
        </w:rPr>
        <w:t>“</w:t>
      </w:r>
      <w:r w:rsidR="009D3357" w:rsidRPr="00D2497A">
        <w:rPr>
          <w:sz w:val="22"/>
          <w:szCs w:val="22"/>
        </w:rPr>
        <w:t xml:space="preserve">1. </w:t>
      </w:r>
      <w:r w:rsidR="0032049C" w:rsidRPr="00D2497A">
        <w:rPr>
          <w:sz w:val="22"/>
          <w:szCs w:val="22"/>
        </w:rPr>
        <w:t>Special plea of prescription taken by the 1</w:t>
      </w:r>
      <w:r w:rsidR="0032049C" w:rsidRPr="00D2497A">
        <w:rPr>
          <w:sz w:val="22"/>
          <w:szCs w:val="22"/>
          <w:vertAlign w:val="superscript"/>
        </w:rPr>
        <w:t>st</w:t>
      </w:r>
      <w:r w:rsidR="0032049C" w:rsidRPr="00D2497A">
        <w:rPr>
          <w:sz w:val="22"/>
          <w:szCs w:val="22"/>
        </w:rPr>
        <w:t xml:space="preserve"> and 2</w:t>
      </w:r>
      <w:r w:rsidR="0032049C" w:rsidRPr="00D2497A">
        <w:rPr>
          <w:sz w:val="22"/>
          <w:szCs w:val="22"/>
          <w:vertAlign w:val="superscript"/>
        </w:rPr>
        <w:t>nd</w:t>
      </w:r>
      <w:r w:rsidR="0032049C" w:rsidRPr="00D2497A">
        <w:rPr>
          <w:sz w:val="22"/>
          <w:szCs w:val="22"/>
        </w:rPr>
        <w:t xml:space="preserve"> Defendants be and is hereby </w:t>
      </w:r>
      <w:r w:rsidRPr="00D2497A">
        <w:rPr>
          <w:sz w:val="22"/>
          <w:szCs w:val="22"/>
        </w:rPr>
        <w:tab/>
      </w:r>
      <w:r>
        <w:rPr>
          <w:sz w:val="22"/>
          <w:szCs w:val="22"/>
        </w:rPr>
        <w:tab/>
      </w:r>
      <w:r>
        <w:rPr>
          <w:sz w:val="22"/>
          <w:szCs w:val="22"/>
        </w:rPr>
        <w:tab/>
      </w:r>
      <w:r w:rsidR="0032049C" w:rsidRPr="00D2497A">
        <w:rPr>
          <w:sz w:val="22"/>
          <w:szCs w:val="22"/>
        </w:rPr>
        <w:t>upheld.</w:t>
      </w:r>
    </w:p>
    <w:p w14:paraId="58F1A2B0" w14:textId="6188C78F" w:rsidR="0032049C" w:rsidRPr="00D2497A" w:rsidRDefault="00D2497A" w:rsidP="00D2497A">
      <w:pPr>
        <w:jc w:val="both"/>
        <w:rPr>
          <w:sz w:val="22"/>
          <w:szCs w:val="22"/>
        </w:rPr>
      </w:pPr>
      <w:r w:rsidRPr="00D2497A">
        <w:rPr>
          <w:sz w:val="22"/>
          <w:szCs w:val="22"/>
        </w:rPr>
        <w:tab/>
      </w:r>
      <w:r>
        <w:rPr>
          <w:sz w:val="22"/>
          <w:szCs w:val="22"/>
        </w:rPr>
        <w:t xml:space="preserve">  </w:t>
      </w:r>
      <w:r w:rsidR="009D3357" w:rsidRPr="00D2497A">
        <w:rPr>
          <w:sz w:val="22"/>
          <w:szCs w:val="22"/>
        </w:rPr>
        <w:t xml:space="preserve">2. </w:t>
      </w:r>
      <w:r w:rsidR="00067ECF" w:rsidRPr="00D2497A">
        <w:rPr>
          <w:sz w:val="22"/>
          <w:szCs w:val="22"/>
        </w:rPr>
        <w:t>Consequently, the Plaintiff’s claim be and is hereby dismissed.</w:t>
      </w:r>
    </w:p>
    <w:p w14:paraId="68B35901" w14:textId="575CA12C" w:rsidR="00067ECF" w:rsidRPr="00D2497A" w:rsidRDefault="00D2497A" w:rsidP="00D2497A">
      <w:pPr>
        <w:jc w:val="both"/>
        <w:rPr>
          <w:sz w:val="22"/>
          <w:szCs w:val="22"/>
        </w:rPr>
      </w:pPr>
      <w:r w:rsidRPr="00D2497A">
        <w:rPr>
          <w:sz w:val="22"/>
          <w:szCs w:val="22"/>
        </w:rPr>
        <w:tab/>
      </w:r>
      <w:r>
        <w:rPr>
          <w:sz w:val="22"/>
          <w:szCs w:val="22"/>
        </w:rPr>
        <w:t xml:space="preserve">  </w:t>
      </w:r>
      <w:r w:rsidR="00067ECF" w:rsidRPr="00D2497A">
        <w:rPr>
          <w:sz w:val="22"/>
          <w:szCs w:val="22"/>
        </w:rPr>
        <w:t xml:space="preserve">3. </w:t>
      </w:r>
      <w:r w:rsidR="00543F64" w:rsidRPr="00D2497A">
        <w:rPr>
          <w:sz w:val="22"/>
          <w:szCs w:val="22"/>
        </w:rPr>
        <w:t>The Plaintiff</w:t>
      </w:r>
      <w:r w:rsidR="00067ECF" w:rsidRPr="00D2497A">
        <w:rPr>
          <w:sz w:val="22"/>
          <w:szCs w:val="22"/>
        </w:rPr>
        <w:t xml:space="preserve"> shall bear costs of suit on an ordinary scale.”</w:t>
      </w:r>
    </w:p>
    <w:p w14:paraId="71932495" w14:textId="77777777" w:rsidR="0032049C" w:rsidRPr="00775261" w:rsidRDefault="0032049C" w:rsidP="00775261">
      <w:pPr>
        <w:spacing w:line="360" w:lineRule="auto"/>
        <w:jc w:val="both"/>
        <w:rPr>
          <w:sz w:val="24"/>
          <w:szCs w:val="24"/>
        </w:rPr>
      </w:pPr>
    </w:p>
    <w:p w14:paraId="49AAC310" w14:textId="4BBFAE2F" w:rsidR="00F40FF3" w:rsidRPr="00775261" w:rsidRDefault="00A443BC" w:rsidP="00775261">
      <w:pPr>
        <w:spacing w:line="360" w:lineRule="auto"/>
        <w:jc w:val="both"/>
        <w:rPr>
          <w:sz w:val="24"/>
          <w:szCs w:val="24"/>
        </w:rPr>
      </w:pPr>
      <w:r>
        <w:rPr>
          <w:sz w:val="24"/>
          <w:szCs w:val="24"/>
        </w:rPr>
        <w:tab/>
      </w:r>
      <w:r w:rsidR="0063141E" w:rsidRPr="00775261">
        <w:rPr>
          <w:sz w:val="24"/>
          <w:szCs w:val="24"/>
        </w:rPr>
        <w:t xml:space="preserve">The </w:t>
      </w:r>
      <w:r>
        <w:rPr>
          <w:sz w:val="24"/>
          <w:szCs w:val="24"/>
        </w:rPr>
        <w:t>p</w:t>
      </w:r>
      <w:r w:rsidR="00543F64" w:rsidRPr="00775261">
        <w:rPr>
          <w:sz w:val="24"/>
          <w:szCs w:val="24"/>
        </w:rPr>
        <w:t>laintiff approached</w:t>
      </w:r>
      <w:r w:rsidR="00C92734" w:rsidRPr="00775261">
        <w:rPr>
          <w:sz w:val="24"/>
          <w:szCs w:val="24"/>
        </w:rPr>
        <w:t xml:space="preserve"> this </w:t>
      </w:r>
      <w:r w:rsidR="00387265" w:rsidRPr="00775261">
        <w:rPr>
          <w:sz w:val="24"/>
          <w:szCs w:val="24"/>
        </w:rPr>
        <w:t xml:space="preserve">court </w:t>
      </w:r>
      <w:r w:rsidR="00C92734" w:rsidRPr="00775261">
        <w:rPr>
          <w:sz w:val="24"/>
          <w:szCs w:val="24"/>
        </w:rPr>
        <w:t xml:space="preserve">with a request for reasons for </w:t>
      </w:r>
      <w:r w:rsidR="00387265" w:rsidRPr="00775261">
        <w:rPr>
          <w:sz w:val="24"/>
          <w:szCs w:val="24"/>
        </w:rPr>
        <w:t xml:space="preserve">the </w:t>
      </w:r>
      <w:r w:rsidR="00543F64" w:rsidRPr="00775261">
        <w:rPr>
          <w:sz w:val="24"/>
          <w:szCs w:val="24"/>
        </w:rPr>
        <w:t>31</w:t>
      </w:r>
      <w:r w:rsidR="00543F64" w:rsidRPr="00775261">
        <w:rPr>
          <w:sz w:val="24"/>
          <w:szCs w:val="24"/>
          <w:vertAlign w:val="superscript"/>
        </w:rPr>
        <w:t>st</w:t>
      </w:r>
      <w:r w:rsidR="00543F64" w:rsidRPr="00775261">
        <w:rPr>
          <w:sz w:val="24"/>
          <w:szCs w:val="24"/>
        </w:rPr>
        <w:t xml:space="preserve"> October</w:t>
      </w:r>
      <w:r w:rsidR="00C92734" w:rsidRPr="00775261">
        <w:rPr>
          <w:sz w:val="24"/>
          <w:szCs w:val="24"/>
        </w:rPr>
        <w:t xml:space="preserve"> </w:t>
      </w:r>
      <w:r w:rsidR="00387265" w:rsidRPr="00775261">
        <w:rPr>
          <w:sz w:val="24"/>
          <w:szCs w:val="24"/>
        </w:rPr>
        <w:t>order</w:t>
      </w:r>
      <w:r w:rsidR="00C92734" w:rsidRPr="00775261">
        <w:rPr>
          <w:sz w:val="24"/>
          <w:szCs w:val="24"/>
        </w:rPr>
        <w:t xml:space="preserve">. </w:t>
      </w:r>
      <w:r w:rsidR="00387265" w:rsidRPr="00775261">
        <w:rPr>
          <w:sz w:val="24"/>
          <w:szCs w:val="24"/>
        </w:rPr>
        <w:t>Hence</w:t>
      </w:r>
      <w:r w:rsidR="00C92734" w:rsidRPr="00775261">
        <w:rPr>
          <w:sz w:val="24"/>
          <w:szCs w:val="24"/>
        </w:rPr>
        <w:t xml:space="preserve">, my task is to give the basis for the order of 31 October 2023. </w:t>
      </w:r>
    </w:p>
    <w:bookmarkEnd w:id="0"/>
    <w:p w14:paraId="1BCE56EB" w14:textId="738119B7" w:rsidR="00F40FF3" w:rsidRPr="00775261" w:rsidRDefault="00A443BC" w:rsidP="00775261">
      <w:pPr>
        <w:spacing w:line="360" w:lineRule="auto"/>
        <w:jc w:val="both"/>
        <w:rPr>
          <w:sz w:val="24"/>
          <w:szCs w:val="24"/>
        </w:rPr>
      </w:pPr>
      <w:r>
        <w:rPr>
          <w:sz w:val="24"/>
          <w:szCs w:val="24"/>
        </w:rPr>
        <w:tab/>
      </w:r>
      <w:r w:rsidR="00F42A9C" w:rsidRPr="00775261">
        <w:rPr>
          <w:sz w:val="24"/>
          <w:szCs w:val="24"/>
        </w:rPr>
        <w:t xml:space="preserve">The </w:t>
      </w:r>
      <w:r>
        <w:rPr>
          <w:sz w:val="24"/>
          <w:szCs w:val="24"/>
        </w:rPr>
        <w:t>p</w:t>
      </w:r>
      <w:r w:rsidR="00F42A9C" w:rsidRPr="00775261">
        <w:rPr>
          <w:sz w:val="24"/>
          <w:szCs w:val="24"/>
        </w:rPr>
        <w:t xml:space="preserve">laintiff </w:t>
      </w:r>
      <w:r w:rsidR="002E54CB" w:rsidRPr="00775261">
        <w:rPr>
          <w:sz w:val="24"/>
          <w:szCs w:val="24"/>
        </w:rPr>
        <w:t xml:space="preserve">instituted an action </w:t>
      </w:r>
      <w:r w:rsidR="00543F64" w:rsidRPr="00775261">
        <w:rPr>
          <w:sz w:val="24"/>
          <w:szCs w:val="24"/>
        </w:rPr>
        <w:t>against the</w:t>
      </w:r>
      <w:r w:rsidR="002E54CB" w:rsidRPr="00775261">
        <w:rPr>
          <w:sz w:val="24"/>
          <w:szCs w:val="24"/>
        </w:rPr>
        <w:t xml:space="preserve"> </w:t>
      </w:r>
      <w:r>
        <w:rPr>
          <w:sz w:val="24"/>
          <w:szCs w:val="24"/>
        </w:rPr>
        <w:t>d</w:t>
      </w:r>
      <w:r w:rsidR="002E54CB" w:rsidRPr="00775261">
        <w:rPr>
          <w:sz w:val="24"/>
          <w:szCs w:val="24"/>
        </w:rPr>
        <w:t xml:space="preserve">efendants </w:t>
      </w:r>
      <w:r w:rsidR="00F42A9C" w:rsidRPr="00775261">
        <w:rPr>
          <w:sz w:val="24"/>
          <w:szCs w:val="24"/>
        </w:rPr>
        <w:t xml:space="preserve">for damages arising from a road traffic accident that </w:t>
      </w:r>
      <w:r w:rsidR="002E54CB" w:rsidRPr="00775261">
        <w:rPr>
          <w:sz w:val="24"/>
          <w:szCs w:val="24"/>
        </w:rPr>
        <w:t xml:space="preserve">was allegedly </w:t>
      </w:r>
      <w:r w:rsidR="00F42A9C" w:rsidRPr="00775261">
        <w:rPr>
          <w:sz w:val="24"/>
          <w:szCs w:val="24"/>
        </w:rPr>
        <w:t xml:space="preserve">caused by the </w:t>
      </w:r>
      <w:r>
        <w:rPr>
          <w:sz w:val="24"/>
          <w:szCs w:val="24"/>
        </w:rPr>
        <w:t>first d</w:t>
      </w:r>
      <w:r w:rsidR="00F42A9C" w:rsidRPr="00775261">
        <w:rPr>
          <w:sz w:val="24"/>
          <w:szCs w:val="24"/>
        </w:rPr>
        <w:t>efendant</w:t>
      </w:r>
      <w:r w:rsidR="009F6E19" w:rsidRPr="00775261">
        <w:rPr>
          <w:sz w:val="24"/>
          <w:szCs w:val="24"/>
        </w:rPr>
        <w:t xml:space="preserve"> on </w:t>
      </w:r>
      <w:r w:rsidR="002E54CB" w:rsidRPr="00775261">
        <w:rPr>
          <w:sz w:val="24"/>
          <w:szCs w:val="24"/>
        </w:rPr>
        <w:t xml:space="preserve">12 </w:t>
      </w:r>
      <w:r w:rsidR="009F6E19" w:rsidRPr="00775261">
        <w:rPr>
          <w:sz w:val="24"/>
          <w:szCs w:val="24"/>
        </w:rPr>
        <w:t>April 2018</w:t>
      </w:r>
      <w:r w:rsidR="00F42A9C" w:rsidRPr="00775261">
        <w:rPr>
          <w:sz w:val="24"/>
          <w:szCs w:val="24"/>
        </w:rPr>
        <w:t xml:space="preserve">. The second </w:t>
      </w:r>
      <w:r>
        <w:rPr>
          <w:sz w:val="24"/>
          <w:szCs w:val="24"/>
        </w:rPr>
        <w:t>d</w:t>
      </w:r>
      <w:r w:rsidR="00F42A9C" w:rsidRPr="00775261">
        <w:rPr>
          <w:sz w:val="24"/>
          <w:szCs w:val="24"/>
        </w:rPr>
        <w:t xml:space="preserve">efendant is being sued in its official capacity as the employer of the </w:t>
      </w:r>
      <w:r>
        <w:rPr>
          <w:sz w:val="24"/>
          <w:szCs w:val="24"/>
        </w:rPr>
        <w:t>first d</w:t>
      </w:r>
      <w:r w:rsidR="00F42A9C" w:rsidRPr="00775261">
        <w:rPr>
          <w:sz w:val="24"/>
          <w:szCs w:val="24"/>
        </w:rPr>
        <w:t>efendant.</w:t>
      </w:r>
    </w:p>
    <w:p w14:paraId="7A521AAE" w14:textId="5F0783A5" w:rsidR="00F42A9C" w:rsidRPr="00775261" w:rsidRDefault="00A443BC" w:rsidP="00775261">
      <w:pPr>
        <w:spacing w:line="360" w:lineRule="auto"/>
        <w:jc w:val="both"/>
        <w:rPr>
          <w:sz w:val="24"/>
          <w:szCs w:val="24"/>
        </w:rPr>
      </w:pPr>
      <w:r>
        <w:rPr>
          <w:sz w:val="24"/>
          <w:szCs w:val="24"/>
        </w:rPr>
        <w:tab/>
      </w:r>
      <w:r w:rsidR="00F42A9C" w:rsidRPr="00775261">
        <w:rPr>
          <w:sz w:val="24"/>
          <w:szCs w:val="24"/>
        </w:rPr>
        <w:t xml:space="preserve">The </w:t>
      </w:r>
      <w:r>
        <w:rPr>
          <w:sz w:val="24"/>
          <w:szCs w:val="24"/>
        </w:rPr>
        <w:t>p</w:t>
      </w:r>
      <w:r w:rsidR="00F42A9C" w:rsidRPr="00775261">
        <w:rPr>
          <w:sz w:val="24"/>
          <w:szCs w:val="24"/>
        </w:rPr>
        <w:t>laintiff’s claim</w:t>
      </w:r>
      <w:r w:rsidR="00874261" w:rsidRPr="00775261">
        <w:rPr>
          <w:sz w:val="24"/>
          <w:szCs w:val="24"/>
        </w:rPr>
        <w:t xml:space="preserve"> is for US$234 000 </w:t>
      </w:r>
      <w:r w:rsidR="00387265" w:rsidRPr="00775261">
        <w:rPr>
          <w:sz w:val="24"/>
          <w:szCs w:val="24"/>
        </w:rPr>
        <w:t xml:space="preserve">which is also payable in local currency at the prevailing official </w:t>
      </w:r>
      <w:r w:rsidR="00874261" w:rsidRPr="00775261">
        <w:rPr>
          <w:sz w:val="24"/>
          <w:szCs w:val="24"/>
        </w:rPr>
        <w:t>rate.</w:t>
      </w:r>
      <w:r w:rsidR="004F0EAB" w:rsidRPr="00775261">
        <w:rPr>
          <w:sz w:val="24"/>
          <w:szCs w:val="24"/>
        </w:rPr>
        <w:t xml:space="preserve"> The breakdown </w:t>
      </w:r>
      <w:r w:rsidR="00543F64" w:rsidRPr="00775261">
        <w:rPr>
          <w:sz w:val="24"/>
          <w:szCs w:val="24"/>
        </w:rPr>
        <w:t>of the</w:t>
      </w:r>
      <w:r w:rsidR="00874261" w:rsidRPr="00775261">
        <w:rPr>
          <w:sz w:val="24"/>
          <w:szCs w:val="24"/>
        </w:rPr>
        <w:t xml:space="preserve"> </w:t>
      </w:r>
      <w:r>
        <w:rPr>
          <w:sz w:val="24"/>
          <w:szCs w:val="24"/>
        </w:rPr>
        <w:t>p</w:t>
      </w:r>
      <w:r w:rsidR="00387265" w:rsidRPr="00775261">
        <w:rPr>
          <w:sz w:val="24"/>
          <w:szCs w:val="24"/>
        </w:rPr>
        <w:t xml:space="preserve">laintiff’s </w:t>
      </w:r>
      <w:r w:rsidR="00874261" w:rsidRPr="00775261">
        <w:rPr>
          <w:sz w:val="24"/>
          <w:szCs w:val="24"/>
        </w:rPr>
        <w:t>claim</w:t>
      </w:r>
      <w:r w:rsidR="00F42A9C" w:rsidRPr="00775261">
        <w:rPr>
          <w:sz w:val="24"/>
          <w:szCs w:val="24"/>
        </w:rPr>
        <w:t xml:space="preserve"> is </w:t>
      </w:r>
      <w:r w:rsidR="004F0EAB" w:rsidRPr="00775261">
        <w:rPr>
          <w:sz w:val="24"/>
          <w:szCs w:val="24"/>
        </w:rPr>
        <w:t>as follows</w:t>
      </w:r>
      <w:r w:rsidR="00F42A9C" w:rsidRPr="00775261">
        <w:rPr>
          <w:sz w:val="24"/>
          <w:szCs w:val="24"/>
        </w:rPr>
        <w:t>:</w:t>
      </w:r>
    </w:p>
    <w:p w14:paraId="32A16F31" w14:textId="68D92C71" w:rsidR="00F42A9C" w:rsidRPr="00775261" w:rsidRDefault="00F42A9C" w:rsidP="00775261">
      <w:pPr>
        <w:pStyle w:val="ListParagraph"/>
        <w:spacing w:line="360" w:lineRule="auto"/>
        <w:jc w:val="both"/>
        <w:rPr>
          <w:sz w:val="24"/>
          <w:szCs w:val="24"/>
        </w:rPr>
      </w:pPr>
      <w:r w:rsidRPr="00775261">
        <w:rPr>
          <w:sz w:val="24"/>
          <w:szCs w:val="24"/>
        </w:rPr>
        <w:t>1.1. Special damages in the sum of $10 000</w:t>
      </w:r>
      <w:r w:rsidR="00874261" w:rsidRPr="00775261">
        <w:rPr>
          <w:sz w:val="24"/>
          <w:szCs w:val="24"/>
        </w:rPr>
        <w:t>;</w:t>
      </w:r>
    </w:p>
    <w:p w14:paraId="692EFDAD" w14:textId="6E8ADBAA" w:rsidR="00F42A9C" w:rsidRPr="00775261" w:rsidRDefault="00F42A9C" w:rsidP="00775261">
      <w:pPr>
        <w:pStyle w:val="ListParagraph"/>
        <w:spacing w:line="360" w:lineRule="auto"/>
        <w:jc w:val="both"/>
        <w:rPr>
          <w:sz w:val="24"/>
          <w:szCs w:val="24"/>
        </w:rPr>
      </w:pPr>
      <w:r w:rsidRPr="00775261">
        <w:rPr>
          <w:sz w:val="24"/>
          <w:szCs w:val="24"/>
        </w:rPr>
        <w:t>1.2. Shock, pain and suffering in the sum of $40 000</w:t>
      </w:r>
      <w:r w:rsidR="00874261" w:rsidRPr="00775261">
        <w:rPr>
          <w:sz w:val="24"/>
          <w:szCs w:val="24"/>
        </w:rPr>
        <w:t>;</w:t>
      </w:r>
    </w:p>
    <w:p w14:paraId="187416E7" w14:textId="601A092F" w:rsidR="00F42A9C" w:rsidRPr="00775261" w:rsidRDefault="00F42A9C" w:rsidP="00775261">
      <w:pPr>
        <w:pStyle w:val="ListParagraph"/>
        <w:spacing w:line="360" w:lineRule="auto"/>
        <w:jc w:val="both"/>
        <w:rPr>
          <w:sz w:val="24"/>
          <w:szCs w:val="24"/>
        </w:rPr>
      </w:pPr>
      <w:r w:rsidRPr="00775261">
        <w:rPr>
          <w:sz w:val="24"/>
          <w:szCs w:val="24"/>
        </w:rPr>
        <w:t>1.3. Permanent disability (35%) and loss of amenities of life in the sum of $100 000</w:t>
      </w:r>
      <w:r w:rsidR="00874261" w:rsidRPr="00775261">
        <w:rPr>
          <w:sz w:val="24"/>
          <w:szCs w:val="24"/>
        </w:rPr>
        <w:t>;</w:t>
      </w:r>
    </w:p>
    <w:p w14:paraId="12240819" w14:textId="61DF36CD" w:rsidR="00F42A9C" w:rsidRPr="00775261" w:rsidRDefault="00F42A9C" w:rsidP="00775261">
      <w:pPr>
        <w:pStyle w:val="ListParagraph"/>
        <w:spacing w:line="360" w:lineRule="auto"/>
        <w:jc w:val="both"/>
        <w:rPr>
          <w:sz w:val="24"/>
          <w:szCs w:val="24"/>
        </w:rPr>
      </w:pPr>
      <w:r w:rsidRPr="00775261">
        <w:rPr>
          <w:sz w:val="24"/>
          <w:szCs w:val="24"/>
        </w:rPr>
        <w:t>1.4. Loss of earnings in the sum of $84 000</w:t>
      </w:r>
      <w:r w:rsidR="00874261" w:rsidRPr="00775261">
        <w:rPr>
          <w:sz w:val="24"/>
          <w:szCs w:val="24"/>
        </w:rPr>
        <w:t>;</w:t>
      </w:r>
    </w:p>
    <w:p w14:paraId="3066E793" w14:textId="661A439B" w:rsidR="00F42A9C" w:rsidRPr="00775261" w:rsidRDefault="00F42A9C" w:rsidP="00775261">
      <w:pPr>
        <w:pStyle w:val="ListParagraph"/>
        <w:spacing w:line="360" w:lineRule="auto"/>
        <w:jc w:val="both"/>
        <w:rPr>
          <w:sz w:val="24"/>
          <w:szCs w:val="24"/>
        </w:rPr>
      </w:pPr>
      <w:r w:rsidRPr="00775261">
        <w:rPr>
          <w:sz w:val="24"/>
          <w:szCs w:val="24"/>
        </w:rPr>
        <w:t>2. Interest at the prescribed rate from 3 May 2021 to the date of full payment</w:t>
      </w:r>
      <w:r w:rsidR="009D3357" w:rsidRPr="00775261">
        <w:rPr>
          <w:sz w:val="24"/>
          <w:szCs w:val="24"/>
        </w:rPr>
        <w:t>.</w:t>
      </w:r>
    </w:p>
    <w:p w14:paraId="6A43F5C9" w14:textId="77777777" w:rsidR="00F42A9C" w:rsidRPr="00775261" w:rsidRDefault="00F42A9C" w:rsidP="00775261">
      <w:pPr>
        <w:pStyle w:val="ListParagraph"/>
        <w:spacing w:line="360" w:lineRule="auto"/>
        <w:jc w:val="both"/>
        <w:rPr>
          <w:sz w:val="24"/>
          <w:szCs w:val="24"/>
        </w:rPr>
      </w:pPr>
    </w:p>
    <w:p w14:paraId="4C390373" w14:textId="4CC23A4B" w:rsidR="00F42A9C" w:rsidRPr="00775261" w:rsidRDefault="004F0EAB" w:rsidP="00A443BC">
      <w:pPr>
        <w:pStyle w:val="ListParagraph"/>
        <w:spacing w:line="360" w:lineRule="auto"/>
        <w:ind w:left="0" w:firstLine="720"/>
        <w:jc w:val="both"/>
        <w:rPr>
          <w:sz w:val="24"/>
          <w:szCs w:val="24"/>
        </w:rPr>
      </w:pPr>
      <w:r w:rsidRPr="00775261">
        <w:rPr>
          <w:sz w:val="24"/>
          <w:szCs w:val="24"/>
        </w:rPr>
        <w:lastRenderedPageBreak/>
        <w:t>T</w:t>
      </w:r>
      <w:r w:rsidR="00F42A9C" w:rsidRPr="00775261">
        <w:rPr>
          <w:sz w:val="24"/>
          <w:szCs w:val="24"/>
        </w:rPr>
        <w:t xml:space="preserve">he </w:t>
      </w:r>
      <w:r w:rsidR="00A443BC">
        <w:rPr>
          <w:sz w:val="24"/>
          <w:szCs w:val="24"/>
        </w:rPr>
        <w:t>p</w:t>
      </w:r>
      <w:r w:rsidR="00F42A9C" w:rsidRPr="00775261">
        <w:rPr>
          <w:sz w:val="24"/>
          <w:szCs w:val="24"/>
        </w:rPr>
        <w:t xml:space="preserve">laintiff is a Zimbabwean male adult. The </w:t>
      </w:r>
      <w:r w:rsidR="00A443BC">
        <w:rPr>
          <w:sz w:val="24"/>
          <w:szCs w:val="24"/>
        </w:rPr>
        <w:t>first d</w:t>
      </w:r>
      <w:r w:rsidR="00F42A9C" w:rsidRPr="00775261">
        <w:rPr>
          <w:sz w:val="24"/>
          <w:szCs w:val="24"/>
        </w:rPr>
        <w:t xml:space="preserve">efendant is a male adult who is an employee of the </w:t>
      </w:r>
      <w:r w:rsidR="00A443BC">
        <w:rPr>
          <w:sz w:val="24"/>
          <w:szCs w:val="24"/>
        </w:rPr>
        <w:t>second</w:t>
      </w:r>
      <w:r w:rsidR="00F42A9C" w:rsidRPr="00775261">
        <w:rPr>
          <w:sz w:val="24"/>
          <w:szCs w:val="24"/>
        </w:rPr>
        <w:t xml:space="preserve"> </w:t>
      </w:r>
      <w:r w:rsidR="00A443BC">
        <w:rPr>
          <w:sz w:val="24"/>
          <w:szCs w:val="24"/>
        </w:rPr>
        <w:t>d</w:t>
      </w:r>
      <w:r w:rsidR="00F42A9C" w:rsidRPr="00775261">
        <w:rPr>
          <w:sz w:val="24"/>
          <w:szCs w:val="24"/>
        </w:rPr>
        <w:t>efendant (a registered business entity).</w:t>
      </w:r>
    </w:p>
    <w:p w14:paraId="7E4CC68B" w14:textId="072A2DCB" w:rsidR="00F42A9C" w:rsidRPr="00775261" w:rsidRDefault="004F0EAB" w:rsidP="00A443BC">
      <w:pPr>
        <w:pStyle w:val="ListParagraph"/>
        <w:spacing w:line="360" w:lineRule="auto"/>
        <w:ind w:left="-90" w:firstLine="810"/>
        <w:jc w:val="both"/>
        <w:rPr>
          <w:sz w:val="24"/>
          <w:szCs w:val="24"/>
        </w:rPr>
      </w:pPr>
      <w:r w:rsidRPr="00775261">
        <w:rPr>
          <w:sz w:val="24"/>
          <w:szCs w:val="24"/>
        </w:rPr>
        <w:t xml:space="preserve">The </w:t>
      </w:r>
      <w:r w:rsidR="00A443BC">
        <w:rPr>
          <w:sz w:val="24"/>
          <w:szCs w:val="24"/>
        </w:rPr>
        <w:t>p</w:t>
      </w:r>
      <w:r w:rsidRPr="00775261">
        <w:rPr>
          <w:sz w:val="24"/>
          <w:szCs w:val="24"/>
        </w:rPr>
        <w:t>laintiff asserted</w:t>
      </w:r>
      <w:r w:rsidR="00F42A9C" w:rsidRPr="00775261">
        <w:rPr>
          <w:sz w:val="24"/>
          <w:szCs w:val="24"/>
        </w:rPr>
        <w:t xml:space="preserve"> that he was employed as a driver before the accident and that the injuries he suffered as a result </w:t>
      </w:r>
      <w:r w:rsidR="009D3357" w:rsidRPr="00775261">
        <w:rPr>
          <w:sz w:val="24"/>
          <w:szCs w:val="24"/>
        </w:rPr>
        <w:t xml:space="preserve">of the accident </w:t>
      </w:r>
      <w:r w:rsidR="00F42A9C" w:rsidRPr="00775261">
        <w:rPr>
          <w:sz w:val="24"/>
          <w:szCs w:val="24"/>
        </w:rPr>
        <w:t xml:space="preserve">have negatively impacted </w:t>
      </w:r>
      <w:r w:rsidR="009D3357" w:rsidRPr="00775261">
        <w:rPr>
          <w:sz w:val="24"/>
          <w:szCs w:val="24"/>
        </w:rPr>
        <w:t>his life hence the claim</w:t>
      </w:r>
      <w:r w:rsidR="00F42A9C" w:rsidRPr="00775261">
        <w:rPr>
          <w:sz w:val="24"/>
          <w:szCs w:val="24"/>
        </w:rPr>
        <w:t xml:space="preserve"> he is making.</w:t>
      </w:r>
    </w:p>
    <w:p w14:paraId="337D10DC" w14:textId="0D3D9838" w:rsidR="00F42A9C" w:rsidRPr="00775261" w:rsidRDefault="00F42A9C" w:rsidP="00A443BC">
      <w:pPr>
        <w:pStyle w:val="ListParagraph"/>
        <w:spacing w:line="360" w:lineRule="auto"/>
        <w:ind w:left="0" w:firstLine="720"/>
        <w:jc w:val="both"/>
        <w:rPr>
          <w:sz w:val="24"/>
          <w:szCs w:val="24"/>
        </w:rPr>
      </w:pPr>
      <w:r w:rsidRPr="00775261">
        <w:rPr>
          <w:sz w:val="24"/>
          <w:szCs w:val="24"/>
        </w:rPr>
        <w:t xml:space="preserve">The </w:t>
      </w:r>
      <w:r w:rsidR="00A443BC">
        <w:rPr>
          <w:sz w:val="24"/>
          <w:szCs w:val="24"/>
        </w:rPr>
        <w:t>p</w:t>
      </w:r>
      <w:r w:rsidRPr="00775261">
        <w:rPr>
          <w:sz w:val="24"/>
          <w:szCs w:val="24"/>
        </w:rPr>
        <w:t xml:space="preserve">laintiff in his papers stated that the </w:t>
      </w:r>
      <w:r w:rsidR="00A443BC">
        <w:rPr>
          <w:sz w:val="24"/>
          <w:szCs w:val="24"/>
        </w:rPr>
        <w:t>first d</w:t>
      </w:r>
      <w:r w:rsidRPr="00775261">
        <w:rPr>
          <w:sz w:val="24"/>
          <w:szCs w:val="24"/>
        </w:rPr>
        <w:t xml:space="preserve">efendant admitted liability for the accident, with the </w:t>
      </w:r>
      <w:r w:rsidR="00A443BC">
        <w:rPr>
          <w:sz w:val="24"/>
          <w:szCs w:val="24"/>
        </w:rPr>
        <w:t>second</w:t>
      </w:r>
      <w:r w:rsidRPr="00775261">
        <w:rPr>
          <w:sz w:val="24"/>
          <w:szCs w:val="24"/>
        </w:rPr>
        <w:t xml:space="preserve"> </w:t>
      </w:r>
      <w:r w:rsidR="00A443BC">
        <w:rPr>
          <w:sz w:val="24"/>
          <w:szCs w:val="24"/>
        </w:rPr>
        <w:t>d</w:t>
      </w:r>
      <w:r w:rsidRPr="00775261">
        <w:rPr>
          <w:sz w:val="24"/>
          <w:szCs w:val="24"/>
        </w:rPr>
        <w:t xml:space="preserve">efendant accepting that they would compensate the </w:t>
      </w:r>
      <w:r w:rsidR="00A443BC">
        <w:rPr>
          <w:sz w:val="24"/>
          <w:szCs w:val="24"/>
        </w:rPr>
        <w:t>p</w:t>
      </w:r>
      <w:r w:rsidRPr="00775261">
        <w:rPr>
          <w:sz w:val="24"/>
          <w:szCs w:val="24"/>
        </w:rPr>
        <w:t xml:space="preserve">laintiff as they were vicariously liable for the actions of the </w:t>
      </w:r>
      <w:r w:rsidR="00A443BC">
        <w:rPr>
          <w:sz w:val="24"/>
          <w:szCs w:val="24"/>
        </w:rPr>
        <w:t>first d</w:t>
      </w:r>
      <w:r w:rsidRPr="00775261">
        <w:rPr>
          <w:sz w:val="24"/>
          <w:szCs w:val="24"/>
        </w:rPr>
        <w:t xml:space="preserve">efendant as the accident occurred during the course of </w:t>
      </w:r>
      <w:r w:rsidR="009D3357" w:rsidRPr="00775261">
        <w:rPr>
          <w:sz w:val="24"/>
          <w:szCs w:val="24"/>
        </w:rPr>
        <w:t xml:space="preserve">the </w:t>
      </w:r>
      <w:r w:rsidR="00A443BC">
        <w:rPr>
          <w:sz w:val="24"/>
          <w:szCs w:val="24"/>
        </w:rPr>
        <w:t>first</w:t>
      </w:r>
      <w:r w:rsidR="009D3357" w:rsidRPr="00775261">
        <w:rPr>
          <w:sz w:val="24"/>
          <w:szCs w:val="24"/>
        </w:rPr>
        <w:t xml:space="preserve"> </w:t>
      </w:r>
      <w:r w:rsidR="00A443BC">
        <w:rPr>
          <w:sz w:val="24"/>
          <w:szCs w:val="24"/>
        </w:rPr>
        <w:t>d</w:t>
      </w:r>
      <w:r w:rsidR="009D3357" w:rsidRPr="00775261">
        <w:rPr>
          <w:sz w:val="24"/>
          <w:szCs w:val="24"/>
        </w:rPr>
        <w:t xml:space="preserve">efendant’s </w:t>
      </w:r>
      <w:r w:rsidRPr="00775261">
        <w:rPr>
          <w:sz w:val="24"/>
          <w:szCs w:val="24"/>
        </w:rPr>
        <w:t>duty</w:t>
      </w:r>
      <w:r w:rsidR="00025048" w:rsidRPr="00775261">
        <w:rPr>
          <w:sz w:val="24"/>
          <w:szCs w:val="24"/>
        </w:rPr>
        <w:t xml:space="preserve">. According to the </w:t>
      </w:r>
      <w:r w:rsidR="00A443BC">
        <w:rPr>
          <w:sz w:val="24"/>
          <w:szCs w:val="24"/>
        </w:rPr>
        <w:t>p</w:t>
      </w:r>
      <w:r w:rsidR="00025048" w:rsidRPr="00775261">
        <w:rPr>
          <w:sz w:val="24"/>
          <w:szCs w:val="24"/>
        </w:rPr>
        <w:t xml:space="preserve">laintiff, however, to date he has been </w:t>
      </w:r>
      <w:r w:rsidR="00305577" w:rsidRPr="00775261">
        <w:rPr>
          <w:sz w:val="24"/>
          <w:szCs w:val="24"/>
        </w:rPr>
        <w:t>offered US</w:t>
      </w:r>
      <w:r w:rsidR="00025048" w:rsidRPr="00775261">
        <w:rPr>
          <w:sz w:val="24"/>
          <w:szCs w:val="24"/>
        </w:rPr>
        <w:t xml:space="preserve">$3 000 by the </w:t>
      </w:r>
      <w:r w:rsidR="00A443BC">
        <w:rPr>
          <w:sz w:val="24"/>
          <w:szCs w:val="24"/>
        </w:rPr>
        <w:t>second d</w:t>
      </w:r>
      <w:r w:rsidR="00025048" w:rsidRPr="00775261">
        <w:rPr>
          <w:sz w:val="24"/>
          <w:szCs w:val="24"/>
        </w:rPr>
        <w:t xml:space="preserve">efendant. It is this refusal by the </w:t>
      </w:r>
      <w:r w:rsidR="00A443BC">
        <w:rPr>
          <w:sz w:val="24"/>
          <w:szCs w:val="24"/>
        </w:rPr>
        <w:t>second</w:t>
      </w:r>
      <w:r w:rsidR="00025048" w:rsidRPr="00775261">
        <w:rPr>
          <w:sz w:val="24"/>
          <w:szCs w:val="24"/>
        </w:rPr>
        <w:t xml:space="preserve"> </w:t>
      </w:r>
      <w:r w:rsidR="00A443BC">
        <w:rPr>
          <w:sz w:val="24"/>
          <w:szCs w:val="24"/>
        </w:rPr>
        <w:t>d</w:t>
      </w:r>
      <w:r w:rsidR="00025048" w:rsidRPr="00775261">
        <w:rPr>
          <w:sz w:val="24"/>
          <w:szCs w:val="24"/>
        </w:rPr>
        <w:t xml:space="preserve">efendant to </w:t>
      </w:r>
      <w:r w:rsidR="00B47885">
        <w:rPr>
          <w:sz w:val="24"/>
          <w:szCs w:val="24"/>
        </w:rPr>
        <w:t xml:space="preserve">fully </w:t>
      </w:r>
      <w:r w:rsidR="00025048" w:rsidRPr="00775261">
        <w:rPr>
          <w:sz w:val="24"/>
          <w:szCs w:val="24"/>
        </w:rPr>
        <w:t xml:space="preserve">settle the amount </w:t>
      </w:r>
      <w:r w:rsidR="00B47885">
        <w:rPr>
          <w:sz w:val="24"/>
          <w:szCs w:val="24"/>
        </w:rPr>
        <w:t xml:space="preserve">claimed </w:t>
      </w:r>
      <w:r w:rsidR="00025048" w:rsidRPr="00775261">
        <w:rPr>
          <w:sz w:val="24"/>
          <w:szCs w:val="24"/>
        </w:rPr>
        <w:t xml:space="preserve">by the </w:t>
      </w:r>
      <w:r w:rsidR="00A443BC">
        <w:rPr>
          <w:sz w:val="24"/>
          <w:szCs w:val="24"/>
        </w:rPr>
        <w:t>p</w:t>
      </w:r>
      <w:r w:rsidR="00025048" w:rsidRPr="00775261">
        <w:rPr>
          <w:sz w:val="24"/>
          <w:szCs w:val="24"/>
        </w:rPr>
        <w:t>laintiff that has led to the institution of these court proceedings.</w:t>
      </w:r>
    </w:p>
    <w:p w14:paraId="38E4C03D" w14:textId="409F7F13" w:rsidR="003378E5" w:rsidRPr="00775261" w:rsidRDefault="00726154" w:rsidP="00A443BC">
      <w:pPr>
        <w:pStyle w:val="ListParagraph"/>
        <w:spacing w:line="360" w:lineRule="auto"/>
        <w:ind w:left="0" w:firstLine="720"/>
        <w:jc w:val="both"/>
        <w:rPr>
          <w:sz w:val="24"/>
          <w:szCs w:val="24"/>
        </w:rPr>
      </w:pPr>
      <w:r w:rsidRPr="00775261">
        <w:rPr>
          <w:sz w:val="24"/>
          <w:szCs w:val="24"/>
        </w:rPr>
        <w:t>In defending the present</w:t>
      </w:r>
      <w:r w:rsidR="007672D2" w:rsidRPr="00775261">
        <w:rPr>
          <w:sz w:val="24"/>
          <w:szCs w:val="24"/>
        </w:rPr>
        <w:t xml:space="preserve"> </w:t>
      </w:r>
      <w:r w:rsidR="00874261" w:rsidRPr="00775261">
        <w:rPr>
          <w:sz w:val="24"/>
          <w:szCs w:val="24"/>
        </w:rPr>
        <w:t>application,</w:t>
      </w:r>
      <w:r w:rsidRPr="00775261">
        <w:rPr>
          <w:sz w:val="24"/>
          <w:szCs w:val="24"/>
        </w:rPr>
        <w:t xml:space="preserve"> the </w:t>
      </w:r>
      <w:r w:rsidR="00A443BC">
        <w:rPr>
          <w:sz w:val="24"/>
          <w:szCs w:val="24"/>
        </w:rPr>
        <w:t>d</w:t>
      </w:r>
      <w:r w:rsidRPr="00775261">
        <w:rPr>
          <w:sz w:val="24"/>
          <w:szCs w:val="24"/>
        </w:rPr>
        <w:t>efendants raised a special plea of prescription</w:t>
      </w:r>
      <w:r w:rsidR="0064463F" w:rsidRPr="00775261">
        <w:rPr>
          <w:sz w:val="24"/>
          <w:szCs w:val="24"/>
        </w:rPr>
        <w:t xml:space="preserve">. The </w:t>
      </w:r>
      <w:r w:rsidR="00A443BC">
        <w:rPr>
          <w:sz w:val="24"/>
          <w:szCs w:val="24"/>
        </w:rPr>
        <w:t>d</w:t>
      </w:r>
      <w:r w:rsidR="0064463F" w:rsidRPr="00775261">
        <w:rPr>
          <w:sz w:val="24"/>
          <w:szCs w:val="24"/>
        </w:rPr>
        <w:t xml:space="preserve">efendants acknowledged that whilst it is common cause that the accident did occur on 12 April 2018 the </w:t>
      </w:r>
      <w:r w:rsidR="00A443BC">
        <w:rPr>
          <w:sz w:val="24"/>
          <w:szCs w:val="24"/>
        </w:rPr>
        <w:t>p</w:t>
      </w:r>
      <w:r w:rsidR="0064463F" w:rsidRPr="00775261">
        <w:rPr>
          <w:sz w:val="24"/>
          <w:szCs w:val="24"/>
        </w:rPr>
        <w:t xml:space="preserve">laintiff was sluggard in his approach by not </w:t>
      </w:r>
      <w:r w:rsidR="00305577" w:rsidRPr="00775261">
        <w:rPr>
          <w:sz w:val="24"/>
          <w:szCs w:val="24"/>
        </w:rPr>
        <w:t xml:space="preserve">timeously </w:t>
      </w:r>
      <w:r w:rsidR="0064463F" w:rsidRPr="00775261">
        <w:rPr>
          <w:sz w:val="24"/>
          <w:szCs w:val="24"/>
        </w:rPr>
        <w:t xml:space="preserve">prosecuting the matter. According to the </w:t>
      </w:r>
      <w:r w:rsidR="00A443BC">
        <w:rPr>
          <w:sz w:val="24"/>
          <w:szCs w:val="24"/>
        </w:rPr>
        <w:t>d</w:t>
      </w:r>
      <w:r w:rsidR="0064463F" w:rsidRPr="00775261">
        <w:rPr>
          <w:sz w:val="24"/>
          <w:szCs w:val="24"/>
        </w:rPr>
        <w:t>efendants</w:t>
      </w:r>
      <w:r w:rsidR="00305577" w:rsidRPr="00775261">
        <w:rPr>
          <w:sz w:val="24"/>
          <w:szCs w:val="24"/>
        </w:rPr>
        <w:t>,</w:t>
      </w:r>
      <w:r w:rsidR="0064463F" w:rsidRPr="00775261">
        <w:rPr>
          <w:sz w:val="24"/>
          <w:szCs w:val="24"/>
        </w:rPr>
        <w:t xml:space="preserve"> the failure by the </w:t>
      </w:r>
      <w:r w:rsidR="00A443BC">
        <w:rPr>
          <w:sz w:val="24"/>
          <w:szCs w:val="24"/>
        </w:rPr>
        <w:t>p</w:t>
      </w:r>
      <w:r w:rsidR="0064463F" w:rsidRPr="00775261">
        <w:rPr>
          <w:sz w:val="24"/>
          <w:szCs w:val="24"/>
        </w:rPr>
        <w:t xml:space="preserve">laintiff to prosecute his matter within time cannot be held against them and the present proceedings should therefore fail. </w:t>
      </w:r>
    </w:p>
    <w:p w14:paraId="01C886CF" w14:textId="64ADE60F" w:rsidR="003378E5" w:rsidRPr="00775261" w:rsidRDefault="003378E5" w:rsidP="00A443BC">
      <w:pPr>
        <w:pStyle w:val="ListParagraph"/>
        <w:spacing w:line="360" w:lineRule="auto"/>
        <w:ind w:left="0" w:firstLine="720"/>
        <w:jc w:val="both"/>
        <w:rPr>
          <w:sz w:val="24"/>
          <w:szCs w:val="24"/>
        </w:rPr>
      </w:pPr>
      <w:r w:rsidRPr="00775261">
        <w:rPr>
          <w:sz w:val="24"/>
          <w:szCs w:val="24"/>
        </w:rPr>
        <w:t xml:space="preserve">It was argued on the </w:t>
      </w:r>
      <w:r w:rsidR="00A443BC">
        <w:rPr>
          <w:sz w:val="24"/>
          <w:szCs w:val="24"/>
        </w:rPr>
        <w:t>d</w:t>
      </w:r>
      <w:r w:rsidRPr="00775261">
        <w:rPr>
          <w:sz w:val="24"/>
          <w:szCs w:val="24"/>
        </w:rPr>
        <w:t xml:space="preserve">efendants’ behalf that the </w:t>
      </w:r>
      <w:r w:rsidR="002D7DA0">
        <w:rPr>
          <w:sz w:val="24"/>
          <w:szCs w:val="24"/>
        </w:rPr>
        <w:t>p</w:t>
      </w:r>
      <w:r w:rsidRPr="00775261">
        <w:rPr>
          <w:sz w:val="24"/>
          <w:szCs w:val="24"/>
        </w:rPr>
        <w:t>laintiff was not candid with the court as he failed to mention to the court that he had initiated initial proceedings in June 2021 under case number HC</w:t>
      </w:r>
      <w:r w:rsidR="00B61370">
        <w:rPr>
          <w:sz w:val="24"/>
          <w:szCs w:val="24"/>
        </w:rPr>
        <w:t xml:space="preserve"> </w:t>
      </w:r>
      <w:r w:rsidRPr="00775261">
        <w:rPr>
          <w:sz w:val="24"/>
          <w:szCs w:val="24"/>
        </w:rPr>
        <w:t xml:space="preserve">3278/21 which proceedings were then abandoned </w:t>
      </w:r>
      <w:r w:rsidR="005D45C6" w:rsidRPr="00775261">
        <w:rPr>
          <w:sz w:val="24"/>
          <w:szCs w:val="24"/>
        </w:rPr>
        <w:t>because they were fatally defective.</w:t>
      </w:r>
    </w:p>
    <w:p w14:paraId="36E428F7" w14:textId="7A6ED49D" w:rsidR="00726154" w:rsidRPr="00775261" w:rsidRDefault="0064463F" w:rsidP="00B61370">
      <w:pPr>
        <w:pStyle w:val="ListParagraph"/>
        <w:spacing w:line="360" w:lineRule="auto"/>
        <w:ind w:left="90" w:firstLine="630"/>
        <w:jc w:val="both"/>
        <w:rPr>
          <w:sz w:val="24"/>
          <w:szCs w:val="24"/>
        </w:rPr>
      </w:pPr>
      <w:r w:rsidRPr="00775261">
        <w:rPr>
          <w:sz w:val="24"/>
          <w:szCs w:val="24"/>
        </w:rPr>
        <w:t xml:space="preserve">The </w:t>
      </w:r>
      <w:r w:rsidR="00B61370">
        <w:rPr>
          <w:sz w:val="24"/>
          <w:szCs w:val="24"/>
        </w:rPr>
        <w:t>d</w:t>
      </w:r>
      <w:r w:rsidRPr="00775261">
        <w:rPr>
          <w:sz w:val="24"/>
          <w:szCs w:val="24"/>
        </w:rPr>
        <w:t xml:space="preserve">efendants prayed </w:t>
      </w:r>
      <w:r w:rsidR="005C4974" w:rsidRPr="00775261">
        <w:rPr>
          <w:sz w:val="24"/>
          <w:szCs w:val="24"/>
        </w:rPr>
        <w:t xml:space="preserve">for </w:t>
      </w:r>
      <w:r w:rsidRPr="00775261">
        <w:rPr>
          <w:sz w:val="24"/>
          <w:szCs w:val="24"/>
        </w:rPr>
        <w:t xml:space="preserve">an </w:t>
      </w:r>
      <w:r w:rsidR="00543F64" w:rsidRPr="00775261">
        <w:rPr>
          <w:sz w:val="24"/>
          <w:szCs w:val="24"/>
        </w:rPr>
        <w:t>order for</w:t>
      </w:r>
      <w:r w:rsidR="005C4974" w:rsidRPr="00775261">
        <w:rPr>
          <w:sz w:val="24"/>
          <w:szCs w:val="24"/>
        </w:rPr>
        <w:t xml:space="preserve"> the </w:t>
      </w:r>
      <w:r w:rsidRPr="00775261">
        <w:rPr>
          <w:sz w:val="24"/>
          <w:szCs w:val="24"/>
        </w:rPr>
        <w:t xml:space="preserve">upholding </w:t>
      </w:r>
      <w:r w:rsidR="005C4974" w:rsidRPr="00775261">
        <w:rPr>
          <w:sz w:val="24"/>
          <w:szCs w:val="24"/>
        </w:rPr>
        <w:t xml:space="preserve">of </w:t>
      </w:r>
      <w:r w:rsidRPr="00775261">
        <w:rPr>
          <w:sz w:val="24"/>
          <w:szCs w:val="24"/>
        </w:rPr>
        <w:t>the special plea</w:t>
      </w:r>
      <w:r w:rsidR="005C4974" w:rsidRPr="00775261">
        <w:rPr>
          <w:sz w:val="24"/>
          <w:szCs w:val="24"/>
        </w:rPr>
        <w:t xml:space="preserve"> of prescription and consequently for the </w:t>
      </w:r>
      <w:r w:rsidR="00543F64" w:rsidRPr="00775261">
        <w:rPr>
          <w:sz w:val="24"/>
          <w:szCs w:val="24"/>
        </w:rPr>
        <w:t>dismissal of</w:t>
      </w:r>
      <w:r w:rsidR="005C4974" w:rsidRPr="00775261">
        <w:rPr>
          <w:sz w:val="24"/>
          <w:szCs w:val="24"/>
        </w:rPr>
        <w:t xml:space="preserve"> </w:t>
      </w:r>
      <w:r w:rsidR="003378E5" w:rsidRPr="00775261">
        <w:rPr>
          <w:sz w:val="24"/>
          <w:szCs w:val="24"/>
        </w:rPr>
        <w:t xml:space="preserve">the </w:t>
      </w:r>
      <w:r w:rsidR="00B61370">
        <w:rPr>
          <w:sz w:val="24"/>
          <w:szCs w:val="24"/>
        </w:rPr>
        <w:t>p</w:t>
      </w:r>
      <w:r w:rsidR="003378E5" w:rsidRPr="00775261">
        <w:rPr>
          <w:sz w:val="24"/>
          <w:szCs w:val="24"/>
        </w:rPr>
        <w:t>laintiff’s claim</w:t>
      </w:r>
      <w:r w:rsidR="005C4974" w:rsidRPr="00775261">
        <w:rPr>
          <w:sz w:val="24"/>
          <w:szCs w:val="24"/>
        </w:rPr>
        <w:t xml:space="preserve">. The </w:t>
      </w:r>
      <w:r w:rsidR="00B61370">
        <w:rPr>
          <w:sz w:val="24"/>
          <w:szCs w:val="24"/>
        </w:rPr>
        <w:t>d</w:t>
      </w:r>
      <w:r w:rsidR="005C4974" w:rsidRPr="00775261">
        <w:rPr>
          <w:sz w:val="24"/>
          <w:szCs w:val="24"/>
        </w:rPr>
        <w:t xml:space="preserve">efendants </w:t>
      </w:r>
      <w:r w:rsidR="00543F64" w:rsidRPr="00775261">
        <w:rPr>
          <w:sz w:val="24"/>
          <w:szCs w:val="24"/>
        </w:rPr>
        <w:t>also prayed</w:t>
      </w:r>
      <w:r w:rsidR="005C4974" w:rsidRPr="00775261">
        <w:rPr>
          <w:sz w:val="24"/>
          <w:szCs w:val="24"/>
        </w:rPr>
        <w:t xml:space="preserve"> for an </w:t>
      </w:r>
      <w:r w:rsidR="00543F64" w:rsidRPr="00775261">
        <w:rPr>
          <w:sz w:val="24"/>
          <w:szCs w:val="24"/>
        </w:rPr>
        <w:t>order of</w:t>
      </w:r>
      <w:r w:rsidR="005C4974" w:rsidRPr="00775261">
        <w:rPr>
          <w:sz w:val="24"/>
          <w:szCs w:val="24"/>
        </w:rPr>
        <w:t xml:space="preserve"> </w:t>
      </w:r>
      <w:r w:rsidR="003378E5" w:rsidRPr="00775261">
        <w:rPr>
          <w:sz w:val="24"/>
          <w:szCs w:val="24"/>
        </w:rPr>
        <w:t xml:space="preserve">costs </w:t>
      </w:r>
      <w:r w:rsidR="005D45C6" w:rsidRPr="00775261">
        <w:rPr>
          <w:sz w:val="24"/>
          <w:szCs w:val="24"/>
        </w:rPr>
        <w:t>on an attorney and client scale.</w:t>
      </w:r>
    </w:p>
    <w:p w14:paraId="5A996CCC" w14:textId="258B7238" w:rsidR="005B3C72" w:rsidRPr="00775261" w:rsidRDefault="005D45C6" w:rsidP="00B61370">
      <w:pPr>
        <w:pStyle w:val="ListParagraph"/>
        <w:spacing w:line="360" w:lineRule="auto"/>
        <w:ind w:left="0" w:firstLine="720"/>
        <w:jc w:val="both"/>
        <w:rPr>
          <w:sz w:val="24"/>
          <w:szCs w:val="24"/>
        </w:rPr>
      </w:pPr>
      <w:r w:rsidRPr="00775261">
        <w:rPr>
          <w:sz w:val="24"/>
          <w:szCs w:val="24"/>
        </w:rPr>
        <w:t xml:space="preserve">In replication the </w:t>
      </w:r>
      <w:r w:rsidR="00B61370">
        <w:rPr>
          <w:sz w:val="24"/>
          <w:szCs w:val="24"/>
        </w:rPr>
        <w:t>p</w:t>
      </w:r>
      <w:r w:rsidRPr="00775261">
        <w:rPr>
          <w:sz w:val="24"/>
          <w:szCs w:val="24"/>
        </w:rPr>
        <w:t xml:space="preserve">laintiff averred that prescription had been interrupted by the </w:t>
      </w:r>
      <w:r w:rsidR="0055231B" w:rsidRPr="00775261">
        <w:rPr>
          <w:sz w:val="24"/>
          <w:szCs w:val="24"/>
        </w:rPr>
        <w:t xml:space="preserve">litigation process which he commenced in June 2021 when he instituted summons against the </w:t>
      </w:r>
      <w:r w:rsidR="00B61370">
        <w:rPr>
          <w:sz w:val="24"/>
          <w:szCs w:val="24"/>
        </w:rPr>
        <w:t>d</w:t>
      </w:r>
      <w:r w:rsidR="0055231B" w:rsidRPr="00775261">
        <w:rPr>
          <w:sz w:val="24"/>
          <w:szCs w:val="24"/>
        </w:rPr>
        <w:t>efendants in case number HC</w:t>
      </w:r>
      <w:r w:rsidR="00B61370">
        <w:rPr>
          <w:sz w:val="24"/>
          <w:szCs w:val="24"/>
        </w:rPr>
        <w:t xml:space="preserve"> </w:t>
      </w:r>
      <w:r w:rsidR="0055231B" w:rsidRPr="00775261">
        <w:rPr>
          <w:sz w:val="24"/>
          <w:szCs w:val="24"/>
        </w:rPr>
        <w:t xml:space="preserve">3278/21. </w:t>
      </w:r>
      <w:r w:rsidR="00B92CE0" w:rsidRPr="00775261">
        <w:rPr>
          <w:sz w:val="24"/>
          <w:szCs w:val="24"/>
        </w:rPr>
        <w:t>The plaintiff re-iterated that as a result of the accident he suffered severe and critical injuries</w:t>
      </w:r>
      <w:r w:rsidR="00913FBD" w:rsidRPr="00775261">
        <w:rPr>
          <w:sz w:val="24"/>
          <w:szCs w:val="24"/>
        </w:rPr>
        <w:t xml:space="preserve"> and he was hospitalised for a period of more than 6 months. The plaintiff argued that </w:t>
      </w:r>
      <w:r w:rsidR="009D3357" w:rsidRPr="00775261">
        <w:rPr>
          <w:sz w:val="24"/>
          <w:szCs w:val="24"/>
        </w:rPr>
        <w:t xml:space="preserve">the cause of action was completed </w:t>
      </w:r>
      <w:r w:rsidR="00913FBD" w:rsidRPr="00775261">
        <w:rPr>
          <w:sz w:val="24"/>
          <w:szCs w:val="24"/>
        </w:rPr>
        <w:t>on or around 10 March 2020. This he alleged is because he received his first medical report around</w:t>
      </w:r>
      <w:r w:rsidR="00B92CE0" w:rsidRPr="00775261">
        <w:rPr>
          <w:sz w:val="24"/>
          <w:szCs w:val="24"/>
        </w:rPr>
        <w:t xml:space="preserve"> </w:t>
      </w:r>
      <w:r w:rsidR="00913FBD" w:rsidRPr="00775261">
        <w:rPr>
          <w:sz w:val="24"/>
          <w:szCs w:val="24"/>
        </w:rPr>
        <w:t xml:space="preserve">July 2018, </w:t>
      </w:r>
      <w:r w:rsidR="0092059B" w:rsidRPr="00775261">
        <w:rPr>
          <w:sz w:val="24"/>
          <w:szCs w:val="24"/>
        </w:rPr>
        <w:t xml:space="preserve">then he had follow-up </w:t>
      </w:r>
      <w:r w:rsidR="00874261" w:rsidRPr="00775261">
        <w:rPr>
          <w:sz w:val="24"/>
          <w:szCs w:val="24"/>
        </w:rPr>
        <w:t>check-ups</w:t>
      </w:r>
      <w:r w:rsidR="0092059B" w:rsidRPr="00775261">
        <w:rPr>
          <w:sz w:val="24"/>
          <w:szCs w:val="24"/>
        </w:rPr>
        <w:t xml:space="preserve"> and only received his second medical report on or around 10 March 2020.</w:t>
      </w:r>
      <w:r w:rsidR="008E3041" w:rsidRPr="00775261">
        <w:rPr>
          <w:sz w:val="24"/>
          <w:szCs w:val="24"/>
        </w:rPr>
        <w:t xml:space="preserve"> In the circumstances, the </w:t>
      </w:r>
      <w:r w:rsidR="00B61370">
        <w:rPr>
          <w:sz w:val="24"/>
          <w:szCs w:val="24"/>
        </w:rPr>
        <w:t>p</w:t>
      </w:r>
      <w:r w:rsidR="008E3041" w:rsidRPr="00775261">
        <w:rPr>
          <w:sz w:val="24"/>
          <w:szCs w:val="24"/>
        </w:rPr>
        <w:t xml:space="preserve">laintiff maintained that the prescription only began to run from </w:t>
      </w:r>
      <w:r w:rsidR="008E3041" w:rsidRPr="00775261">
        <w:rPr>
          <w:sz w:val="24"/>
          <w:szCs w:val="24"/>
        </w:rPr>
        <w:lastRenderedPageBreak/>
        <w:t xml:space="preserve">this date. </w:t>
      </w:r>
      <w:r w:rsidR="0092059B" w:rsidRPr="00775261">
        <w:rPr>
          <w:sz w:val="24"/>
          <w:szCs w:val="24"/>
        </w:rPr>
        <w:t xml:space="preserve">The </w:t>
      </w:r>
      <w:r w:rsidR="00B61370">
        <w:rPr>
          <w:sz w:val="24"/>
          <w:szCs w:val="24"/>
        </w:rPr>
        <w:t>p</w:t>
      </w:r>
      <w:r w:rsidR="0092059B" w:rsidRPr="00775261">
        <w:rPr>
          <w:sz w:val="24"/>
          <w:szCs w:val="24"/>
        </w:rPr>
        <w:t xml:space="preserve">laintiff also averred that the special plea raised by the </w:t>
      </w:r>
      <w:r w:rsidR="00B61370">
        <w:rPr>
          <w:sz w:val="24"/>
          <w:szCs w:val="24"/>
        </w:rPr>
        <w:t>d</w:t>
      </w:r>
      <w:r w:rsidR="0092059B" w:rsidRPr="00775261">
        <w:rPr>
          <w:sz w:val="24"/>
          <w:szCs w:val="24"/>
        </w:rPr>
        <w:t>efendants was nothing but a dilatory technique amounting to abuse of court process. He therefore prayed for the dismissal of the special plea with costs on a higher scale.</w:t>
      </w:r>
    </w:p>
    <w:p w14:paraId="09C0BDF3" w14:textId="2A9D9D9D" w:rsidR="00593F66" w:rsidRPr="00775261" w:rsidRDefault="00F80EE8" w:rsidP="00B61370">
      <w:pPr>
        <w:pStyle w:val="ListParagraph"/>
        <w:spacing w:line="360" w:lineRule="auto"/>
        <w:ind w:left="0" w:firstLine="720"/>
        <w:jc w:val="both"/>
        <w:rPr>
          <w:sz w:val="24"/>
          <w:szCs w:val="24"/>
        </w:rPr>
      </w:pPr>
      <w:r w:rsidRPr="00775261">
        <w:rPr>
          <w:sz w:val="24"/>
          <w:szCs w:val="24"/>
        </w:rPr>
        <w:t xml:space="preserve">Since the hearing of the special plea </w:t>
      </w:r>
      <w:r w:rsidR="00543F64" w:rsidRPr="00775261">
        <w:rPr>
          <w:sz w:val="24"/>
          <w:szCs w:val="24"/>
        </w:rPr>
        <w:t>requires the</w:t>
      </w:r>
      <w:r w:rsidRPr="00775261">
        <w:rPr>
          <w:sz w:val="24"/>
          <w:szCs w:val="24"/>
        </w:rPr>
        <w:t xml:space="preserve"> court to </w:t>
      </w:r>
      <w:r w:rsidR="0078618D" w:rsidRPr="00775261">
        <w:rPr>
          <w:sz w:val="24"/>
          <w:szCs w:val="24"/>
        </w:rPr>
        <w:t xml:space="preserve">appreciate evidence and factual foundation, </w:t>
      </w:r>
      <w:r w:rsidR="00593F66" w:rsidRPr="00775261">
        <w:rPr>
          <w:sz w:val="24"/>
          <w:szCs w:val="24"/>
        </w:rPr>
        <w:t>I invited parties to adduce their evidence by way of affidavits so that I may be able to make a proper determination</w:t>
      </w:r>
      <w:r w:rsidR="0078618D" w:rsidRPr="00775261">
        <w:rPr>
          <w:sz w:val="24"/>
          <w:szCs w:val="24"/>
        </w:rPr>
        <w:t xml:space="preserve"> based on such </w:t>
      </w:r>
      <w:r w:rsidR="00543F64" w:rsidRPr="00775261">
        <w:rPr>
          <w:sz w:val="24"/>
          <w:szCs w:val="24"/>
        </w:rPr>
        <w:t>evidence and</w:t>
      </w:r>
      <w:r w:rsidR="0078618D" w:rsidRPr="00775261">
        <w:rPr>
          <w:sz w:val="24"/>
          <w:szCs w:val="24"/>
        </w:rPr>
        <w:t xml:space="preserve"> factual basis</w:t>
      </w:r>
      <w:r w:rsidR="00593F66" w:rsidRPr="00775261">
        <w:rPr>
          <w:sz w:val="24"/>
          <w:szCs w:val="24"/>
        </w:rPr>
        <w:t>.</w:t>
      </w:r>
      <w:r w:rsidR="0078618D" w:rsidRPr="00775261">
        <w:rPr>
          <w:sz w:val="24"/>
          <w:szCs w:val="24"/>
        </w:rPr>
        <w:t xml:space="preserve"> </w:t>
      </w:r>
      <w:r w:rsidR="00B61370">
        <w:rPr>
          <w:sz w:val="24"/>
          <w:szCs w:val="24"/>
        </w:rPr>
        <w:t> </w:t>
      </w:r>
      <w:r w:rsidR="0078618D" w:rsidRPr="00775261">
        <w:rPr>
          <w:sz w:val="24"/>
          <w:szCs w:val="24"/>
        </w:rPr>
        <w:t>At the initial hearing of this matter</w:t>
      </w:r>
      <w:r w:rsidR="001D77D4" w:rsidRPr="00775261">
        <w:rPr>
          <w:sz w:val="24"/>
          <w:szCs w:val="24"/>
        </w:rPr>
        <w:t xml:space="preserve"> on 21 September 2023</w:t>
      </w:r>
      <w:r w:rsidR="0078618D" w:rsidRPr="00775261">
        <w:rPr>
          <w:sz w:val="24"/>
          <w:szCs w:val="24"/>
        </w:rPr>
        <w:t xml:space="preserve">, </w:t>
      </w:r>
      <w:r w:rsidR="000D56E1" w:rsidRPr="00775261">
        <w:rPr>
          <w:sz w:val="24"/>
          <w:szCs w:val="24"/>
        </w:rPr>
        <w:t xml:space="preserve">only pleadings together with Heads of Argument were on record. No evidence was </w:t>
      </w:r>
      <w:r w:rsidR="001D77D4" w:rsidRPr="00775261">
        <w:rPr>
          <w:sz w:val="24"/>
          <w:szCs w:val="24"/>
        </w:rPr>
        <w:t>before me</w:t>
      </w:r>
      <w:r w:rsidR="000D56E1" w:rsidRPr="00775261">
        <w:rPr>
          <w:sz w:val="24"/>
          <w:szCs w:val="24"/>
        </w:rPr>
        <w:t xml:space="preserve">. Hence, </w:t>
      </w:r>
      <w:r w:rsidR="009D3357" w:rsidRPr="00775261">
        <w:rPr>
          <w:sz w:val="24"/>
          <w:szCs w:val="24"/>
        </w:rPr>
        <w:t xml:space="preserve">I </w:t>
      </w:r>
      <w:r w:rsidR="000D56E1" w:rsidRPr="00775261">
        <w:rPr>
          <w:sz w:val="24"/>
          <w:szCs w:val="24"/>
        </w:rPr>
        <w:t>direct</w:t>
      </w:r>
      <w:r w:rsidR="009D3357" w:rsidRPr="00775261">
        <w:rPr>
          <w:sz w:val="24"/>
          <w:szCs w:val="24"/>
        </w:rPr>
        <w:t>ed</w:t>
      </w:r>
      <w:r w:rsidR="000D56E1" w:rsidRPr="00775261">
        <w:rPr>
          <w:sz w:val="24"/>
          <w:szCs w:val="24"/>
        </w:rPr>
        <w:t xml:space="preserve"> the parties to file affidavits as this is one of the available options of allowing parties to adduce their evidence before the court makes a determination of whether the claim had prescribed at the time summons was served upon the </w:t>
      </w:r>
      <w:r w:rsidR="00B61370">
        <w:rPr>
          <w:sz w:val="24"/>
          <w:szCs w:val="24"/>
        </w:rPr>
        <w:t>d</w:t>
      </w:r>
      <w:r w:rsidR="000D56E1" w:rsidRPr="00775261">
        <w:rPr>
          <w:sz w:val="24"/>
          <w:szCs w:val="24"/>
        </w:rPr>
        <w:t xml:space="preserve">efendants. </w:t>
      </w:r>
      <w:r w:rsidR="00C01B9C" w:rsidRPr="00775261">
        <w:rPr>
          <w:sz w:val="24"/>
          <w:szCs w:val="24"/>
        </w:rPr>
        <w:t xml:space="preserve">I was guided by the case of </w:t>
      </w:r>
      <w:r w:rsidR="00C01B9C" w:rsidRPr="002534D4">
        <w:rPr>
          <w:i/>
          <w:sz w:val="24"/>
          <w:szCs w:val="24"/>
        </w:rPr>
        <w:t xml:space="preserve">Jennifer Nan Brooker </w:t>
      </w:r>
      <w:r w:rsidR="002534D4">
        <w:rPr>
          <w:i/>
          <w:sz w:val="24"/>
          <w:szCs w:val="24"/>
        </w:rPr>
        <w:t>&amp;</w:t>
      </w:r>
      <w:r w:rsidR="00C01B9C" w:rsidRPr="002534D4">
        <w:rPr>
          <w:i/>
          <w:sz w:val="24"/>
          <w:szCs w:val="24"/>
        </w:rPr>
        <w:t xml:space="preserve"> Anor</w:t>
      </w:r>
      <w:r w:rsidR="00C01B9C" w:rsidRPr="00775261">
        <w:rPr>
          <w:sz w:val="24"/>
          <w:szCs w:val="24"/>
        </w:rPr>
        <w:t xml:space="preserve"> v </w:t>
      </w:r>
      <w:r w:rsidR="00C01B9C" w:rsidRPr="002534D4">
        <w:rPr>
          <w:i/>
          <w:sz w:val="24"/>
          <w:szCs w:val="24"/>
        </w:rPr>
        <w:t xml:space="preserve">Richard Mudhanda </w:t>
      </w:r>
      <w:r w:rsidR="002534D4">
        <w:rPr>
          <w:i/>
          <w:sz w:val="24"/>
          <w:szCs w:val="24"/>
        </w:rPr>
        <w:t>&amp;</w:t>
      </w:r>
      <w:r w:rsidR="00C01B9C" w:rsidRPr="002534D4">
        <w:rPr>
          <w:i/>
          <w:sz w:val="24"/>
          <w:szCs w:val="24"/>
        </w:rPr>
        <w:t xml:space="preserve"> Anor</w:t>
      </w:r>
      <w:r w:rsidR="00C01B9C" w:rsidRPr="00775261">
        <w:rPr>
          <w:rStyle w:val="FootnoteReference"/>
          <w:sz w:val="24"/>
          <w:szCs w:val="24"/>
        </w:rPr>
        <w:footnoteReference w:id="1"/>
      </w:r>
      <w:r w:rsidR="00C01B9C" w:rsidRPr="00775261">
        <w:rPr>
          <w:sz w:val="24"/>
          <w:szCs w:val="24"/>
        </w:rPr>
        <w:t xml:space="preserve"> where the Supreme Court </w:t>
      </w:r>
      <w:r w:rsidR="006F0636">
        <w:rPr>
          <w:sz w:val="24"/>
          <w:szCs w:val="24"/>
        </w:rPr>
        <w:t xml:space="preserve">wonderfully </w:t>
      </w:r>
      <w:r w:rsidR="00C01B9C" w:rsidRPr="00775261">
        <w:rPr>
          <w:sz w:val="24"/>
          <w:szCs w:val="24"/>
        </w:rPr>
        <w:t>postulated the following remarks:</w:t>
      </w:r>
    </w:p>
    <w:p w14:paraId="3D191624" w14:textId="6D7C75E8" w:rsidR="00C01B9C" w:rsidRPr="00D65430" w:rsidRDefault="00C01B9C" w:rsidP="002534D4">
      <w:pPr>
        <w:ind w:firstLine="720"/>
        <w:jc w:val="both"/>
        <w:rPr>
          <w:sz w:val="22"/>
          <w:szCs w:val="22"/>
        </w:rPr>
      </w:pPr>
      <w:r w:rsidRPr="00D65430">
        <w:rPr>
          <w:sz w:val="22"/>
          <w:szCs w:val="22"/>
        </w:rPr>
        <w:t xml:space="preserve">“When one speaks of the need to discharge an onus, it immediately becomes clear that </w:t>
      </w:r>
      <w:r w:rsidR="002534D4" w:rsidRPr="00D65430">
        <w:rPr>
          <w:sz w:val="22"/>
          <w:szCs w:val="22"/>
        </w:rPr>
        <w:tab/>
      </w:r>
      <w:r w:rsidRPr="00D65430">
        <w:rPr>
          <w:sz w:val="22"/>
          <w:szCs w:val="22"/>
        </w:rPr>
        <w:t xml:space="preserve">there is an evidentiary burden that must be met. There is no suggestion that such burden as </w:t>
      </w:r>
      <w:r w:rsidR="00D65430">
        <w:rPr>
          <w:sz w:val="22"/>
          <w:szCs w:val="22"/>
        </w:rPr>
        <w:tab/>
      </w:r>
      <w:r w:rsidRPr="00D65430">
        <w:rPr>
          <w:sz w:val="22"/>
          <w:szCs w:val="22"/>
        </w:rPr>
        <w:t xml:space="preserve">required to be met was met by documents filed of record. There were no affidavits placed before </w:t>
      </w:r>
      <w:r w:rsidR="00D65430">
        <w:rPr>
          <w:sz w:val="22"/>
          <w:szCs w:val="22"/>
        </w:rPr>
        <w:tab/>
      </w:r>
      <w:r w:rsidRPr="00D65430">
        <w:rPr>
          <w:sz w:val="22"/>
          <w:szCs w:val="22"/>
        </w:rPr>
        <w:t xml:space="preserve">the court </w:t>
      </w:r>
      <w:r w:rsidRPr="00D65430">
        <w:rPr>
          <w:i/>
          <w:sz w:val="22"/>
          <w:szCs w:val="22"/>
        </w:rPr>
        <w:t>a quo</w:t>
      </w:r>
      <w:r w:rsidRPr="00D65430">
        <w:rPr>
          <w:sz w:val="22"/>
          <w:szCs w:val="22"/>
        </w:rPr>
        <w:t xml:space="preserve">. </w:t>
      </w:r>
    </w:p>
    <w:p w14:paraId="06732A0A" w14:textId="77777777" w:rsidR="00C01B9C" w:rsidRPr="00D65430" w:rsidRDefault="00C01B9C" w:rsidP="00775261">
      <w:pPr>
        <w:ind w:firstLine="1440"/>
        <w:jc w:val="both"/>
        <w:rPr>
          <w:sz w:val="22"/>
          <w:szCs w:val="22"/>
        </w:rPr>
      </w:pPr>
      <w:r w:rsidRPr="00D65430">
        <w:rPr>
          <w:sz w:val="22"/>
          <w:szCs w:val="22"/>
        </w:rPr>
        <w:t xml:space="preserve"> </w:t>
      </w:r>
    </w:p>
    <w:p w14:paraId="0B2075A3" w14:textId="1E7F22E8" w:rsidR="00C01B9C" w:rsidRPr="00D65430" w:rsidRDefault="00C01B9C" w:rsidP="002534D4">
      <w:pPr>
        <w:ind w:firstLine="720"/>
        <w:jc w:val="both"/>
        <w:rPr>
          <w:sz w:val="22"/>
          <w:szCs w:val="22"/>
        </w:rPr>
      </w:pPr>
      <w:r w:rsidRPr="00D65430">
        <w:rPr>
          <w:sz w:val="22"/>
          <w:szCs w:val="22"/>
        </w:rPr>
        <w:t>Neither of the parties led evidence.</w:t>
      </w:r>
      <w:r w:rsidR="002534D4" w:rsidRPr="00D65430">
        <w:rPr>
          <w:sz w:val="22"/>
          <w:szCs w:val="22"/>
        </w:rPr>
        <w:t> </w:t>
      </w:r>
      <w:r w:rsidRPr="00D65430">
        <w:rPr>
          <w:sz w:val="22"/>
          <w:szCs w:val="22"/>
        </w:rPr>
        <w:t xml:space="preserve">Thus there was no evidence as to when demand for transfer </w:t>
      </w:r>
      <w:r w:rsidR="00D65430">
        <w:rPr>
          <w:sz w:val="22"/>
          <w:szCs w:val="22"/>
        </w:rPr>
        <w:tab/>
      </w:r>
      <w:r w:rsidRPr="00D65430">
        <w:rPr>
          <w:sz w:val="22"/>
          <w:szCs w:val="22"/>
        </w:rPr>
        <w:t xml:space="preserve">was made. There was no evidence as to when the cause of action </w:t>
      </w:r>
      <w:r w:rsidR="002534D4" w:rsidRPr="00D65430">
        <w:rPr>
          <w:sz w:val="22"/>
          <w:szCs w:val="22"/>
        </w:rPr>
        <w:tab/>
      </w:r>
      <w:r w:rsidRPr="00D65430">
        <w:rPr>
          <w:sz w:val="22"/>
          <w:szCs w:val="22"/>
        </w:rPr>
        <w:t xml:space="preserve">actually arose and given the </w:t>
      </w:r>
      <w:r w:rsidR="00D65430">
        <w:rPr>
          <w:sz w:val="22"/>
          <w:szCs w:val="22"/>
        </w:rPr>
        <w:tab/>
      </w:r>
      <w:r w:rsidRPr="00D65430">
        <w:rPr>
          <w:sz w:val="22"/>
          <w:szCs w:val="22"/>
        </w:rPr>
        <w:t xml:space="preserve">fact that this was dependent on whether or not the appellants were placed in </w:t>
      </w:r>
      <w:r w:rsidRPr="00D65430">
        <w:rPr>
          <w:i/>
          <w:sz w:val="22"/>
          <w:szCs w:val="22"/>
        </w:rPr>
        <w:t>mora</w:t>
      </w:r>
      <w:r w:rsidRPr="00D65430">
        <w:rPr>
          <w:sz w:val="22"/>
          <w:szCs w:val="22"/>
        </w:rPr>
        <w:t xml:space="preserve">, the court </w:t>
      </w:r>
      <w:r w:rsidR="00D65430">
        <w:rPr>
          <w:sz w:val="22"/>
          <w:szCs w:val="22"/>
        </w:rPr>
        <w:tab/>
      </w:r>
      <w:r w:rsidRPr="00D65430">
        <w:rPr>
          <w:sz w:val="22"/>
          <w:szCs w:val="22"/>
        </w:rPr>
        <w:t xml:space="preserve">was left in suspense on these very crucial issues.  The court seems to have been alive to the fact </w:t>
      </w:r>
      <w:r w:rsidR="00D65430">
        <w:rPr>
          <w:sz w:val="22"/>
          <w:szCs w:val="22"/>
        </w:rPr>
        <w:tab/>
      </w:r>
      <w:r w:rsidRPr="00D65430">
        <w:rPr>
          <w:sz w:val="22"/>
          <w:szCs w:val="22"/>
        </w:rPr>
        <w:t xml:space="preserve">that there was a need for a factual basis to be placed before it to facilitate a determination on </w:t>
      </w:r>
      <w:r w:rsidR="00D65430">
        <w:rPr>
          <w:sz w:val="22"/>
          <w:szCs w:val="22"/>
        </w:rPr>
        <w:tab/>
      </w:r>
      <w:r w:rsidRPr="00D65430">
        <w:rPr>
          <w:sz w:val="22"/>
          <w:szCs w:val="22"/>
        </w:rPr>
        <w:t xml:space="preserve">the crucial issue of when prescription could be said to have started running.” </w:t>
      </w:r>
    </w:p>
    <w:p w14:paraId="0E6AF188" w14:textId="77777777" w:rsidR="00D65430" w:rsidRDefault="00D65430" w:rsidP="00775261">
      <w:pPr>
        <w:spacing w:line="360" w:lineRule="auto"/>
        <w:jc w:val="both"/>
        <w:rPr>
          <w:sz w:val="24"/>
          <w:szCs w:val="24"/>
        </w:rPr>
      </w:pPr>
    </w:p>
    <w:p w14:paraId="0D0DB0BD" w14:textId="6E900C28" w:rsidR="00732F75" w:rsidRPr="00775261" w:rsidRDefault="00D65430" w:rsidP="00775261">
      <w:pPr>
        <w:spacing w:line="360" w:lineRule="auto"/>
        <w:jc w:val="both"/>
        <w:rPr>
          <w:sz w:val="24"/>
          <w:szCs w:val="24"/>
        </w:rPr>
      </w:pPr>
      <w:r>
        <w:rPr>
          <w:sz w:val="24"/>
          <w:szCs w:val="24"/>
        </w:rPr>
        <w:tab/>
      </w:r>
      <w:r w:rsidR="005B3C72" w:rsidRPr="00775261">
        <w:rPr>
          <w:sz w:val="24"/>
          <w:szCs w:val="24"/>
        </w:rPr>
        <w:t xml:space="preserve">The </w:t>
      </w:r>
      <w:r>
        <w:rPr>
          <w:sz w:val="24"/>
          <w:szCs w:val="24"/>
        </w:rPr>
        <w:t>d</w:t>
      </w:r>
      <w:r w:rsidR="005B3C72" w:rsidRPr="00775261">
        <w:rPr>
          <w:sz w:val="24"/>
          <w:szCs w:val="24"/>
        </w:rPr>
        <w:t>efendant</w:t>
      </w:r>
      <w:r w:rsidR="00881CFF" w:rsidRPr="00775261">
        <w:rPr>
          <w:sz w:val="24"/>
          <w:szCs w:val="24"/>
        </w:rPr>
        <w:t>s</w:t>
      </w:r>
      <w:r w:rsidR="005B3C72" w:rsidRPr="00775261">
        <w:rPr>
          <w:sz w:val="24"/>
          <w:szCs w:val="24"/>
        </w:rPr>
        <w:t xml:space="preserve"> in </w:t>
      </w:r>
      <w:r w:rsidR="00881CFF" w:rsidRPr="00775261">
        <w:rPr>
          <w:sz w:val="24"/>
          <w:szCs w:val="24"/>
        </w:rPr>
        <w:t xml:space="preserve">their </w:t>
      </w:r>
      <w:r w:rsidR="005B3C72" w:rsidRPr="00775261">
        <w:rPr>
          <w:sz w:val="24"/>
          <w:szCs w:val="24"/>
        </w:rPr>
        <w:t>affidavit</w:t>
      </w:r>
      <w:r w:rsidR="00881CFF" w:rsidRPr="00775261">
        <w:rPr>
          <w:sz w:val="24"/>
          <w:szCs w:val="24"/>
        </w:rPr>
        <w:t>s of evidence re</w:t>
      </w:r>
      <w:r w:rsidR="005B3C72" w:rsidRPr="00775261">
        <w:rPr>
          <w:sz w:val="24"/>
          <w:szCs w:val="24"/>
        </w:rPr>
        <w:t xml:space="preserve">iterated that the cause of action arose on 12 April 2018 when the </w:t>
      </w:r>
      <w:r>
        <w:rPr>
          <w:sz w:val="24"/>
          <w:szCs w:val="24"/>
        </w:rPr>
        <w:t>p</w:t>
      </w:r>
      <w:r w:rsidR="005B3C72" w:rsidRPr="00775261">
        <w:rPr>
          <w:sz w:val="24"/>
          <w:szCs w:val="24"/>
        </w:rPr>
        <w:t>laintiff became aware of the delict</w:t>
      </w:r>
      <w:r w:rsidR="00881CFF" w:rsidRPr="00775261">
        <w:rPr>
          <w:sz w:val="24"/>
          <w:szCs w:val="24"/>
        </w:rPr>
        <w:t>, the date upon which the accident occurred</w:t>
      </w:r>
      <w:r w:rsidR="005B3C72" w:rsidRPr="00775261">
        <w:rPr>
          <w:sz w:val="24"/>
          <w:szCs w:val="24"/>
        </w:rPr>
        <w:t xml:space="preserve">. The </w:t>
      </w:r>
      <w:r>
        <w:rPr>
          <w:sz w:val="24"/>
          <w:szCs w:val="24"/>
        </w:rPr>
        <w:t>first</w:t>
      </w:r>
      <w:r w:rsidR="005B3C72" w:rsidRPr="00775261">
        <w:rPr>
          <w:sz w:val="24"/>
          <w:szCs w:val="24"/>
        </w:rPr>
        <w:t xml:space="preserve"> </w:t>
      </w:r>
      <w:r>
        <w:rPr>
          <w:sz w:val="24"/>
          <w:szCs w:val="24"/>
        </w:rPr>
        <w:t>d</w:t>
      </w:r>
      <w:r w:rsidR="005B3C72" w:rsidRPr="00775261">
        <w:rPr>
          <w:sz w:val="24"/>
          <w:szCs w:val="24"/>
        </w:rPr>
        <w:t>efendant averred that the initial proceedings</w:t>
      </w:r>
      <w:r w:rsidR="002964D1" w:rsidRPr="00775261">
        <w:rPr>
          <w:sz w:val="24"/>
          <w:szCs w:val="24"/>
        </w:rPr>
        <w:t>, which were instituted in June 2021, were out of time and did not have the effect of interrupting prescription</w:t>
      </w:r>
      <w:r w:rsidR="0092431E" w:rsidRPr="00775261">
        <w:rPr>
          <w:sz w:val="24"/>
          <w:szCs w:val="24"/>
        </w:rPr>
        <w:t xml:space="preserve"> as these were not successfully prosecuted to finality</w:t>
      </w:r>
      <w:r w:rsidR="002964D1" w:rsidRPr="00775261">
        <w:rPr>
          <w:sz w:val="24"/>
          <w:szCs w:val="24"/>
        </w:rPr>
        <w:t xml:space="preserve">. The </w:t>
      </w:r>
      <w:r>
        <w:rPr>
          <w:sz w:val="24"/>
          <w:szCs w:val="24"/>
        </w:rPr>
        <w:t>p</w:t>
      </w:r>
      <w:r w:rsidR="002964D1" w:rsidRPr="00775261">
        <w:rPr>
          <w:sz w:val="24"/>
          <w:szCs w:val="24"/>
        </w:rPr>
        <w:t xml:space="preserve">laintiff </w:t>
      </w:r>
      <w:r w:rsidR="0092431E" w:rsidRPr="00775261">
        <w:rPr>
          <w:sz w:val="24"/>
          <w:szCs w:val="24"/>
        </w:rPr>
        <w:t xml:space="preserve">contended </w:t>
      </w:r>
      <w:r w:rsidR="002964D1" w:rsidRPr="00775261">
        <w:rPr>
          <w:sz w:val="24"/>
          <w:szCs w:val="24"/>
        </w:rPr>
        <w:t xml:space="preserve">that he was unable to prosecute within time because of some physical condition, however according to the </w:t>
      </w:r>
      <w:r>
        <w:rPr>
          <w:sz w:val="24"/>
          <w:szCs w:val="24"/>
        </w:rPr>
        <w:t>first d</w:t>
      </w:r>
      <w:r w:rsidR="002964D1" w:rsidRPr="00775261">
        <w:rPr>
          <w:sz w:val="24"/>
          <w:szCs w:val="24"/>
        </w:rPr>
        <w:t xml:space="preserve">efendant no evidence was </w:t>
      </w:r>
      <w:r w:rsidR="0092431E" w:rsidRPr="00775261">
        <w:rPr>
          <w:sz w:val="24"/>
          <w:szCs w:val="24"/>
        </w:rPr>
        <w:t xml:space="preserve">adduced </w:t>
      </w:r>
      <w:r w:rsidR="002964D1" w:rsidRPr="00775261">
        <w:rPr>
          <w:sz w:val="24"/>
          <w:szCs w:val="24"/>
        </w:rPr>
        <w:t>to support this claim.</w:t>
      </w:r>
    </w:p>
    <w:p w14:paraId="5FE720EF" w14:textId="09BCB6F3" w:rsidR="00A8300F" w:rsidRPr="00775261" w:rsidRDefault="00D65430" w:rsidP="00775261">
      <w:pPr>
        <w:spacing w:line="360" w:lineRule="auto"/>
        <w:jc w:val="both"/>
        <w:rPr>
          <w:sz w:val="24"/>
          <w:szCs w:val="24"/>
        </w:rPr>
      </w:pPr>
      <w:r>
        <w:rPr>
          <w:sz w:val="24"/>
          <w:szCs w:val="24"/>
        </w:rPr>
        <w:tab/>
      </w:r>
      <w:r w:rsidR="00726154" w:rsidRPr="00775261">
        <w:rPr>
          <w:sz w:val="24"/>
          <w:szCs w:val="24"/>
        </w:rPr>
        <w:t xml:space="preserve">The </w:t>
      </w:r>
      <w:r w:rsidR="000A137E" w:rsidRPr="00775261">
        <w:rPr>
          <w:sz w:val="24"/>
          <w:szCs w:val="24"/>
        </w:rPr>
        <w:t xml:space="preserve">sole </w:t>
      </w:r>
      <w:r w:rsidR="00726154" w:rsidRPr="00775261">
        <w:rPr>
          <w:sz w:val="24"/>
          <w:szCs w:val="24"/>
        </w:rPr>
        <w:t xml:space="preserve">issue that this court has to </w:t>
      </w:r>
      <w:r w:rsidR="000A137E" w:rsidRPr="00775261">
        <w:rPr>
          <w:sz w:val="24"/>
          <w:szCs w:val="24"/>
        </w:rPr>
        <w:t xml:space="preserve">determine </w:t>
      </w:r>
      <w:r w:rsidR="00726154" w:rsidRPr="00775261">
        <w:rPr>
          <w:sz w:val="24"/>
          <w:szCs w:val="24"/>
        </w:rPr>
        <w:t xml:space="preserve">is whether the </w:t>
      </w:r>
      <w:r>
        <w:rPr>
          <w:sz w:val="24"/>
          <w:szCs w:val="24"/>
        </w:rPr>
        <w:t>p</w:t>
      </w:r>
      <w:r w:rsidR="00726154" w:rsidRPr="00775261">
        <w:rPr>
          <w:sz w:val="24"/>
          <w:szCs w:val="24"/>
        </w:rPr>
        <w:t xml:space="preserve">laintiff’s claim has prescribed. The </w:t>
      </w:r>
      <w:r>
        <w:rPr>
          <w:sz w:val="24"/>
          <w:szCs w:val="24"/>
        </w:rPr>
        <w:t>d</w:t>
      </w:r>
      <w:r w:rsidR="00726154" w:rsidRPr="00775261">
        <w:rPr>
          <w:sz w:val="24"/>
          <w:szCs w:val="24"/>
        </w:rPr>
        <w:t xml:space="preserve">efendants raised a special plea of prescription, it was argued on their behalf that the </w:t>
      </w:r>
      <w:r>
        <w:rPr>
          <w:sz w:val="24"/>
          <w:szCs w:val="24"/>
        </w:rPr>
        <w:t>p</w:t>
      </w:r>
      <w:r w:rsidR="00726154" w:rsidRPr="00775261">
        <w:rPr>
          <w:sz w:val="24"/>
          <w:szCs w:val="24"/>
        </w:rPr>
        <w:t>laintiff instituted his initial proceedings in the matter</w:t>
      </w:r>
      <w:r w:rsidR="0064463F" w:rsidRPr="00775261">
        <w:rPr>
          <w:sz w:val="24"/>
          <w:szCs w:val="24"/>
        </w:rPr>
        <w:t>, under case number HC</w:t>
      </w:r>
      <w:r>
        <w:rPr>
          <w:sz w:val="24"/>
          <w:szCs w:val="24"/>
        </w:rPr>
        <w:t xml:space="preserve"> </w:t>
      </w:r>
      <w:r w:rsidR="0064463F" w:rsidRPr="00775261">
        <w:rPr>
          <w:sz w:val="24"/>
          <w:szCs w:val="24"/>
        </w:rPr>
        <w:t>3278/21</w:t>
      </w:r>
      <w:r w:rsidR="00726154" w:rsidRPr="00775261">
        <w:rPr>
          <w:sz w:val="24"/>
          <w:szCs w:val="24"/>
        </w:rPr>
        <w:t xml:space="preserve"> in June 2021</w:t>
      </w:r>
      <w:r w:rsidR="0064463F" w:rsidRPr="00775261">
        <w:rPr>
          <w:sz w:val="24"/>
          <w:szCs w:val="24"/>
        </w:rPr>
        <w:t xml:space="preserve"> which was already well out of time as prescription had begun to run the day the </w:t>
      </w:r>
      <w:r w:rsidR="0064463F" w:rsidRPr="00775261">
        <w:rPr>
          <w:sz w:val="24"/>
          <w:szCs w:val="24"/>
        </w:rPr>
        <w:lastRenderedPageBreak/>
        <w:t>cause of action arose</w:t>
      </w:r>
      <w:r w:rsidR="000A137E" w:rsidRPr="00775261">
        <w:rPr>
          <w:sz w:val="24"/>
          <w:szCs w:val="24"/>
        </w:rPr>
        <w:t>, that is to say, 12 April 2018, the date of accident. On the contrary, t</w:t>
      </w:r>
      <w:r w:rsidR="00A8300F" w:rsidRPr="00775261">
        <w:rPr>
          <w:sz w:val="24"/>
          <w:szCs w:val="24"/>
        </w:rPr>
        <w:t xml:space="preserve">he </w:t>
      </w:r>
      <w:r w:rsidR="00D01B8E">
        <w:rPr>
          <w:sz w:val="24"/>
          <w:szCs w:val="24"/>
        </w:rPr>
        <w:t>p</w:t>
      </w:r>
      <w:r w:rsidR="00A8300F" w:rsidRPr="00775261">
        <w:rPr>
          <w:sz w:val="24"/>
          <w:szCs w:val="24"/>
        </w:rPr>
        <w:t xml:space="preserve">laintiff </w:t>
      </w:r>
      <w:r w:rsidR="000A137E" w:rsidRPr="00775261">
        <w:rPr>
          <w:sz w:val="24"/>
          <w:szCs w:val="24"/>
        </w:rPr>
        <w:t xml:space="preserve">argued </w:t>
      </w:r>
      <w:r w:rsidR="00A8300F" w:rsidRPr="00775261">
        <w:rPr>
          <w:sz w:val="24"/>
          <w:szCs w:val="24"/>
        </w:rPr>
        <w:t xml:space="preserve">that the </w:t>
      </w:r>
      <w:bookmarkStart w:id="6" w:name="_Hlk164937140"/>
      <w:r w:rsidR="00A8300F" w:rsidRPr="00775261">
        <w:rPr>
          <w:sz w:val="24"/>
          <w:szCs w:val="24"/>
        </w:rPr>
        <w:t>institution of proceedings in HC</w:t>
      </w:r>
      <w:r w:rsidR="00D01B8E">
        <w:rPr>
          <w:sz w:val="24"/>
          <w:szCs w:val="24"/>
        </w:rPr>
        <w:t xml:space="preserve"> </w:t>
      </w:r>
      <w:r w:rsidR="00A8300F" w:rsidRPr="00775261">
        <w:rPr>
          <w:sz w:val="24"/>
          <w:szCs w:val="24"/>
        </w:rPr>
        <w:t xml:space="preserve">3278/21 </w:t>
      </w:r>
      <w:bookmarkEnd w:id="6"/>
      <w:r w:rsidR="00A8300F" w:rsidRPr="00775261">
        <w:rPr>
          <w:sz w:val="24"/>
          <w:szCs w:val="24"/>
        </w:rPr>
        <w:t>interrupted the running of prescription.</w:t>
      </w:r>
      <w:r w:rsidR="004F5C56" w:rsidRPr="00775261">
        <w:rPr>
          <w:sz w:val="24"/>
          <w:szCs w:val="24"/>
        </w:rPr>
        <w:t xml:space="preserve"> </w:t>
      </w:r>
    </w:p>
    <w:p w14:paraId="0B523493" w14:textId="79BF9883" w:rsidR="00825195" w:rsidRPr="00775261" w:rsidRDefault="00D01B8E" w:rsidP="00775261">
      <w:pPr>
        <w:spacing w:line="360" w:lineRule="auto"/>
        <w:jc w:val="both"/>
        <w:rPr>
          <w:sz w:val="24"/>
          <w:szCs w:val="24"/>
        </w:rPr>
      </w:pPr>
      <w:r>
        <w:rPr>
          <w:sz w:val="24"/>
          <w:szCs w:val="24"/>
        </w:rPr>
        <w:tab/>
      </w:r>
      <w:r w:rsidR="00825195" w:rsidRPr="00775261">
        <w:rPr>
          <w:sz w:val="24"/>
          <w:szCs w:val="24"/>
        </w:rPr>
        <w:t>A special plea of prescription, if successful</w:t>
      </w:r>
      <w:r w:rsidR="007222A7" w:rsidRPr="00775261">
        <w:rPr>
          <w:sz w:val="24"/>
          <w:szCs w:val="24"/>
        </w:rPr>
        <w:t>,</w:t>
      </w:r>
      <w:r w:rsidR="00825195" w:rsidRPr="00775261">
        <w:rPr>
          <w:sz w:val="24"/>
          <w:szCs w:val="24"/>
        </w:rPr>
        <w:t xml:space="preserve"> has the effect of disposing of the matter</w:t>
      </w:r>
      <w:r w:rsidR="00347DCD" w:rsidRPr="00775261">
        <w:rPr>
          <w:sz w:val="24"/>
          <w:szCs w:val="24"/>
        </w:rPr>
        <w:t xml:space="preserve">. The </w:t>
      </w:r>
      <w:r>
        <w:rPr>
          <w:sz w:val="24"/>
          <w:szCs w:val="24"/>
        </w:rPr>
        <w:t>p</w:t>
      </w:r>
      <w:r w:rsidR="00347DCD" w:rsidRPr="00775261">
        <w:rPr>
          <w:sz w:val="24"/>
          <w:szCs w:val="24"/>
        </w:rPr>
        <w:t>laintiff had the onus of proving that his claim was initiated before prescription had taken its course</w:t>
      </w:r>
      <w:r w:rsidR="00B413DF" w:rsidRPr="00775261">
        <w:rPr>
          <w:sz w:val="24"/>
          <w:szCs w:val="24"/>
        </w:rPr>
        <w:t>.</w:t>
      </w:r>
    </w:p>
    <w:p w14:paraId="3D326210" w14:textId="1A0B11AE" w:rsidR="000A137E" w:rsidRPr="00775261" w:rsidRDefault="00D01B8E" w:rsidP="00775261">
      <w:pPr>
        <w:spacing w:line="360" w:lineRule="auto"/>
        <w:jc w:val="both"/>
        <w:rPr>
          <w:sz w:val="24"/>
          <w:szCs w:val="24"/>
        </w:rPr>
      </w:pPr>
      <w:r>
        <w:rPr>
          <w:sz w:val="24"/>
          <w:szCs w:val="24"/>
        </w:rPr>
        <w:tab/>
      </w:r>
      <w:r w:rsidR="000A137E" w:rsidRPr="00775261">
        <w:rPr>
          <w:sz w:val="24"/>
          <w:szCs w:val="24"/>
        </w:rPr>
        <w:t xml:space="preserve">In terms of </w:t>
      </w:r>
      <w:r>
        <w:rPr>
          <w:sz w:val="24"/>
          <w:szCs w:val="24"/>
        </w:rPr>
        <w:t>s</w:t>
      </w:r>
      <w:r w:rsidR="007222A7" w:rsidRPr="00775261">
        <w:rPr>
          <w:sz w:val="24"/>
          <w:szCs w:val="24"/>
        </w:rPr>
        <w:t xml:space="preserve"> 15(d) of the Prescription Act </w:t>
      </w:r>
      <w:r>
        <w:rPr>
          <w:sz w:val="24"/>
          <w:szCs w:val="24"/>
        </w:rPr>
        <w:t>[</w:t>
      </w:r>
      <w:r w:rsidR="007222A7" w:rsidRPr="00D01B8E">
        <w:rPr>
          <w:i/>
          <w:sz w:val="24"/>
          <w:szCs w:val="24"/>
        </w:rPr>
        <w:t>Chapter 8:11</w:t>
      </w:r>
      <w:r>
        <w:rPr>
          <w:sz w:val="24"/>
          <w:szCs w:val="24"/>
        </w:rPr>
        <w:t>]</w:t>
      </w:r>
      <w:r w:rsidR="000A137E" w:rsidRPr="00775261">
        <w:rPr>
          <w:sz w:val="24"/>
          <w:szCs w:val="24"/>
        </w:rPr>
        <w:t xml:space="preserve"> (</w:t>
      </w:r>
      <w:r w:rsidR="00543F64" w:rsidRPr="00775261">
        <w:rPr>
          <w:sz w:val="24"/>
          <w:szCs w:val="24"/>
        </w:rPr>
        <w:t>hereinafter called</w:t>
      </w:r>
      <w:r w:rsidR="000A137E" w:rsidRPr="00775261">
        <w:rPr>
          <w:sz w:val="24"/>
          <w:szCs w:val="24"/>
        </w:rPr>
        <w:t xml:space="preserve"> “the </w:t>
      </w:r>
      <w:r w:rsidR="0092431E" w:rsidRPr="00775261">
        <w:rPr>
          <w:sz w:val="24"/>
          <w:szCs w:val="24"/>
        </w:rPr>
        <w:t xml:space="preserve">Prescription </w:t>
      </w:r>
      <w:r w:rsidR="000A137E" w:rsidRPr="00775261">
        <w:rPr>
          <w:sz w:val="24"/>
          <w:szCs w:val="24"/>
        </w:rPr>
        <w:t xml:space="preserve">Act”) </w:t>
      </w:r>
      <w:r w:rsidR="007222A7" w:rsidRPr="00775261">
        <w:rPr>
          <w:sz w:val="24"/>
          <w:szCs w:val="24"/>
        </w:rPr>
        <w:t xml:space="preserve">a debt prescribes </w:t>
      </w:r>
      <w:r w:rsidR="00430319">
        <w:rPr>
          <w:sz w:val="24"/>
          <w:szCs w:val="24"/>
        </w:rPr>
        <w:t xml:space="preserve">at the expiration of </w:t>
      </w:r>
      <w:r>
        <w:rPr>
          <w:sz w:val="24"/>
          <w:szCs w:val="24"/>
        </w:rPr>
        <w:t>three</w:t>
      </w:r>
      <w:r w:rsidR="007222A7" w:rsidRPr="00775261">
        <w:rPr>
          <w:sz w:val="24"/>
          <w:szCs w:val="24"/>
        </w:rPr>
        <w:t xml:space="preserve"> years, except if otherwise </w:t>
      </w:r>
      <w:r w:rsidR="00425A00" w:rsidRPr="00775261">
        <w:rPr>
          <w:sz w:val="24"/>
          <w:szCs w:val="24"/>
        </w:rPr>
        <w:t>provided for by any enactment.</w:t>
      </w:r>
      <w:r w:rsidR="000A137E" w:rsidRPr="00775261">
        <w:rPr>
          <w:sz w:val="24"/>
          <w:szCs w:val="24"/>
        </w:rPr>
        <w:t xml:space="preserve"> The appropriate </w:t>
      </w:r>
      <w:r w:rsidR="00272A57" w:rsidRPr="00775261">
        <w:rPr>
          <w:sz w:val="24"/>
          <w:szCs w:val="24"/>
        </w:rPr>
        <w:t>provision</w:t>
      </w:r>
      <w:r w:rsidR="000A137E" w:rsidRPr="00775261">
        <w:rPr>
          <w:sz w:val="24"/>
          <w:szCs w:val="24"/>
        </w:rPr>
        <w:t xml:space="preserve"> provides as follows:</w:t>
      </w:r>
    </w:p>
    <w:p w14:paraId="4ADE9790" w14:textId="7834F8EB" w:rsidR="00D01B8E" w:rsidRPr="00062FB3" w:rsidRDefault="00D01B8E" w:rsidP="00775261">
      <w:pPr>
        <w:jc w:val="both"/>
        <w:rPr>
          <w:sz w:val="22"/>
          <w:szCs w:val="22"/>
        </w:rPr>
      </w:pPr>
      <w:r>
        <w:rPr>
          <w:sz w:val="24"/>
          <w:szCs w:val="24"/>
        </w:rPr>
        <w:tab/>
      </w:r>
      <w:r w:rsidR="00ED57F5" w:rsidRPr="00062FB3">
        <w:rPr>
          <w:sz w:val="22"/>
          <w:szCs w:val="22"/>
        </w:rPr>
        <w:t>“The period of prescription of a debt shall be</w:t>
      </w:r>
      <w:r w:rsidRPr="00062FB3">
        <w:rPr>
          <w:sz w:val="22"/>
          <w:szCs w:val="22"/>
        </w:rPr>
        <w:t xml:space="preserve"> –</w:t>
      </w:r>
    </w:p>
    <w:p w14:paraId="4C0B9A17" w14:textId="07F26C33" w:rsidR="00ED57F5" w:rsidRPr="00062FB3" w:rsidRDefault="00D01B8E" w:rsidP="00775261">
      <w:pPr>
        <w:jc w:val="both"/>
        <w:rPr>
          <w:sz w:val="22"/>
          <w:szCs w:val="22"/>
        </w:rPr>
      </w:pPr>
      <w:r w:rsidRPr="00062FB3">
        <w:rPr>
          <w:sz w:val="22"/>
          <w:szCs w:val="22"/>
        </w:rPr>
        <w:tab/>
      </w:r>
      <w:r w:rsidR="00ED57F5" w:rsidRPr="00062FB3">
        <w:rPr>
          <w:sz w:val="22"/>
          <w:szCs w:val="22"/>
        </w:rPr>
        <w:t>(a) ……</w:t>
      </w:r>
    </w:p>
    <w:p w14:paraId="798721D2" w14:textId="7A2D8790" w:rsidR="00ED57F5" w:rsidRPr="00062FB3" w:rsidRDefault="00D01B8E" w:rsidP="00775261">
      <w:pPr>
        <w:jc w:val="both"/>
        <w:rPr>
          <w:sz w:val="22"/>
          <w:szCs w:val="22"/>
        </w:rPr>
      </w:pPr>
      <w:r w:rsidRPr="00062FB3">
        <w:rPr>
          <w:sz w:val="22"/>
          <w:szCs w:val="22"/>
        </w:rPr>
        <w:tab/>
      </w:r>
      <w:r w:rsidR="00ED57F5" w:rsidRPr="00062FB3">
        <w:rPr>
          <w:sz w:val="22"/>
          <w:szCs w:val="22"/>
        </w:rPr>
        <w:t>(b) ………</w:t>
      </w:r>
    </w:p>
    <w:p w14:paraId="3FD96D4D" w14:textId="3FB69181" w:rsidR="00ED57F5" w:rsidRPr="00062FB3" w:rsidRDefault="00D01B8E" w:rsidP="00775261">
      <w:pPr>
        <w:jc w:val="both"/>
        <w:rPr>
          <w:sz w:val="22"/>
          <w:szCs w:val="22"/>
        </w:rPr>
      </w:pPr>
      <w:r w:rsidRPr="00062FB3">
        <w:rPr>
          <w:sz w:val="22"/>
          <w:szCs w:val="22"/>
        </w:rPr>
        <w:tab/>
      </w:r>
      <w:r w:rsidR="00ED57F5" w:rsidRPr="00062FB3">
        <w:rPr>
          <w:sz w:val="22"/>
          <w:szCs w:val="22"/>
        </w:rPr>
        <w:t>(c) ……….</w:t>
      </w:r>
    </w:p>
    <w:p w14:paraId="2DD7E747" w14:textId="3383C7F9" w:rsidR="00ED57F5" w:rsidRPr="00062FB3" w:rsidRDefault="00D01B8E" w:rsidP="00D01B8E">
      <w:pPr>
        <w:tabs>
          <w:tab w:val="left" w:pos="720"/>
          <w:tab w:val="left" w:pos="1080"/>
        </w:tabs>
        <w:jc w:val="both"/>
        <w:rPr>
          <w:sz w:val="22"/>
          <w:szCs w:val="22"/>
        </w:rPr>
      </w:pPr>
      <w:r w:rsidRPr="00062FB3">
        <w:rPr>
          <w:sz w:val="22"/>
          <w:szCs w:val="22"/>
        </w:rPr>
        <w:tab/>
      </w:r>
      <w:r w:rsidR="00ED57F5" w:rsidRPr="00062FB3">
        <w:rPr>
          <w:sz w:val="22"/>
          <w:szCs w:val="22"/>
        </w:rPr>
        <w:t xml:space="preserve">(d) except where any enactment provides otherwise, three years, in the case of any other </w:t>
      </w:r>
      <w:r w:rsidRPr="00062FB3">
        <w:rPr>
          <w:sz w:val="22"/>
          <w:szCs w:val="22"/>
        </w:rPr>
        <w:tab/>
      </w:r>
      <w:r w:rsidRPr="00062FB3">
        <w:rPr>
          <w:sz w:val="22"/>
          <w:szCs w:val="22"/>
        </w:rPr>
        <w:tab/>
      </w:r>
      <w:r w:rsidR="00062FB3">
        <w:rPr>
          <w:sz w:val="22"/>
          <w:szCs w:val="22"/>
        </w:rPr>
        <w:tab/>
      </w:r>
      <w:r w:rsidR="00ED57F5" w:rsidRPr="00062FB3">
        <w:rPr>
          <w:sz w:val="22"/>
          <w:szCs w:val="22"/>
        </w:rPr>
        <w:t>debt.”</w:t>
      </w:r>
    </w:p>
    <w:p w14:paraId="217CF415" w14:textId="77777777" w:rsidR="00ED57F5" w:rsidRPr="00062FB3" w:rsidRDefault="00ED57F5" w:rsidP="00775261">
      <w:pPr>
        <w:jc w:val="both"/>
        <w:rPr>
          <w:sz w:val="22"/>
          <w:szCs w:val="22"/>
        </w:rPr>
      </w:pPr>
    </w:p>
    <w:p w14:paraId="27C6B1CD" w14:textId="5F2CEDB6" w:rsidR="007222A7" w:rsidRPr="00775261" w:rsidRDefault="00062FB3" w:rsidP="00775261">
      <w:pPr>
        <w:spacing w:line="360" w:lineRule="auto"/>
        <w:jc w:val="both"/>
        <w:rPr>
          <w:sz w:val="24"/>
          <w:szCs w:val="24"/>
        </w:rPr>
      </w:pPr>
      <w:r>
        <w:rPr>
          <w:sz w:val="24"/>
          <w:szCs w:val="24"/>
        </w:rPr>
        <w:tab/>
      </w:r>
      <w:r w:rsidR="00B35760" w:rsidRPr="00775261">
        <w:rPr>
          <w:sz w:val="24"/>
          <w:szCs w:val="24"/>
        </w:rPr>
        <w:t xml:space="preserve">It is not disputed that the prescription for the accident damages is in terms of </w:t>
      </w:r>
      <w:r>
        <w:rPr>
          <w:sz w:val="24"/>
          <w:szCs w:val="24"/>
        </w:rPr>
        <w:t>s</w:t>
      </w:r>
      <w:r w:rsidR="00B35760" w:rsidRPr="00775261">
        <w:rPr>
          <w:sz w:val="24"/>
          <w:szCs w:val="24"/>
        </w:rPr>
        <w:t xml:space="preserve"> 15(d) of the Prescription Act. The </w:t>
      </w:r>
      <w:r>
        <w:rPr>
          <w:sz w:val="24"/>
          <w:szCs w:val="24"/>
        </w:rPr>
        <w:t>p</w:t>
      </w:r>
      <w:r w:rsidR="00B35760" w:rsidRPr="00775261">
        <w:rPr>
          <w:sz w:val="24"/>
          <w:szCs w:val="24"/>
        </w:rPr>
        <w:t xml:space="preserve">laintiff’s counsel did not </w:t>
      </w:r>
      <w:r w:rsidR="00543F64" w:rsidRPr="00775261">
        <w:rPr>
          <w:sz w:val="24"/>
          <w:szCs w:val="24"/>
        </w:rPr>
        <w:t>advance any</w:t>
      </w:r>
      <w:r w:rsidR="000A6540" w:rsidRPr="00775261">
        <w:rPr>
          <w:sz w:val="24"/>
          <w:szCs w:val="24"/>
        </w:rPr>
        <w:t xml:space="preserve"> argument that</w:t>
      </w:r>
      <w:r w:rsidR="006E20C7" w:rsidRPr="00775261">
        <w:rPr>
          <w:sz w:val="24"/>
          <w:szCs w:val="24"/>
        </w:rPr>
        <w:t xml:space="preserve"> points to the fact that the </w:t>
      </w:r>
      <w:r>
        <w:rPr>
          <w:sz w:val="24"/>
          <w:szCs w:val="24"/>
        </w:rPr>
        <w:t>p</w:t>
      </w:r>
      <w:r w:rsidR="006E20C7" w:rsidRPr="00775261">
        <w:rPr>
          <w:sz w:val="24"/>
          <w:szCs w:val="24"/>
        </w:rPr>
        <w:t xml:space="preserve">laintiff’s cause of action falls </w:t>
      </w:r>
      <w:r w:rsidR="00543F64" w:rsidRPr="00775261">
        <w:rPr>
          <w:sz w:val="24"/>
          <w:szCs w:val="24"/>
        </w:rPr>
        <w:t>in any</w:t>
      </w:r>
      <w:r w:rsidR="006E20C7" w:rsidRPr="00775261">
        <w:rPr>
          <w:sz w:val="24"/>
          <w:szCs w:val="24"/>
        </w:rPr>
        <w:t xml:space="preserve"> other category other than that contemplated in </w:t>
      </w:r>
      <w:r>
        <w:rPr>
          <w:sz w:val="24"/>
          <w:szCs w:val="24"/>
        </w:rPr>
        <w:t>s</w:t>
      </w:r>
      <w:r w:rsidR="006E20C7" w:rsidRPr="00775261">
        <w:rPr>
          <w:sz w:val="24"/>
          <w:szCs w:val="24"/>
        </w:rPr>
        <w:t xml:space="preserve"> 15(d) of the Prescription Act. </w:t>
      </w:r>
    </w:p>
    <w:p w14:paraId="587C5E44" w14:textId="2697E7E7" w:rsidR="00963D62" w:rsidRPr="00775261" w:rsidRDefault="00937AC8" w:rsidP="00775261">
      <w:pPr>
        <w:spacing w:line="360" w:lineRule="auto"/>
        <w:jc w:val="both"/>
        <w:rPr>
          <w:sz w:val="24"/>
          <w:szCs w:val="24"/>
        </w:rPr>
      </w:pPr>
      <w:r>
        <w:rPr>
          <w:sz w:val="24"/>
          <w:szCs w:val="24"/>
        </w:rPr>
        <w:tab/>
      </w:r>
      <w:r w:rsidR="00425A00" w:rsidRPr="00775261">
        <w:rPr>
          <w:sz w:val="24"/>
          <w:szCs w:val="24"/>
        </w:rPr>
        <w:t xml:space="preserve">For a valid claim to be established there must be a clear cause of action from which the debt arose. </w:t>
      </w:r>
      <w:r w:rsidR="00A8300F" w:rsidRPr="00775261">
        <w:rPr>
          <w:sz w:val="24"/>
          <w:szCs w:val="24"/>
        </w:rPr>
        <w:t xml:space="preserve">The court in </w:t>
      </w:r>
      <w:r w:rsidR="00A8300F" w:rsidRPr="00775261">
        <w:rPr>
          <w:i/>
          <w:iCs/>
          <w:sz w:val="24"/>
          <w:szCs w:val="24"/>
        </w:rPr>
        <w:t xml:space="preserve">Dube </w:t>
      </w:r>
      <w:r w:rsidR="00A8300F" w:rsidRPr="00937AC8">
        <w:rPr>
          <w:iCs/>
          <w:sz w:val="24"/>
          <w:szCs w:val="24"/>
        </w:rPr>
        <w:t>v</w:t>
      </w:r>
      <w:r w:rsidR="00A8300F" w:rsidRPr="00775261">
        <w:rPr>
          <w:i/>
          <w:iCs/>
          <w:sz w:val="24"/>
          <w:szCs w:val="24"/>
        </w:rPr>
        <w:t xml:space="preserve"> Banana</w:t>
      </w:r>
      <w:r w:rsidR="00963D62" w:rsidRPr="00775261">
        <w:rPr>
          <w:rStyle w:val="FootnoteReference"/>
          <w:i/>
          <w:iCs/>
          <w:sz w:val="24"/>
          <w:szCs w:val="24"/>
        </w:rPr>
        <w:footnoteReference w:id="2"/>
      </w:r>
      <w:r w:rsidR="00A8300F" w:rsidRPr="00775261">
        <w:rPr>
          <w:i/>
          <w:iCs/>
          <w:sz w:val="24"/>
          <w:szCs w:val="24"/>
        </w:rPr>
        <w:t xml:space="preserve"> </w:t>
      </w:r>
      <w:r w:rsidR="00A8300F" w:rsidRPr="00775261">
        <w:rPr>
          <w:sz w:val="24"/>
          <w:szCs w:val="24"/>
        </w:rPr>
        <w:t xml:space="preserve">defined </w:t>
      </w:r>
      <w:r w:rsidR="00430319">
        <w:rPr>
          <w:sz w:val="24"/>
          <w:szCs w:val="24"/>
        </w:rPr>
        <w:t xml:space="preserve">the </w:t>
      </w:r>
      <w:r w:rsidR="00A8300F" w:rsidRPr="00775261">
        <w:rPr>
          <w:sz w:val="24"/>
          <w:szCs w:val="24"/>
        </w:rPr>
        <w:t>cause of action</w:t>
      </w:r>
      <w:r w:rsidR="00470B63" w:rsidRPr="00775261">
        <w:rPr>
          <w:sz w:val="24"/>
          <w:szCs w:val="24"/>
        </w:rPr>
        <w:t xml:space="preserve"> as</w:t>
      </w:r>
      <w:r w:rsidR="00963D62" w:rsidRPr="00775261">
        <w:rPr>
          <w:sz w:val="24"/>
          <w:szCs w:val="24"/>
        </w:rPr>
        <w:t>:</w:t>
      </w:r>
    </w:p>
    <w:p w14:paraId="154A0C83" w14:textId="2892355E" w:rsidR="00275A84" w:rsidRPr="00937AC8" w:rsidRDefault="00937AC8" w:rsidP="00775261">
      <w:pPr>
        <w:jc w:val="both"/>
        <w:rPr>
          <w:sz w:val="22"/>
          <w:szCs w:val="22"/>
        </w:rPr>
      </w:pPr>
      <w:r>
        <w:rPr>
          <w:sz w:val="24"/>
          <w:szCs w:val="24"/>
        </w:rPr>
        <w:tab/>
      </w:r>
      <w:r w:rsidR="00A8300F" w:rsidRPr="00937AC8">
        <w:rPr>
          <w:sz w:val="22"/>
          <w:szCs w:val="22"/>
        </w:rPr>
        <w:t xml:space="preserve">“the combination of facts that are material for the plaintiff in order to succeed in his </w:t>
      </w:r>
      <w:r w:rsidRPr="00937AC8">
        <w:rPr>
          <w:sz w:val="22"/>
          <w:szCs w:val="22"/>
        </w:rPr>
        <w:tab/>
      </w:r>
      <w:r w:rsidR="00A8300F" w:rsidRPr="00937AC8">
        <w:rPr>
          <w:sz w:val="22"/>
          <w:szCs w:val="22"/>
        </w:rPr>
        <w:t xml:space="preserve">claim.” </w:t>
      </w:r>
      <w:r w:rsidR="008A0719" w:rsidRPr="00937AC8">
        <w:rPr>
          <w:sz w:val="22"/>
          <w:szCs w:val="22"/>
        </w:rPr>
        <w:t xml:space="preserve"> </w:t>
      </w:r>
    </w:p>
    <w:p w14:paraId="745408B4" w14:textId="77777777" w:rsidR="005162CE" w:rsidRPr="00775261" w:rsidRDefault="005162CE" w:rsidP="00775261">
      <w:pPr>
        <w:jc w:val="both"/>
        <w:rPr>
          <w:sz w:val="24"/>
          <w:szCs w:val="24"/>
        </w:rPr>
      </w:pPr>
    </w:p>
    <w:p w14:paraId="475E0C64" w14:textId="50378E4E" w:rsidR="00CB727F" w:rsidRPr="00775261" w:rsidRDefault="00937AC8" w:rsidP="00775261">
      <w:pPr>
        <w:spacing w:line="360" w:lineRule="auto"/>
        <w:jc w:val="both"/>
        <w:rPr>
          <w:sz w:val="24"/>
          <w:szCs w:val="24"/>
        </w:rPr>
      </w:pPr>
      <w:r>
        <w:rPr>
          <w:sz w:val="24"/>
          <w:szCs w:val="24"/>
        </w:rPr>
        <w:tab/>
      </w:r>
      <w:r w:rsidR="00CB727F" w:rsidRPr="00775261">
        <w:rPr>
          <w:sz w:val="24"/>
          <w:szCs w:val="24"/>
        </w:rPr>
        <w:t xml:space="preserve">In the case of </w:t>
      </w:r>
      <w:r w:rsidR="00CB727F" w:rsidRPr="00937AC8">
        <w:rPr>
          <w:i/>
          <w:sz w:val="24"/>
          <w:szCs w:val="24"/>
        </w:rPr>
        <w:t>Abrahams &amp; Sons</w:t>
      </w:r>
      <w:r w:rsidR="00CB727F" w:rsidRPr="00775261">
        <w:rPr>
          <w:sz w:val="24"/>
          <w:szCs w:val="24"/>
        </w:rPr>
        <w:t xml:space="preserve"> v </w:t>
      </w:r>
      <w:r w:rsidR="00CB727F" w:rsidRPr="00937AC8">
        <w:rPr>
          <w:i/>
          <w:sz w:val="24"/>
          <w:szCs w:val="24"/>
        </w:rPr>
        <w:t>SA Railways and Harbours</w:t>
      </w:r>
      <w:r w:rsidR="00CB727F" w:rsidRPr="00775261">
        <w:rPr>
          <w:rStyle w:val="FootnoteReference"/>
          <w:sz w:val="24"/>
          <w:szCs w:val="24"/>
        </w:rPr>
        <w:footnoteReference w:id="3"/>
      </w:r>
      <w:r w:rsidR="00CB727F" w:rsidRPr="00775261">
        <w:rPr>
          <w:sz w:val="24"/>
          <w:szCs w:val="24"/>
        </w:rPr>
        <w:t xml:space="preserve">, the court defined the cause of action in the following way: </w:t>
      </w:r>
    </w:p>
    <w:p w14:paraId="04287075" w14:textId="3A2F7B2A" w:rsidR="00CB727F" w:rsidRPr="00937AC8" w:rsidRDefault="00937AC8" w:rsidP="00775261">
      <w:pPr>
        <w:jc w:val="both"/>
        <w:rPr>
          <w:sz w:val="22"/>
          <w:szCs w:val="22"/>
        </w:rPr>
      </w:pPr>
      <w:r>
        <w:rPr>
          <w:sz w:val="24"/>
          <w:szCs w:val="24"/>
        </w:rPr>
        <w:tab/>
      </w:r>
      <w:r w:rsidR="00CB727F" w:rsidRPr="00937AC8">
        <w:rPr>
          <w:sz w:val="22"/>
          <w:szCs w:val="22"/>
        </w:rPr>
        <w:t xml:space="preserve">“The proper meaning of the expression </w:t>
      </w:r>
      <w:r w:rsidR="00543F64" w:rsidRPr="00937AC8">
        <w:rPr>
          <w:sz w:val="22"/>
          <w:szCs w:val="22"/>
        </w:rPr>
        <w:t>cause</w:t>
      </w:r>
      <w:r w:rsidR="00CB727F" w:rsidRPr="00937AC8">
        <w:rPr>
          <w:sz w:val="22"/>
          <w:szCs w:val="22"/>
        </w:rPr>
        <w:t xml:space="preserve"> of action’ is the entire set of facts which </w:t>
      </w:r>
      <w:r w:rsidRPr="00937AC8">
        <w:rPr>
          <w:sz w:val="22"/>
          <w:szCs w:val="22"/>
        </w:rPr>
        <w:tab/>
      </w:r>
      <w:r w:rsidR="00CB727F" w:rsidRPr="00937AC8">
        <w:rPr>
          <w:sz w:val="22"/>
          <w:szCs w:val="22"/>
        </w:rPr>
        <w:t xml:space="preserve">gives rise to an enforceable claim and includes every act which is material to be proved to </w:t>
      </w:r>
      <w:r>
        <w:rPr>
          <w:sz w:val="22"/>
          <w:szCs w:val="22"/>
        </w:rPr>
        <w:tab/>
      </w:r>
      <w:r w:rsidR="00CB727F" w:rsidRPr="00937AC8">
        <w:rPr>
          <w:sz w:val="22"/>
          <w:szCs w:val="22"/>
        </w:rPr>
        <w:t xml:space="preserve">entitle a plaintiff to succeed in his claim. It includes all that a plaintiff must set out in his </w:t>
      </w:r>
      <w:r>
        <w:rPr>
          <w:sz w:val="22"/>
          <w:szCs w:val="22"/>
        </w:rPr>
        <w:tab/>
      </w:r>
      <w:r w:rsidR="00CB727F" w:rsidRPr="00937AC8">
        <w:rPr>
          <w:sz w:val="22"/>
          <w:szCs w:val="22"/>
        </w:rPr>
        <w:t>declaration in order to disclose a cause of action.”</w:t>
      </w:r>
    </w:p>
    <w:p w14:paraId="4816BDB5" w14:textId="77777777" w:rsidR="006D5050" w:rsidRDefault="006D5050" w:rsidP="00775261">
      <w:pPr>
        <w:spacing w:line="360" w:lineRule="auto"/>
        <w:jc w:val="both"/>
        <w:rPr>
          <w:sz w:val="24"/>
          <w:szCs w:val="24"/>
        </w:rPr>
      </w:pPr>
    </w:p>
    <w:p w14:paraId="10779306" w14:textId="2B78AFEF" w:rsidR="00A8300F" w:rsidRPr="00775261" w:rsidRDefault="006D5050" w:rsidP="00775261">
      <w:pPr>
        <w:spacing w:line="360" w:lineRule="auto"/>
        <w:jc w:val="both"/>
        <w:rPr>
          <w:sz w:val="24"/>
          <w:szCs w:val="24"/>
        </w:rPr>
      </w:pPr>
      <w:r>
        <w:rPr>
          <w:sz w:val="24"/>
          <w:szCs w:val="24"/>
        </w:rPr>
        <w:tab/>
      </w:r>
      <w:r w:rsidR="00650E40" w:rsidRPr="00775261">
        <w:rPr>
          <w:sz w:val="24"/>
          <w:szCs w:val="24"/>
        </w:rPr>
        <w:t xml:space="preserve">Section 16 (3) of the Prescription </w:t>
      </w:r>
      <w:r w:rsidR="00543F64" w:rsidRPr="00775261">
        <w:rPr>
          <w:sz w:val="24"/>
          <w:szCs w:val="24"/>
        </w:rPr>
        <w:t>Act provides</w:t>
      </w:r>
      <w:r w:rsidR="00963D62" w:rsidRPr="00775261">
        <w:rPr>
          <w:sz w:val="24"/>
          <w:szCs w:val="24"/>
        </w:rPr>
        <w:t xml:space="preserve"> </w:t>
      </w:r>
      <w:r w:rsidR="00FD1066" w:rsidRPr="00775261">
        <w:rPr>
          <w:sz w:val="24"/>
          <w:szCs w:val="24"/>
        </w:rPr>
        <w:t xml:space="preserve">that the running of prescription can </w:t>
      </w:r>
      <w:r w:rsidR="00543F64" w:rsidRPr="00775261">
        <w:rPr>
          <w:sz w:val="24"/>
          <w:szCs w:val="24"/>
        </w:rPr>
        <w:t>only commence</w:t>
      </w:r>
      <w:r w:rsidR="00FD1066" w:rsidRPr="00775261">
        <w:rPr>
          <w:sz w:val="24"/>
          <w:szCs w:val="24"/>
        </w:rPr>
        <w:t xml:space="preserve"> upon </w:t>
      </w:r>
      <w:r w:rsidR="007A76F7" w:rsidRPr="00775261">
        <w:rPr>
          <w:sz w:val="24"/>
          <w:szCs w:val="24"/>
        </w:rPr>
        <w:t xml:space="preserve">the creditor’s </w:t>
      </w:r>
      <w:r w:rsidR="00FD1066" w:rsidRPr="00775261">
        <w:rPr>
          <w:sz w:val="24"/>
          <w:szCs w:val="24"/>
        </w:rPr>
        <w:t xml:space="preserve">becoming aware </w:t>
      </w:r>
      <w:r w:rsidR="007A76F7" w:rsidRPr="00775261">
        <w:rPr>
          <w:sz w:val="24"/>
          <w:szCs w:val="24"/>
        </w:rPr>
        <w:t>of the debtor’s identity and all factors surrounding the claim. The provision is as follows</w:t>
      </w:r>
      <w:r w:rsidR="00650E40" w:rsidRPr="00775261">
        <w:rPr>
          <w:sz w:val="24"/>
          <w:szCs w:val="24"/>
        </w:rPr>
        <w:t xml:space="preserve">: </w:t>
      </w:r>
    </w:p>
    <w:p w14:paraId="43566BA8" w14:textId="4EB8AB55" w:rsidR="00691D38" w:rsidRPr="006D5050" w:rsidRDefault="006D5050" w:rsidP="00775261">
      <w:pPr>
        <w:jc w:val="both"/>
        <w:rPr>
          <w:sz w:val="22"/>
          <w:szCs w:val="22"/>
        </w:rPr>
      </w:pPr>
      <w:r>
        <w:rPr>
          <w:sz w:val="24"/>
          <w:szCs w:val="24"/>
        </w:rPr>
        <w:tab/>
      </w:r>
      <w:r w:rsidR="00650E40" w:rsidRPr="006D5050">
        <w:rPr>
          <w:sz w:val="22"/>
          <w:szCs w:val="22"/>
        </w:rPr>
        <w:t xml:space="preserve">“A debt shall not be deemed to be due until the creditor becomes aware of the identity of </w:t>
      </w:r>
      <w:r>
        <w:rPr>
          <w:sz w:val="22"/>
          <w:szCs w:val="22"/>
        </w:rPr>
        <w:tab/>
      </w:r>
      <w:r w:rsidR="00650E40" w:rsidRPr="006D5050">
        <w:rPr>
          <w:sz w:val="22"/>
          <w:szCs w:val="22"/>
        </w:rPr>
        <w:t xml:space="preserve">the </w:t>
      </w:r>
      <w:r>
        <w:rPr>
          <w:sz w:val="22"/>
          <w:szCs w:val="22"/>
        </w:rPr>
        <w:tab/>
      </w:r>
      <w:r w:rsidR="00650E40" w:rsidRPr="006D5050">
        <w:rPr>
          <w:sz w:val="22"/>
          <w:szCs w:val="22"/>
        </w:rPr>
        <w:t>debtor and of the facts from which the debt arises.”</w:t>
      </w:r>
    </w:p>
    <w:p w14:paraId="41B5D80D" w14:textId="77777777" w:rsidR="006E20C7" w:rsidRPr="006D5050" w:rsidRDefault="006E20C7" w:rsidP="00775261">
      <w:pPr>
        <w:jc w:val="both"/>
        <w:rPr>
          <w:sz w:val="22"/>
          <w:szCs w:val="22"/>
        </w:rPr>
      </w:pPr>
    </w:p>
    <w:p w14:paraId="3E1A0635" w14:textId="77777777" w:rsidR="005162CE" w:rsidRPr="00775261" w:rsidRDefault="005162CE" w:rsidP="00775261">
      <w:pPr>
        <w:spacing w:line="360" w:lineRule="auto"/>
        <w:jc w:val="both"/>
        <w:rPr>
          <w:sz w:val="24"/>
          <w:szCs w:val="24"/>
        </w:rPr>
      </w:pPr>
    </w:p>
    <w:p w14:paraId="6DF69575" w14:textId="796B2BB8" w:rsidR="00650E40" w:rsidRPr="00775261" w:rsidRDefault="00650E40" w:rsidP="00775261">
      <w:pPr>
        <w:spacing w:line="360" w:lineRule="auto"/>
        <w:jc w:val="both"/>
        <w:rPr>
          <w:sz w:val="24"/>
          <w:szCs w:val="24"/>
        </w:rPr>
      </w:pPr>
      <w:r w:rsidRPr="00775261">
        <w:rPr>
          <w:sz w:val="24"/>
          <w:szCs w:val="24"/>
        </w:rPr>
        <w:t xml:space="preserve">This is further solidified </w:t>
      </w:r>
      <w:r w:rsidR="007A76F7" w:rsidRPr="00775261">
        <w:rPr>
          <w:sz w:val="24"/>
          <w:szCs w:val="24"/>
        </w:rPr>
        <w:t xml:space="preserve">by our jurisprudence </w:t>
      </w:r>
      <w:r w:rsidRPr="00775261">
        <w:rPr>
          <w:sz w:val="24"/>
          <w:szCs w:val="24"/>
        </w:rPr>
        <w:t xml:space="preserve">as was </w:t>
      </w:r>
      <w:r w:rsidR="007A76F7" w:rsidRPr="00775261">
        <w:rPr>
          <w:sz w:val="24"/>
          <w:szCs w:val="24"/>
        </w:rPr>
        <w:t xml:space="preserve">articulated </w:t>
      </w:r>
      <w:r w:rsidRPr="00775261">
        <w:rPr>
          <w:sz w:val="24"/>
          <w:szCs w:val="24"/>
        </w:rPr>
        <w:t xml:space="preserve">by </w:t>
      </w:r>
      <w:r w:rsidR="006D5050" w:rsidRPr="006D5050">
        <w:rPr>
          <w:smallCaps/>
          <w:sz w:val="24"/>
          <w:szCs w:val="24"/>
        </w:rPr>
        <w:t>Chiweshe</w:t>
      </w:r>
      <w:r w:rsidRPr="00775261">
        <w:rPr>
          <w:sz w:val="24"/>
          <w:szCs w:val="24"/>
        </w:rPr>
        <w:t xml:space="preserve"> JP (as he then was) in the case of </w:t>
      </w:r>
      <w:r w:rsidRPr="00775261">
        <w:rPr>
          <w:i/>
          <w:iCs/>
          <w:sz w:val="24"/>
          <w:szCs w:val="24"/>
        </w:rPr>
        <w:t xml:space="preserve">Chirinda </w:t>
      </w:r>
      <w:r w:rsidRPr="006D5050">
        <w:rPr>
          <w:iCs/>
          <w:sz w:val="24"/>
          <w:szCs w:val="24"/>
        </w:rPr>
        <w:t>v</w:t>
      </w:r>
      <w:r w:rsidRPr="00775261">
        <w:rPr>
          <w:i/>
          <w:iCs/>
          <w:sz w:val="24"/>
          <w:szCs w:val="24"/>
        </w:rPr>
        <w:t xml:space="preserve"> Van der Merwe &amp; Anor</w:t>
      </w:r>
      <w:r w:rsidR="007A76F7" w:rsidRPr="00775261">
        <w:rPr>
          <w:rStyle w:val="FootnoteReference"/>
          <w:i/>
          <w:iCs/>
          <w:sz w:val="24"/>
          <w:szCs w:val="24"/>
        </w:rPr>
        <w:footnoteReference w:id="4"/>
      </w:r>
      <w:r w:rsidRPr="00775261">
        <w:rPr>
          <w:i/>
          <w:iCs/>
          <w:sz w:val="24"/>
          <w:szCs w:val="24"/>
        </w:rPr>
        <w:t xml:space="preserve"> </w:t>
      </w:r>
      <w:r w:rsidR="00691D38" w:rsidRPr="00775261">
        <w:rPr>
          <w:sz w:val="24"/>
          <w:szCs w:val="24"/>
        </w:rPr>
        <w:t xml:space="preserve">wherein he </w:t>
      </w:r>
      <w:r w:rsidR="007A76F7" w:rsidRPr="00775261">
        <w:rPr>
          <w:sz w:val="24"/>
          <w:szCs w:val="24"/>
        </w:rPr>
        <w:t>superlatively remarked as follows</w:t>
      </w:r>
      <w:r w:rsidRPr="00775261">
        <w:rPr>
          <w:sz w:val="24"/>
          <w:szCs w:val="24"/>
        </w:rPr>
        <w:t xml:space="preserve">: </w:t>
      </w:r>
    </w:p>
    <w:p w14:paraId="5733CACC" w14:textId="342E817D" w:rsidR="00650E40" w:rsidRPr="004054DD" w:rsidRDefault="004054DD" w:rsidP="00775261">
      <w:pPr>
        <w:jc w:val="both"/>
        <w:rPr>
          <w:sz w:val="22"/>
          <w:szCs w:val="22"/>
        </w:rPr>
      </w:pPr>
      <w:r>
        <w:rPr>
          <w:sz w:val="22"/>
          <w:szCs w:val="22"/>
        </w:rPr>
        <w:tab/>
      </w:r>
      <w:r w:rsidR="00650E40" w:rsidRPr="004054DD">
        <w:rPr>
          <w:sz w:val="22"/>
          <w:szCs w:val="22"/>
        </w:rPr>
        <w:t xml:space="preserve">“It is therefore trite that prescription runs from the date that a debt becomes due. A debt </w:t>
      </w:r>
      <w:r>
        <w:rPr>
          <w:sz w:val="22"/>
          <w:szCs w:val="22"/>
        </w:rPr>
        <w:tab/>
      </w:r>
      <w:r w:rsidR="00650E40" w:rsidRPr="004054DD">
        <w:rPr>
          <w:sz w:val="22"/>
          <w:szCs w:val="22"/>
        </w:rPr>
        <w:t xml:space="preserve">becomes due when the creditor becomes aware of the identity of the debtor and the facts giving </w:t>
      </w:r>
      <w:r>
        <w:rPr>
          <w:sz w:val="22"/>
          <w:szCs w:val="22"/>
        </w:rPr>
        <w:tab/>
      </w:r>
      <w:r w:rsidR="00650E40" w:rsidRPr="004054DD">
        <w:rPr>
          <w:sz w:val="22"/>
          <w:szCs w:val="22"/>
        </w:rPr>
        <w:t xml:space="preserve">rise to the cause of action. The cause of action in any action or claim is the entire set of facts </w:t>
      </w:r>
      <w:r>
        <w:rPr>
          <w:sz w:val="22"/>
          <w:szCs w:val="22"/>
        </w:rPr>
        <w:tab/>
      </w:r>
      <w:r w:rsidR="00650E40" w:rsidRPr="004054DD">
        <w:rPr>
          <w:sz w:val="22"/>
          <w:szCs w:val="22"/>
        </w:rPr>
        <w:t xml:space="preserve">which give rise to an enforceable claim and includes every act which is material to be proved </w:t>
      </w:r>
      <w:r>
        <w:rPr>
          <w:sz w:val="22"/>
          <w:szCs w:val="22"/>
        </w:rPr>
        <w:tab/>
      </w:r>
      <w:r w:rsidR="00650E40" w:rsidRPr="004054DD">
        <w:rPr>
          <w:sz w:val="22"/>
          <w:szCs w:val="22"/>
        </w:rPr>
        <w:t>to entitle a plaintiff to succeed in his claim.”</w:t>
      </w:r>
    </w:p>
    <w:p w14:paraId="5956F1BC" w14:textId="77777777" w:rsidR="00BF0693" w:rsidRPr="00775261" w:rsidRDefault="00BF0693" w:rsidP="00775261">
      <w:pPr>
        <w:jc w:val="both"/>
        <w:rPr>
          <w:sz w:val="24"/>
          <w:szCs w:val="24"/>
        </w:rPr>
      </w:pPr>
    </w:p>
    <w:p w14:paraId="345DF3C4" w14:textId="080FF747" w:rsidR="00BF0693" w:rsidRPr="00775261" w:rsidRDefault="00FF0F4C" w:rsidP="00775261">
      <w:pPr>
        <w:spacing w:line="360" w:lineRule="auto"/>
        <w:jc w:val="both"/>
        <w:rPr>
          <w:sz w:val="24"/>
          <w:szCs w:val="24"/>
        </w:rPr>
      </w:pPr>
      <w:r>
        <w:rPr>
          <w:sz w:val="24"/>
          <w:szCs w:val="24"/>
        </w:rPr>
        <w:tab/>
      </w:r>
      <w:r w:rsidR="00BF0693" w:rsidRPr="00775261">
        <w:rPr>
          <w:sz w:val="24"/>
          <w:szCs w:val="24"/>
        </w:rPr>
        <w:t xml:space="preserve">There is no evidence suggesting that by </w:t>
      </w:r>
      <w:r w:rsidR="00543F64" w:rsidRPr="00775261">
        <w:rPr>
          <w:sz w:val="24"/>
          <w:szCs w:val="24"/>
        </w:rPr>
        <w:t>12 April</w:t>
      </w:r>
      <w:r w:rsidR="00BF0693" w:rsidRPr="00775261">
        <w:rPr>
          <w:sz w:val="24"/>
          <w:szCs w:val="24"/>
        </w:rPr>
        <w:t xml:space="preserve"> 2018, the date of accident, the </w:t>
      </w:r>
      <w:r>
        <w:rPr>
          <w:sz w:val="24"/>
          <w:szCs w:val="24"/>
        </w:rPr>
        <w:t>p</w:t>
      </w:r>
      <w:r w:rsidR="00BF0693" w:rsidRPr="00775261">
        <w:rPr>
          <w:sz w:val="24"/>
          <w:szCs w:val="24"/>
        </w:rPr>
        <w:t xml:space="preserve">laintiff was not aware of the identity of the </w:t>
      </w:r>
      <w:r>
        <w:rPr>
          <w:sz w:val="24"/>
          <w:szCs w:val="24"/>
        </w:rPr>
        <w:t>d</w:t>
      </w:r>
      <w:r w:rsidR="00BF0693" w:rsidRPr="00775261">
        <w:rPr>
          <w:sz w:val="24"/>
          <w:szCs w:val="24"/>
        </w:rPr>
        <w:t xml:space="preserve">efendants. The affidavits placed before my attention do </w:t>
      </w:r>
      <w:r w:rsidR="00543F64" w:rsidRPr="00775261">
        <w:rPr>
          <w:sz w:val="24"/>
          <w:szCs w:val="24"/>
        </w:rPr>
        <w:t>not reveal</w:t>
      </w:r>
      <w:r w:rsidR="00BF0693" w:rsidRPr="00775261">
        <w:rPr>
          <w:sz w:val="24"/>
          <w:szCs w:val="24"/>
        </w:rPr>
        <w:t xml:space="preserve"> this. This leads me to </w:t>
      </w:r>
      <w:r w:rsidR="002621C1" w:rsidRPr="00775261">
        <w:rPr>
          <w:sz w:val="24"/>
          <w:szCs w:val="24"/>
        </w:rPr>
        <w:t xml:space="preserve">formulate a presumption </w:t>
      </w:r>
      <w:r w:rsidR="00BF0693" w:rsidRPr="00775261">
        <w:rPr>
          <w:sz w:val="24"/>
          <w:szCs w:val="24"/>
        </w:rPr>
        <w:t xml:space="preserve">that the </w:t>
      </w:r>
      <w:r>
        <w:rPr>
          <w:sz w:val="24"/>
          <w:szCs w:val="24"/>
        </w:rPr>
        <w:t>p</w:t>
      </w:r>
      <w:r w:rsidR="00BF0693" w:rsidRPr="00775261">
        <w:rPr>
          <w:sz w:val="24"/>
          <w:szCs w:val="24"/>
        </w:rPr>
        <w:t xml:space="preserve">laintiff became aware of the </w:t>
      </w:r>
      <w:r>
        <w:rPr>
          <w:sz w:val="24"/>
          <w:szCs w:val="24"/>
        </w:rPr>
        <w:t>d</w:t>
      </w:r>
      <w:r w:rsidR="00BF0693" w:rsidRPr="00775261">
        <w:rPr>
          <w:sz w:val="24"/>
          <w:szCs w:val="24"/>
        </w:rPr>
        <w:t>efendants’ identity at the time of the accident. Hence, f</w:t>
      </w:r>
      <w:r w:rsidR="00BE044C">
        <w:rPr>
          <w:sz w:val="24"/>
          <w:szCs w:val="24"/>
        </w:rPr>
        <w:t xml:space="preserve">rom this date, the </w:t>
      </w:r>
      <w:r>
        <w:rPr>
          <w:sz w:val="24"/>
          <w:szCs w:val="24"/>
        </w:rPr>
        <w:t>p</w:t>
      </w:r>
      <w:r w:rsidR="00BE044C">
        <w:rPr>
          <w:sz w:val="24"/>
          <w:szCs w:val="24"/>
        </w:rPr>
        <w:t>laintiff had</w:t>
      </w:r>
      <w:r w:rsidR="00BF0693" w:rsidRPr="00775261">
        <w:rPr>
          <w:sz w:val="24"/>
          <w:szCs w:val="24"/>
        </w:rPr>
        <w:t xml:space="preserve"> sufficient information to mount the claim against the </w:t>
      </w:r>
      <w:r>
        <w:rPr>
          <w:sz w:val="24"/>
          <w:szCs w:val="24"/>
        </w:rPr>
        <w:t>d</w:t>
      </w:r>
      <w:r w:rsidR="00BF0693" w:rsidRPr="00775261">
        <w:rPr>
          <w:sz w:val="24"/>
          <w:szCs w:val="24"/>
        </w:rPr>
        <w:t>efendants</w:t>
      </w:r>
      <w:r w:rsidR="00BE044C">
        <w:rPr>
          <w:sz w:val="24"/>
          <w:szCs w:val="24"/>
        </w:rPr>
        <w:t>, in my considered opinion</w:t>
      </w:r>
      <w:r w:rsidR="00BF0693" w:rsidRPr="00775261">
        <w:rPr>
          <w:sz w:val="24"/>
          <w:szCs w:val="24"/>
        </w:rPr>
        <w:t xml:space="preserve">.  </w:t>
      </w:r>
    </w:p>
    <w:p w14:paraId="47C331B2" w14:textId="3217EFEC" w:rsidR="00691D38" w:rsidRPr="00775261" w:rsidRDefault="00EA4C0B" w:rsidP="00775261">
      <w:pPr>
        <w:spacing w:line="360" w:lineRule="auto"/>
        <w:jc w:val="both"/>
        <w:rPr>
          <w:sz w:val="24"/>
          <w:szCs w:val="24"/>
        </w:rPr>
      </w:pPr>
      <w:r>
        <w:rPr>
          <w:sz w:val="24"/>
          <w:szCs w:val="24"/>
        </w:rPr>
        <w:tab/>
      </w:r>
      <w:r w:rsidR="00691D38" w:rsidRPr="00775261">
        <w:rPr>
          <w:sz w:val="24"/>
          <w:szCs w:val="24"/>
        </w:rPr>
        <w:t xml:space="preserve">The </w:t>
      </w:r>
      <w:r>
        <w:rPr>
          <w:sz w:val="24"/>
          <w:szCs w:val="24"/>
        </w:rPr>
        <w:t>p</w:t>
      </w:r>
      <w:r w:rsidR="00691D38" w:rsidRPr="00775261">
        <w:rPr>
          <w:sz w:val="24"/>
          <w:szCs w:val="24"/>
        </w:rPr>
        <w:t xml:space="preserve">laintiff argued that the running of prescription was interrupted by the </w:t>
      </w:r>
      <w:r w:rsidR="005373AB" w:rsidRPr="00775261">
        <w:rPr>
          <w:sz w:val="24"/>
          <w:szCs w:val="24"/>
        </w:rPr>
        <w:t>institution of proceedings in HC</w:t>
      </w:r>
      <w:r>
        <w:rPr>
          <w:sz w:val="24"/>
          <w:szCs w:val="24"/>
        </w:rPr>
        <w:t xml:space="preserve"> </w:t>
      </w:r>
      <w:r w:rsidR="005373AB" w:rsidRPr="00775261">
        <w:rPr>
          <w:sz w:val="24"/>
          <w:szCs w:val="24"/>
        </w:rPr>
        <w:t>3278/21</w:t>
      </w:r>
      <w:r w:rsidR="00E3603A" w:rsidRPr="00775261">
        <w:rPr>
          <w:sz w:val="24"/>
          <w:szCs w:val="24"/>
        </w:rPr>
        <w:t xml:space="preserve">, a contention that was opposed by the </w:t>
      </w:r>
      <w:r>
        <w:rPr>
          <w:sz w:val="24"/>
          <w:szCs w:val="24"/>
        </w:rPr>
        <w:t>d</w:t>
      </w:r>
      <w:r w:rsidR="00E3603A" w:rsidRPr="00775261">
        <w:rPr>
          <w:sz w:val="24"/>
          <w:szCs w:val="24"/>
        </w:rPr>
        <w:t>efendants.</w:t>
      </w:r>
      <w:r w:rsidR="004C14A5" w:rsidRPr="00775261">
        <w:rPr>
          <w:sz w:val="24"/>
          <w:szCs w:val="24"/>
        </w:rPr>
        <w:t xml:space="preserve"> </w:t>
      </w:r>
      <w:r w:rsidR="00E91970" w:rsidRPr="00775261">
        <w:rPr>
          <w:sz w:val="24"/>
          <w:szCs w:val="24"/>
        </w:rPr>
        <w:t xml:space="preserve">In terms </w:t>
      </w:r>
      <w:r w:rsidR="00543F64" w:rsidRPr="00775261">
        <w:rPr>
          <w:sz w:val="24"/>
          <w:szCs w:val="24"/>
        </w:rPr>
        <w:t>of the</w:t>
      </w:r>
      <w:r w:rsidR="00E91970" w:rsidRPr="00775261">
        <w:rPr>
          <w:sz w:val="24"/>
          <w:szCs w:val="24"/>
        </w:rPr>
        <w:t xml:space="preserve"> Prescription Act, </w:t>
      </w:r>
      <w:r>
        <w:rPr>
          <w:sz w:val="24"/>
          <w:szCs w:val="24"/>
        </w:rPr>
        <w:t xml:space="preserve">s </w:t>
      </w:r>
      <w:r w:rsidR="00E91970" w:rsidRPr="00775261">
        <w:rPr>
          <w:sz w:val="24"/>
          <w:szCs w:val="24"/>
        </w:rPr>
        <w:t>19(3</w:t>
      </w:r>
      <w:r w:rsidR="00543F64" w:rsidRPr="00775261">
        <w:rPr>
          <w:sz w:val="24"/>
          <w:szCs w:val="24"/>
        </w:rPr>
        <w:t>) (</w:t>
      </w:r>
      <w:r w:rsidR="00E91970" w:rsidRPr="00775261">
        <w:rPr>
          <w:sz w:val="24"/>
          <w:szCs w:val="24"/>
        </w:rPr>
        <w:t xml:space="preserve">a) to be more specific, provides that judicial proceedings may only </w:t>
      </w:r>
      <w:r w:rsidR="00543F64" w:rsidRPr="00775261">
        <w:rPr>
          <w:sz w:val="24"/>
          <w:szCs w:val="24"/>
        </w:rPr>
        <w:t>interrupt the</w:t>
      </w:r>
      <w:r w:rsidR="00933E35" w:rsidRPr="00775261">
        <w:rPr>
          <w:sz w:val="24"/>
          <w:szCs w:val="24"/>
        </w:rPr>
        <w:t xml:space="preserve"> running of prescription if the creditor has successfully </w:t>
      </w:r>
      <w:r w:rsidR="00311B9F" w:rsidRPr="00775261">
        <w:rPr>
          <w:sz w:val="24"/>
          <w:szCs w:val="24"/>
        </w:rPr>
        <w:t xml:space="preserve">prosecuted the matter, before the court, to final judgment. </w:t>
      </w:r>
      <w:r w:rsidR="00E3603A" w:rsidRPr="00775261">
        <w:rPr>
          <w:sz w:val="24"/>
          <w:szCs w:val="24"/>
        </w:rPr>
        <w:t>Section</w:t>
      </w:r>
      <w:r w:rsidR="00E91970" w:rsidRPr="00775261">
        <w:rPr>
          <w:sz w:val="24"/>
          <w:szCs w:val="24"/>
        </w:rPr>
        <w:t xml:space="preserve"> </w:t>
      </w:r>
      <w:r w:rsidR="00851FBC" w:rsidRPr="00775261">
        <w:rPr>
          <w:sz w:val="24"/>
          <w:szCs w:val="24"/>
        </w:rPr>
        <w:t>19</w:t>
      </w:r>
      <w:r w:rsidR="00E3603A" w:rsidRPr="00775261">
        <w:rPr>
          <w:sz w:val="24"/>
          <w:szCs w:val="24"/>
        </w:rPr>
        <w:t xml:space="preserve">(3)(a) of the Prescription Act </w:t>
      </w:r>
      <w:r w:rsidR="00851FBC" w:rsidRPr="00775261">
        <w:rPr>
          <w:sz w:val="24"/>
          <w:szCs w:val="24"/>
        </w:rPr>
        <w:t>provides as follows</w:t>
      </w:r>
      <w:r w:rsidR="00E3603A" w:rsidRPr="00775261">
        <w:rPr>
          <w:sz w:val="24"/>
          <w:szCs w:val="24"/>
        </w:rPr>
        <w:t xml:space="preserve">: </w:t>
      </w:r>
    </w:p>
    <w:p w14:paraId="6E89226D" w14:textId="16A3D99C" w:rsidR="00851FBC" w:rsidRPr="00EA4C0B" w:rsidRDefault="00EA4C0B" w:rsidP="00775261">
      <w:pPr>
        <w:jc w:val="both"/>
        <w:rPr>
          <w:sz w:val="22"/>
          <w:szCs w:val="22"/>
        </w:rPr>
      </w:pPr>
      <w:r>
        <w:rPr>
          <w:sz w:val="24"/>
          <w:szCs w:val="24"/>
        </w:rPr>
        <w:tab/>
      </w:r>
      <w:r w:rsidR="00E3603A" w:rsidRPr="00EA4C0B">
        <w:rPr>
          <w:sz w:val="22"/>
          <w:szCs w:val="22"/>
        </w:rPr>
        <w:t>“</w:t>
      </w:r>
      <w:r w:rsidR="00851FBC" w:rsidRPr="00EA4C0B">
        <w:rPr>
          <w:sz w:val="22"/>
          <w:szCs w:val="22"/>
        </w:rPr>
        <w:t xml:space="preserve">Unless the debtor acknowledges liability, the interruption of prescription in terms of </w:t>
      </w:r>
      <w:r>
        <w:rPr>
          <w:sz w:val="22"/>
          <w:szCs w:val="22"/>
        </w:rPr>
        <w:tab/>
      </w:r>
      <w:r w:rsidR="00851FBC" w:rsidRPr="00EA4C0B">
        <w:rPr>
          <w:sz w:val="22"/>
          <w:szCs w:val="22"/>
        </w:rPr>
        <w:t xml:space="preserve">subsection (2) shall lapse and the running of prescription shall not be deemed to have been </w:t>
      </w:r>
      <w:r>
        <w:rPr>
          <w:sz w:val="22"/>
          <w:szCs w:val="22"/>
        </w:rPr>
        <w:tab/>
      </w:r>
      <w:r w:rsidR="00851FBC" w:rsidRPr="00EA4C0B">
        <w:rPr>
          <w:sz w:val="22"/>
          <w:szCs w:val="22"/>
        </w:rPr>
        <w:t>interrupted if the creditor—</w:t>
      </w:r>
    </w:p>
    <w:p w14:paraId="34334EFD" w14:textId="554E28D1" w:rsidR="00851FBC" w:rsidRPr="00EA4C0B" w:rsidRDefault="00851FBC" w:rsidP="00EA4C0B">
      <w:pPr>
        <w:pStyle w:val="ListParagraph"/>
        <w:numPr>
          <w:ilvl w:val="0"/>
          <w:numId w:val="2"/>
        </w:numPr>
        <w:tabs>
          <w:tab w:val="left" w:pos="1080"/>
        </w:tabs>
        <w:ind w:firstLine="0"/>
        <w:jc w:val="both"/>
        <w:rPr>
          <w:sz w:val="22"/>
          <w:szCs w:val="22"/>
        </w:rPr>
      </w:pPr>
      <w:r w:rsidRPr="00EA4C0B">
        <w:rPr>
          <w:sz w:val="22"/>
          <w:szCs w:val="22"/>
        </w:rPr>
        <w:t>Does not successfully prosecute his claim under the process in question to final judgment</w:t>
      </w:r>
      <w:r w:rsidR="00EA4C0B">
        <w:rPr>
          <w:sz w:val="22"/>
          <w:szCs w:val="22"/>
        </w:rPr>
        <w:t>.</w:t>
      </w:r>
      <w:r w:rsidR="00543F64" w:rsidRPr="00EA4C0B">
        <w:rPr>
          <w:sz w:val="22"/>
          <w:szCs w:val="22"/>
        </w:rPr>
        <w:t>”</w:t>
      </w:r>
    </w:p>
    <w:p w14:paraId="0A854299" w14:textId="2D0F5381" w:rsidR="005162CE" w:rsidRPr="00775261" w:rsidRDefault="005162CE" w:rsidP="00775261">
      <w:pPr>
        <w:spacing w:line="360" w:lineRule="auto"/>
        <w:jc w:val="both"/>
        <w:rPr>
          <w:sz w:val="24"/>
          <w:szCs w:val="24"/>
        </w:rPr>
      </w:pPr>
    </w:p>
    <w:p w14:paraId="2EFE536F" w14:textId="5EA00A56" w:rsidR="00483A84" w:rsidRPr="00775261" w:rsidRDefault="00EA4C0B" w:rsidP="00775261">
      <w:pPr>
        <w:spacing w:line="360" w:lineRule="auto"/>
        <w:jc w:val="both"/>
        <w:rPr>
          <w:sz w:val="24"/>
          <w:szCs w:val="24"/>
        </w:rPr>
      </w:pPr>
      <w:r>
        <w:rPr>
          <w:sz w:val="24"/>
          <w:szCs w:val="24"/>
        </w:rPr>
        <w:tab/>
      </w:r>
      <w:r w:rsidR="00483A84" w:rsidRPr="00775261">
        <w:rPr>
          <w:sz w:val="24"/>
          <w:szCs w:val="24"/>
        </w:rPr>
        <w:t xml:space="preserve">It is common cause that the </w:t>
      </w:r>
      <w:r>
        <w:rPr>
          <w:sz w:val="24"/>
          <w:szCs w:val="24"/>
        </w:rPr>
        <w:t>p</w:t>
      </w:r>
      <w:r w:rsidR="00483A84" w:rsidRPr="00775261">
        <w:rPr>
          <w:sz w:val="24"/>
          <w:szCs w:val="24"/>
        </w:rPr>
        <w:t>laintiff abandoned proceedings under HC</w:t>
      </w:r>
      <w:r>
        <w:rPr>
          <w:sz w:val="24"/>
          <w:szCs w:val="24"/>
        </w:rPr>
        <w:t xml:space="preserve"> </w:t>
      </w:r>
      <w:r w:rsidR="00483A84" w:rsidRPr="00775261">
        <w:rPr>
          <w:sz w:val="24"/>
          <w:szCs w:val="24"/>
        </w:rPr>
        <w:t>3278/21 because the application was deemed to be fatally defective.</w:t>
      </w:r>
      <w:r w:rsidR="00311B9F" w:rsidRPr="00775261">
        <w:rPr>
          <w:sz w:val="24"/>
          <w:szCs w:val="24"/>
        </w:rPr>
        <w:t xml:space="preserve"> The </w:t>
      </w:r>
      <w:r>
        <w:rPr>
          <w:sz w:val="24"/>
          <w:szCs w:val="24"/>
        </w:rPr>
        <w:t>p</w:t>
      </w:r>
      <w:r w:rsidR="00311B9F" w:rsidRPr="00775261">
        <w:rPr>
          <w:sz w:val="24"/>
          <w:szCs w:val="24"/>
        </w:rPr>
        <w:t>laintiff, in the premises</w:t>
      </w:r>
      <w:r w:rsidR="00543F64" w:rsidRPr="00775261">
        <w:rPr>
          <w:sz w:val="24"/>
          <w:szCs w:val="24"/>
        </w:rPr>
        <w:t>, did</w:t>
      </w:r>
      <w:r w:rsidR="00311B9F" w:rsidRPr="00775261">
        <w:rPr>
          <w:sz w:val="24"/>
          <w:szCs w:val="24"/>
        </w:rPr>
        <w:t xml:space="preserve"> not prosecute the matter to final judgment. If he had done so, there was no need for him to be before the court again with a similar claim. </w:t>
      </w:r>
      <w:r w:rsidR="00483A84" w:rsidRPr="00775261">
        <w:rPr>
          <w:sz w:val="24"/>
          <w:szCs w:val="24"/>
        </w:rPr>
        <w:t>These</w:t>
      </w:r>
      <w:r w:rsidR="00206E73" w:rsidRPr="00775261">
        <w:rPr>
          <w:sz w:val="24"/>
          <w:szCs w:val="24"/>
        </w:rPr>
        <w:t xml:space="preserve"> </w:t>
      </w:r>
      <w:r w:rsidR="00483A84" w:rsidRPr="00775261">
        <w:rPr>
          <w:sz w:val="24"/>
          <w:szCs w:val="24"/>
        </w:rPr>
        <w:t xml:space="preserve">proceedings </w:t>
      </w:r>
      <w:r w:rsidR="00311B9F" w:rsidRPr="00775261">
        <w:rPr>
          <w:sz w:val="24"/>
          <w:szCs w:val="24"/>
        </w:rPr>
        <w:t>under HC</w:t>
      </w:r>
      <w:r>
        <w:rPr>
          <w:sz w:val="24"/>
          <w:szCs w:val="24"/>
        </w:rPr>
        <w:t xml:space="preserve"> </w:t>
      </w:r>
      <w:r w:rsidR="00311B9F" w:rsidRPr="00775261">
        <w:rPr>
          <w:sz w:val="24"/>
          <w:szCs w:val="24"/>
        </w:rPr>
        <w:t xml:space="preserve">3278/21, </w:t>
      </w:r>
      <w:r w:rsidR="00483A84" w:rsidRPr="00775261">
        <w:rPr>
          <w:sz w:val="24"/>
          <w:szCs w:val="24"/>
        </w:rPr>
        <w:t>therefore</w:t>
      </w:r>
      <w:r w:rsidR="00543F64" w:rsidRPr="00775261">
        <w:rPr>
          <w:sz w:val="24"/>
          <w:szCs w:val="24"/>
        </w:rPr>
        <w:t>, did</w:t>
      </w:r>
      <w:r w:rsidR="00483A84" w:rsidRPr="00775261">
        <w:rPr>
          <w:sz w:val="24"/>
          <w:szCs w:val="24"/>
        </w:rPr>
        <w:t xml:space="preserve"> not have the effect of interrupting </w:t>
      </w:r>
      <w:r w:rsidR="00311B9F" w:rsidRPr="00775261">
        <w:rPr>
          <w:sz w:val="24"/>
          <w:szCs w:val="24"/>
        </w:rPr>
        <w:t xml:space="preserve">the running of </w:t>
      </w:r>
      <w:r w:rsidR="00483A84" w:rsidRPr="00775261">
        <w:rPr>
          <w:sz w:val="24"/>
          <w:szCs w:val="24"/>
        </w:rPr>
        <w:t>prescription.</w:t>
      </w:r>
    </w:p>
    <w:p w14:paraId="478A32D5" w14:textId="75612644" w:rsidR="00164C6B" w:rsidRPr="00775261" w:rsidRDefault="00EA4C0B" w:rsidP="00775261">
      <w:pPr>
        <w:tabs>
          <w:tab w:val="left" w:pos="720"/>
        </w:tabs>
        <w:spacing w:line="360" w:lineRule="auto"/>
        <w:jc w:val="both"/>
        <w:rPr>
          <w:sz w:val="24"/>
          <w:szCs w:val="24"/>
        </w:rPr>
      </w:pPr>
      <w:r>
        <w:rPr>
          <w:sz w:val="24"/>
          <w:szCs w:val="24"/>
        </w:rPr>
        <w:tab/>
      </w:r>
      <w:r w:rsidR="001B37C5" w:rsidRPr="00775261">
        <w:rPr>
          <w:sz w:val="24"/>
          <w:szCs w:val="24"/>
        </w:rPr>
        <w:t xml:space="preserve">In the replication to the special plea of prescription, the </w:t>
      </w:r>
      <w:r>
        <w:rPr>
          <w:sz w:val="24"/>
          <w:szCs w:val="24"/>
        </w:rPr>
        <w:t>p</w:t>
      </w:r>
      <w:r w:rsidR="001B37C5" w:rsidRPr="00775261">
        <w:rPr>
          <w:sz w:val="24"/>
          <w:szCs w:val="24"/>
        </w:rPr>
        <w:t xml:space="preserve">laintiff argued that the date for the cause of action was 10 March 2020 when </w:t>
      </w:r>
      <w:r w:rsidR="00AA7CA4" w:rsidRPr="00775261">
        <w:rPr>
          <w:sz w:val="24"/>
          <w:szCs w:val="24"/>
        </w:rPr>
        <w:t xml:space="preserve">the medical expert produced </w:t>
      </w:r>
      <w:r w:rsidR="001B37C5" w:rsidRPr="00775261">
        <w:rPr>
          <w:sz w:val="24"/>
          <w:szCs w:val="24"/>
        </w:rPr>
        <w:t>a second medical report of his condition.</w:t>
      </w:r>
      <w:r w:rsidR="00A955F6" w:rsidRPr="00775261">
        <w:rPr>
          <w:sz w:val="24"/>
          <w:szCs w:val="24"/>
        </w:rPr>
        <w:t xml:space="preserve"> In the affidavit of evidence, the </w:t>
      </w:r>
      <w:r>
        <w:rPr>
          <w:sz w:val="24"/>
          <w:szCs w:val="24"/>
        </w:rPr>
        <w:t>p</w:t>
      </w:r>
      <w:r w:rsidR="00A955F6" w:rsidRPr="00775261">
        <w:rPr>
          <w:sz w:val="24"/>
          <w:szCs w:val="24"/>
        </w:rPr>
        <w:t>laintiff alleged that he visited the medical practitioner on 15 February 2022 and was advised of his medical expenses.</w:t>
      </w:r>
      <w:r>
        <w:rPr>
          <w:sz w:val="24"/>
          <w:szCs w:val="24"/>
        </w:rPr>
        <w:t> </w:t>
      </w:r>
      <w:r w:rsidR="00311B9F" w:rsidRPr="00775261">
        <w:rPr>
          <w:sz w:val="24"/>
          <w:szCs w:val="24"/>
        </w:rPr>
        <w:t xml:space="preserve">The </w:t>
      </w:r>
      <w:r>
        <w:rPr>
          <w:sz w:val="24"/>
          <w:szCs w:val="24"/>
        </w:rPr>
        <w:lastRenderedPageBreak/>
        <w:t>p</w:t>
      </w:r>
      <w:r w:rsidR="00311B9F" w:rsidRPr="00775261">
        <w:rPr>
          <w:sz w:val="24"/>
          <w:szCs w:val="24"/>
        </w:rPr>
        <w:t>laintiff argued that, therefore, the</w:t>
      </w:r>
      <w:r w:rsidR="007731C7" w:rsidRPr="00775261">
        <w:rPr>
          <w:sz w:val="24"/>
          <w:szCs w:val="24"/>
        </w:rPr>
        <w:t xml:space="preserve"> claim cannot be said to have prescribed under such circumstances. </w:t>
      </w:r>
      <w:r w:rsidR="000C35CD" w:rsidRPr="00775261">
        <w:rPr>
          <w:sz w:val="24"/>
          <w:szCs w:val="24"/>
        </w:rPr>
        <w:t xml:space="preserve">Adv </w:t>
      </w:r>
      <w:r w:rsidR="000C35CD" w:rsidRPr="00EA4C0B">
        <w:rPr>
          <w:i/>
          <w:sz w:val="24"/>
          <w:szCs w:val="24"/>
        </w:rPr>
        <w:t>Ndlovu</w:t>
      </w:r>
      <w:r w:rsidR="000C35CD" w:rsidRPr="00775261">
        <w:rPr>
          <w:sz w:val="24"/>
          <w:szCs w:val="24"/>
        </w:rPr>
        <w:t xml:space="preserve"> argued that the </w:t>
      </w:r>
      <w:r>
        <w:rPr>
          <w:sz w:val="24"/>
          <w:szCs w:val="24"/>
        </w:rPr>
        <w:t>p</w:t>
      </w:r>
      <w:r w:rsidR="000C35CD" w:rsidRPr="00775261">
        <w:rPr>
          <w:sz w:val="24"/>
          <w:szCs w:val="24"/>
        </w:rPr>
        <w:t>laintiff was unable to quantify special damages by 12 April 2018 and hence the cause of action did not arise on this date.</w:t>
      </w:r>
      <w:r w:rsidR="00A32553" w:rsidRPr="00775261">
        <w:rPr>
          <w:sz w:val="24"/>
          <w:szCs w:val="24"/>
        </w:rPr>
        <w:t xml:space="preserve"> He further contended that the </w:t>
      </w:r>
      <w:r>
        <w:rPr>
          <w:sz w:val="24"/>
          <w:szCs w:val="24"/>
        </w:rPr>
        <w:t>p</w:t>
      </w:r>
      <w:r w:rsidR="00A32553" w:rsidRPr="00775261">
        <w:rPr>
          <w:sz w:val="24"/>
          <w:szCs w:val="24"/>
        </w:rPr>
        <w:t xml:space="preserve">laintiff is still discovering new dimensions of his disability. Additionally, he maintained that the extent of </w:t>
      </w:r>
      <w:r>
        <w:rPr>
          <w:sz w:val="24"/>
          <w:szCs w:val="24"/>
        </w:rPr>
        <w:t>p</w:t>
      </w:r>
      <w:r w:rsidR="002621C1" w:rsidRPr="00775261">
        <w:rPr>
          <w:sz w:val="24"/>
          <w:szCs w:val="24"/>
        </w:rPr>
        <w:t xml:space="preserve">laintiff’s </w:t>
      </w:r>
      <w:r w:rsidR="00A32553" w:rsidRPr="00775261">
        <w:rPr>
          <w:sz w:val="24"/>
          <w:szCs w:val="24"/>
        </w:rPr>
        <w:t xml:space="preserve">suffering is still to be discovered by the </w:t>
      </w:r>
      <w:r>
        <w:rPr>
          <w:sz w:val="24"/>
          <w:szCs w:val="24"/>
        </w:rPr>
        <w:t>p</w:t>
      </w:r>
      <w:r w:rsidR="00A32553" w:rsidRPr="00775261">
        <w:rPr>
          <w:sz w:val="24"/>
          <w:szCs w:val="24"/>
        </w:rPr>
        <w:t>laintiff.</w:t>
      </w:r>
      <w:r w:rsidR="00C57E55" w:rsidRPr="00775261">
        <w:rPr>
          <w:sz w:val="24"/>
          <w:szCs w:val="24"/>
        </w:rPr>
        <w:t xml:space="preserve"> On behalf of the </w:t>
      </w:r>
      <w:r>
        <w:rPr>
          <w:sz w:val="24"/>
          <w:szCs w:val="24"/>
        </w:rPr>
        <w:t>d</w:t>
      </w:r>
      <w:r w:rsidR="00C57E55" w:rsidRPr="00775261">
        <w:rPr>
          <w:sz w:val="24"/>
          <w:szCs w:val="24"/>
        </w:rPr>
        <w:t xml:space="preserve">efendants, Adv </w:t>
      </w:r>
      <w:r w:rsidR="00C57E55" w:rsidRPr="00EA4C0B">
        <w:rPr>
          <w:i/>
          <w:sz w:val="24"/>
          <w:szCs w:val="24"/>
        </w:rPr>
        <w:t>Magwaliba</w:t>
      </w:r>
      <w:r w:rsidR="00C57E55" w:rsidRPr="00775261">
        <w:rPr>
          <w:sz w:val="24"/>
          <w:szCs w:val="24"/>
        </w:rPr>
        <w:t xml:space="preserve"> argued that the </w:t>
      </w:r>
      <w:r w:rsidR="00336B70">
        <w:rPr>
          <w:sz w:val="24"/>
          <w:szCs w:val="24"/>
        </w:rPr>
        <w:t>p</w:t>
      </w:r>
      <w:r w:rsidR="00C57E55" w:rsidRPr="00775261">
        <w:rPr>
          <w:sz w:val="24"/>
          <w:szCs w:val="24"/>
        </w:rPr>
        <w:t xml:space="preserve">laintiff was now departing from his pleadings filed. </w:t>
      </w:r>
      <w:r>
        <w:rPr>
          <w:sz w:val="24"/>
          <w:szCs w:val="24"/>
        </w:rPr>
        <w:t> </w:t>
      </w:r>
      <w:r w:rsidR="00C57E55" w:rsidRPr="00775261">
        <w:rPr>
          <w:sz w:val="24"/>
          <w:szCs w:val="24"/>
        </w:rPr>
        <w:t xml:space="preserve">According to Adv </w:t>
      </w:r>
      <w:r w:rsidR="00C57E55" w:rsidRPr="00EA4C0B">
        <w:rPr>
          <w:i/>
          <w:sz w:val="24"/>
          <w:szCs w:val="24"/>
        </w:rPr>
        <w:t>Magwaliba</w:t>
      </w:r>
      <w:r w:rsidR="00C57E55" w:rsidRPr="00775261">
        <w:rPr>
          <w:sz w:val="24"/>
          <w:szCs w:val="24"/>
        </w:rPr>
        <w:t>, in the replication</w:t>
      </w:r>
      <w:r w:rsidR="00F05355" w:rsidRPr="00775261">
        <w:rPr>
          <w:sz w:val="24"/>
          <w:szCs w:val="24"/>
        </w:rPr>
        <w:t xml:space="preserve"> to the special plea</w:t>
      </w:r>
      <w:r w:rsidR="00C57E55" w:rsidRPr="00775261">
        <w:rPr>
          <w:sz w:val="24"/>
          <w:szCs w:val="24"/>
        </w:rPr>
        <w:t xml:space="preserve">, the </w:t>
      </w:r>
      <w:r>
        <w:rPr>
          <w:sz w:val="24"/>
          <w:szCs w:val="24"/>
        </w:rPr>
        <w:t>p</w:t>
      </w:r>
      <w:r w:rsidR="00543F64" w:rsidRPr="00775261">
        <w:rPr>
          <w:sz w:val="24"/>
          <w:szCs w:val="24"/>
        </w:rPr>
        <w:t>laintiff averred</w:t>
      </w:r>
      <w:r w:rsidR="00C57E55" w:rsidRPr="00775261">
        <w:rPr>
          <w:sz w:val="24"/>
          <w:szCs w:val="24"/>
        </w:rPr>
        <w:t xml:space="preserve"> that the cause of action arose on 10 March 2020 and in the </w:t>
      </w:r>
      <w:r w:rsidR="00543F64" w:rsidRPr="00775261">
        <w:rPr>
          <w:sz w:val="24"/>
          <w:szCs w:val="24"/>
        </w:rPr>
        <w:t>affidavit of</w:t>
      </w:r>
      <w:r w:rsidR="00C57E55" w:rsidRPr="00775261">
        <w:rPr>
          <w:sz w:val="24"/>
          <w:szCs w:val="24"/>
        </w:rPr>
        <w:t xml:space="preserve"> evidence, the </w:t>
      </w:r>
      <w:r>
        <w:rPr>
          <w:sz w:val="24"/>
          <w:szCs w:val="24"/>
        </w:rPr>
        <w:t>p</w:t>
      </w:r>
      <w:r w:rsidR="00543F64" w:rsidRPr="00775261">
        <w:rPr>
          <w:sz w:val="24"/>
          <w:szCs w:val="24"/>
        </w:rPr>
        <w:t>laintiff shifted</w:t>
      </w:r>
      <w:r w:rsidR="00C57E55" w:rsidRPr="00775261">
        <w:rPr>
          <w:sz w:val="24"/>
          <w:szCs w:val="24"/>
        </w:rPr>
        <w:t xml:space="preserve"> the date for the cause of action to 15 February 2022, the date where he allegedly received the medical expenses for the proposed </w:t>
      </w:r>
      <w:r w:rsidR="00F05355" w:rsidRPr="00775261">
        <w:rPr>
          <w:sz w:val="24"/>
          <w:szCs w:val="24"/>
        </w:rPr>
        <w:t>medical procedure</w:t>
      </w:r>
      <w:r w:rsidR="00C57E55" w:rsidRPr="00775261">
        <w:rPr>
          <w:sz w:val="24"/>
          <w:szCs w:val="24"/>
        </w:rPr>
        <w:t>.</w:t>
      </w:r>
      <w:r w:rsidR="00217F63" w:rsidRPr="00775261">
        <w:rPr>
          <w:sz w:val="24"/>
          <w:szCs w:val="24"/>
        </w:rPr>
        <w:t xml:space="preserve"> Adv </w:t>
      </w:r>
      <w:r w:rsidR="00217F63" w:rsidRPr="00EA4C0B">
        <w:rPr>
          <w:i/>
          <w:sz w:val="24"/>
          <w:szCs w:val="24"/>
        </w:rPr>
        <w:t>Magwaliba</w:t>
      </w:r>
      <w:r w:rsidR="00217F63" w:rsidRPr="00775261">
        <w:rPr>
          <w:sz w:val="24"/>
          <w:szCs w:val="24"/>
        </w:rPr>
        <w:t xml:space="preserve"> contended that the </w:t>
      </w:r>
      <w:r>
        <w:rPr>
          <w:sz w:val="24"/>
          <w:szCs w:val="24"/>
        </w:rPr>
        <w:t>p</w:t>
      </w:r>
      <w:r w:rsidR="00217F63" w:rsidRPr="00775261">
        <w:rPr>
          <w:sz w:val="24"/>
          <w:szCs w:val="24"/>
        </w:rPr>
        <w:t xml:space="preserve">laintiff must be aware </w:t>
      </w:r>
      <w:r w:rsidR="00EA2272" w:rsidRPr="00775261">
        <w:rPr>
          <w:sz w:val="24"/>
          <w:szCs w:val="24"/>
        </w:rPr>
        <w:t xml:space="preserve">that </w:t>
      </w:r>
      <w:r>
        <w:rPr>
          <w:sz w:val="24"/>
          <w:szCs w:val="24"/>
        </w:rPr>
        <w:t>pleadings, u</w:t>
      </w:r>
      <w:r w:rsidR="00217F63" w:rsidRPr="00775261">
        <w:rPr>
          <w:sz w:val="24"/>
          <w:szCs w:val="24"/>
        </w:rPr>
        <w:t xml:space="preserve">nless withdrawn formally in terms of the  </w:t>
      </w:r>
      <w:r>
        <w:rPr>
          <w:sz w:val="24"/>
          <w:szCs w:val="24"/>
        </w:rPr>
        <w:t>r</w:t>
      </w:r>
      <w:r w:rsidR="00217F63" w:rsidRPr="00775261">
        <w:rPr>
          <w:sz w:val="24"/>
          <w:szCs w:val="24"/>
        </w:rPr>
        <w:t xml:space="preserve">ules, are binding not  </w:t>
      </w:r>
      <w:r w:rsidR="00F05355" w:rsidRPr="00775261">
        <w:rPr>
          <w:sz w:val="24"/>
          <w:szCs w:val="24"/>
        </w:rPr>
        <w:t xml:space="preserve">only </w:t>
      </w:r>
      <w:r w:rsidR="00217F63" w:rsidRPr="00775261">
        <w:rPr>
          <w:sz w:val="24"/>
          <w:szCs w:val="24"/>
        </w:rPr>
        <w:t>to the parties, but such pleadings are binding to the court as well.</w:t>
      </w:r>
      <w:r w:rsidR="00E46EA2" w:rsidRPr="00775261">
        <w:rPr>
          <w:sz w:val="24"/>
          <w:szCs w:val="24"/>
        </w:rPr>
        <w:t xml:space="preserve"> Reference is made to the case of </w:t>
      </w:r>
      <w:r w:rsidR="00E46EA2" w:rsidRPr="00336B70">
        <w:rPr>
          <w:i/>
          <w:sz w:val="24"/>
          <w:szCs w:val="24"/>
        </w:rPr>
        <w:t xml:space="preserve">Zhou Haixi </w:t>
      </w:r>
      <w:r w:rsidR="00336B70">
        <w:rPr>
          <w:i/>
          <w:sz w:val="24"/>
          <w:szCs w:val="24"/>
        </w:rPr>
        <w:t>&amp;</w:t>
      </w:r>
      <w:r w:rsidR="00E46EA2" w:rsidRPr="00336B70">
        <w:rPr>
          <w:i/>
          <w:sz w:val="24"/>
          <w:szCs w:val="24"/>
        </w:rPr>
        <w:t xml:space="preserve"> Anor</w:t>
      </w:r>
      <w:r w:rsidR="00E46EA2" w:rsidRPr="00775261">
        <w:rPr>
          <w:sz w:val="24"/>
          <w:szCs w:val="24"/>
        </w:rPr>
        <w:t xml:space="preserve"> v </w:t>
      </w:r>
      <w:r w:rsidR="00BE3333" w:rsidRPr="00336B70">
        <w:rPr>
          <w:i/>
          <w:sz w:val="24"/>
          <w:szCs w:val="24"/>
        </w:rPr>
        <w:t xml:space="preserve">Chen Shaoliang </w:t>
      </w:r>
      <w:r w:rsidR="003C2458" w:rsidRPr="003C2458">
        <w:rPr>
          <w:i/>
          <w:sz w:val="24"/>
          <w:szCs w:val="24"/>
        </w:rPr>
        <w:t>&amp;</w:t>
      </w:r>
      <w:r w:rsidR="00BE3333" w:rsidRPr="00336B70">
        <w:rPr>
          <w:i/>
          <w:sz w:val="24"/>
          <w:szCs w:val="24"/>
        </w:rPr>
        <w:t xml:space="preserve"> Anor</w:t>
      </w:r>
      <w:r w:rsidR="00BE3333" w:rsidRPr="00775261">
        <w:rPr>
          <w:sz w:val="24"/>
          <w:szCs w:val="24"/>
        </w:rPr>
        <w:t xml:space="preserve">, where </w:t>
      </w:r>
      <w:r w:rsidR="00BE3333" w:rsidRPr="00336B70">
        <w:rPr>
          <w:smallCaps/>
          <w:sz w:val="24"/>
          <w:szCs w:val="24"/>
        </w:rPr>
        <w:t xml:space="preserve">Chigumba </w:t>
      </w:r>
      <w:r w:rsidR="00543F64" w:rsidRPr="00775261">
        <w:rPr>
          <w:sz w:val="24"/>
          <w:szCs w:val="24"/>
        </w:rPr>
        <w:t>J superbly</w:t>
      </w:r>
      <w:r w:rsidR="00BE3333" w:rsidRPr="00775261">
        <w:rPr>
          <w:sz w:val="24"/>
          <w:szCs w:val="24"/>
        </w:rPr>
        <w:t xml:space="preserve"> </w:t>
      </w:r>
      <w:r w:rsidR="002C634C">
        <w:rPr>
          <w:sz w:val="24"/>
          <w:szCs w:val="24"/>
        </w:rPr>
        <w:t xml:space="preserve">commented </w:t>
      </w:r>
      <w:r w:rsidR="00BE3333" w:rsidRPr="00775261">
        <w:rPr>
          <w:sz w:val="24"/>
          <w:szCs w:val="24"/>
        </w:rPr>
        <w:t>the following comments:</w:t>
      </w:r>
    </w:p>
    <w:p w14:paraId="569D1260" w14:textId="1EB65D14" w:rsidR="00164C6B" w:rsidRPr="00775261" w:rsidRDefault="00336B70" w:rsidP="00775261">
      <w:pPr>
        <w:tabs>
          <w:tab w:val="left" w:pos="720"/>
        </w:tabs>
        <w:jc w:val="both"/>
        <w:rPr>
          <w:sz w:val="24"/>
          <w:szCs w:val="24"/>
        </w:rPr>
      </w:pPr>
      <w:r>
        <w:rPr>
          <w:sz w:val="24"/>
          <w:szCs w:val="24"/>
        </w:rPr>
        <w:tab/>
      </w:r>
      <w:r w:rsidR="00164C6B" w:rsidRPr="00775261">
        <w:rPr>
          <w:sz w:val="24"/>
          <w:szCs w:val="24"/>
        </w:rPr>
        <w:t xml:space="preserve">“It is trite that admissions made in pleadings are binding. See </w:t>
      </w:r>
      <w:r w:rsidR="00164C6B" w:rsidRPr="00775261">
        <w:rPr>
          <w:i/>
          <w:sz w:val="24"/>
          <w:szCs w:val="24"/>
        </w:rPr>
        <w:t xml:space="preserve">Remo Investment Brokers </w:t>
      </w:r>
      <w:r>
        <w:rPr>
          <w:i/>
          <w:sz w:val="24"/>
          <w:szCs w:val="24"/>
        </w:rPr>
        <w:tab/>
      </w:r>
      <w:r w:rsidR="00164C6B" w:rsidRPr="00775261">
        <w:rPr>
          <w:i/>
          <w:sz w:val="24"/>
          <w:szCs w:val="24"/>
        </w:rPr>
        <w:t xml:space="preserve">Private Limited &amp; Ors </w:t>
      </w:r>
      <w:r w:rsidR="00164C6B" w:rsidRPr="00775261">
        <w:rPr>
          <w:sz w:val="24"/>
          <w:szCs w:val="24"/>
        </w:rPr>
        <w:t>v</w:t>
      </w:r>
      <w:r w:rsidR="00164C6B" w:rsidRPr="00775261">
        <w:rPr>
          <w:i/>
          <w:sz w:val="24"/>
          <w:szCs w:val="24"/>
        </w:rPr>
        <w:t xml:space="preserve"> Securities Commission Zimbabwe.</w:t>
      </w:r>
      <w:r w:rsidR="00164C6B" w:rsidRPr="00775261">
        <w:rPr>
          <w:rStyle w:val="FootnoteReference"/>
          <w:i/>
          <w:sz w:val="24"/>
          <w:szCs w:val="24"/>
        </w:rPr>
        <w:footnoteReference w:id="5"/>
      </w:r>
      <w:r w:rsidR="00164C6B" w:rsidRPr="00775261">
        <w:rPr>
          <w:sz w:val="24"/>
          <w:szCs w:val="24"/>
        </w:rPr>
        <w:t xml:space="preserve"> It is a well-established </w:t>
      </w:r>
      <w:r>
        <w:rPr>
          <w:sz w:val="24"/>
          <w:szCs w:val="24"/>
        </w:rPr>
        <w:tab/>
      </w:r>
      <w:r w:rsidR="00543F64" w:rsidRPr="00775261">
        <w:rPr>
          <w:sz w:val="24"/>
          <w:szCs w:val="24"/>
        </w:rPr>
        <w:t>principle that</w:t>
      </w:r>
      <w:r w:rsidR="00164C6B" w:rsidRPr="00775261">
        <w:rPr>
          <w:sz w:val="24"/>
          <w:szCs w:val="24"/>
        </w:rPr>
        <w:t>:</w:t>
      </w:r>
    </w:p>
    <w:p w14:paraId="62D6CD28" w14:textId="4FE0C3FD" w:rsidR="00164C6B" w:rsidRPr="00775261" w:rsidRDefault="00336B70" w:rsidP="00775261">
      <w:pPr>
        <w:ind w:left="720"/>
        <w:jc w:val="both"/>
        <w:rPr>
          <w:sz w:val="24"/>
          <w:szCs w:val="24"/>
        </w:rPr>
      </w:pPr>
      <w:r>
        <w:rPr>
          <w:sz w:val="24"/>
          <w:szCs w:val="24"/>
        </w:rPr>
        <w:tab/>
        <w:t>‘</w:t>
      </w:r>
      <w:r w:rsidR="00164C6B" w:rsidRPr="00775261">
        <w:rPr>
          <w:sz w:val="24"/>
          <w:szCs w:val="24"/>
        </w:rPr>
        <w:t xml:space="preserve">A formal admission made in pleadings cannot be ignored by the Court before </w:t>
      </w:r>
      <w:r>
        <w:rPr>
          <w:sz w:val="24"/>
          <w:szCs w:val="24"/>
        </w:rPr>
        <w:tab/>
      </w:r>
      <w:r w:rsidR="00164C6B" w:rsidRPr="00775261">
        <w:rPr>
          <w:sz w:val="24"/>
          <w:szCs w:val="24"/>
        </w:rPr>
        <w:t xml:space="preserve">it is made. Unless withdrawn, it prevents the leading of any further evidence to </w:t>
      </w:r>
      <w:r>
        <w:rPr>
          <w:sz w:val="24"/>
          <w:szCs w:val="24"/>
        </w:rPr>
        <w:tab/>
      </w:r>
      <w:r w:rsidR="00164C6B" w:rsidRPr="00775261">
        <w:rPr>
          <w:sz w:val="24"/>
          <w:szCs w:val="24"/>
        </w:rPr>
        <w:t xml:space="preserve">prove or disprove the admitted facts. It becomes conclusive of the issues or facts </w:t>
      </w:r>
      <w:r>
        <w:rPr>
          <w:sz w:val="24"/>
          <w:szCs w:val="24"/>
        </w:rPr>
        <w:tab/>
      </w:r>
      <w:r w:rsidR="00164C6B" w:rsidRPr="00775261">
        <w:rPr>
          <w:sz w:val="24"/>
          <w:szCs w:val="24"/>
        </w:rPr>
        <w:t xml:space="preserve">admitted. Thus where liability in full, as </w:t>
      </w:r>
      <w:r w:rsidR="00164C6B" w:rsidRPr="00336B70">
        <w:rPr>
          <w:i/>
          <w:sz w:val="24"/>
          <w:szCs w:val="24"/>
        </w:rPr>
        <w:t>in casu</w:t>
      </w:r>
      <w:r w:rsidR="00164C6B" w:rsidRPr="00775261">
        <w:rPr>
          <w:sz w:val="24"/>
          <w:szCs w:val="24"/>
        </w:rPr>
        <w:t xml:space="preserve">, is admitted, no evidence is </w:t>
      </w:r>
      <w:r>
        <w:rPr>
          <w:sz w:val="24"/>
          <w:szCs w:val="24"/>
        </w:rPr>
        <w:tab/>
      </w:r>
      <w:r w:rsidR="00164C6B" w:rsidRPr="00775261">
        <w:rPr>
          <w:sz w:val="24"/>
          <w:szCs w:val="24"/>
        </w:rPr>
        <w:t xml:space="preserve">permissible, to prove or to disprove the defendant’s admitted liability. The </w:t>
      </w:r>
      <w:r>
        <w:rPr>
          <w:sz w:val="24"/>
          <w:szCs w:val="24"/>
        </w:rPr>
        <w:tab/>
      </w:r>
      <w:r w:rsidR="00164C6B" w:rsidRPr="00775261">
        <w:rPr>
          <w:sz w:val="24"/>
          <w:szCs w:val="24"/>
        </w:rPr>
        <w:t xml:space="preserve">importance of the admission is that it is thus seen as limiting or curtailing the </w:t>
      </w:r>
      <w:r>
        <w:rPr>
          <w:sz w:val="24"/>
          <w:szCs w:val="24"/>
        </w:rPr>
        <w:tab/>
      </w:r>
      <w:r w:rsidR="00164C6B" w:rsidRPr="00775261">
        <w:rPr>
          <w:sz w:val="24"/>
          <w:szCs w:val="24"/>
        </w:rPr>
        <w:t xml:space="preserve">procedures before the court in that where it is not withdrawn, it is binding on </w:t>
      </w:r>
      <w:r>
        <w:rPr>
          <w:sz w:val="24"/>
          <w:szCs w:val="24"/>
        </w:rPr>
        <w:tab/>
      </w:r>
      <w:r w:rsidR="00164C6B" w:rsidRPr="00775261">
        <w:rPr>
          <w:sz w:val="24"/>
          <w:szCs w:val="24"/>
        </w:rPr>
        <w:t xml:space="preserve">the court and in its </w:t>
      </w:r>
      <w:r w:rsidRPr="00775261">
        <w:rPr>
          <w:sz w:val="24"/>
          <w:szCs w:val="24"/>
        </w:rPr>
        <w:t>face, the</w:t>
      </w:r>
      <w:r w:rsidR="00164C6B" w:rsidRPr="00775261">
        <w:rPr>
          <w:sz w:val="24"/>
          <w:szCs w:val="24"/>
        </w:rPr>
        <w:t xml:space="preserve"> Court cannot allow any party to lead or call for </w:t>
      </w:r>
      <w:r>
        <w:rPr>
          <w:sz w:val="24"/>
          <w:szCs w:val="24"/>
        </w:rPr>
        <w:tab/>
      </w:r>
      <w:r w:rsidR="00164C6B" w:rsidRPr="00775261">
        <w:rPr>
          <w:sz w:val="24"/>
          <w:szCs w:val="24"/>
        </w:rPr>
        <w:t>evidence to prove the facts that have been admitted.</w:t>
      </w:r>
      <w:r w:rsidR="003C2458">
        <w:rPr>
          <w:sz w:val="24"/>
          <w:szCs w:val="24"/>
        </w:rPr>
        <w:t>’</w:t>
      </w:r>
      <w:r w:rsidR="00164C6B" w:rsidRPr="00775261">
        <w:rPr>
          <w:sz w:val="24"/>
          <w:szCs w:val="24"/>
        </w:rPr>
        <w:t xml:space="preserve">”  </w:t>
      </w:r>
    </w:p>
    <w:p w14:paraId="65896107" w14:textId="77777777" w:rsidR="00164C6B" w:rsidRPr="00775261" w:rsidRDefault="00164C6B" w:rsidP="00775261">
      <w:pPr>
        <w:spacing w:line="360" w:lineRule="auto"/>
        <w:ind w:left="720"/>
        <w:jc w:val="both"/>
        <w:rPr>
          <w:sz w:val="24"/>
          <w:szCs w:val="24"/>
        </w:rPr>
      </w:pPr>
    </w:p>
    <w:p w14:paraId="625C4027" w14:textId="50125728" w:rsidR="00164C6B" w:rsidRPr="00775261" w:rsidRDefault="00164C6B" w:rsidP="00775261">
      <w:pPr>
        <w:spacing w:line="360" w:lineRule="auto"/>
        <w:ind w:firstLine="720"/>
        <w:jc w:val="both"/>
        <w:rPr>
          <w:i/>
          <w:sz w:val="24"/>
          <w:szCs w:val="24"/>
        </w:rPr>
      </w:pPr>
      <w:r w:rsidRPr="00775261">
        <w:rPr>
          <w:sz w:val="24"/>
          <w:szCs w:val="24"/>
        </w:rPr>
        <w:t xml:space="preserve">See </w:t>
      </w:r>
      <w:r w:rsidRPr="00775261">
        <w:rPr>
          <w:i/>
          <w:sz w:val="24"/>
          <w:szCs w:val="24"/>
        </w:rPr>
        <w:t xml:space="preserve">Mining Industry Pension Fund </w:t>
      </w:r>
      <w:r w:rsidRPr="00775261">
        <w:rPr>
          <w:sz w:val="24"/>
          <w:szCs w:val="24"/>
        </w:rPr>
        <w:t>v</w:t>
      </w:r>
      <w:r w:rsidRPr="00775261">
        <w:rPr>
          <w:i/>
          <w:sz w:val="24"/>
          <w:szCs w:val="24"/>
        </w:rPr>
        <w:t xml:space="preserve"> DAB Marketing Private Limited</w:t>
      </w:r>
      <w:r w:rsidRPr="00775261">
        <w:rPr>
          <w:rStyle w:val="FootnoteReference"/>
          <w:i/>
          <w:sz w:val="24"/>
          <w:szCs w:val="24"/>
        </w:rPr>
        <w:footnoteReference w:id="6"/>
      </w:r>
      <w:r w:rsidRPr="00775261">
        <w:rPr>
          <w:i/>
          <w:sz w:val="24"/>
          <w:szCs w:val="24"/>
        </w:rPr>
        <w:t xml:space="preserve">, </w:t>
      </w:r>
      <w:r w:rsidRPr="00775261">
        <w:rPr>
          <w:sz w:val="24"/>
          <w:szCs w:val="24"/>
        </w:rPr>
        <w:t xml:space="preserve">which quoted with approval the following cases; </w:t>
      </w:r>
      <w:r w:rsidRPr="00775261">
        <w:rPr>
          <w:i/>
          <w:sz w:val="24"/>
          <w:szCs w:val="24"/>
        </w:rPr>
        <w:t xml:space="preserve">Rance </w:t>
      </w:r>
      <w:r w:rsidRPr="00775261">
        <w:rPr>
          <w:sz w:val="24"/>
          <w:szCs w:val="24"/>
        </w:rPr>
        <w:t xml:space="preserve">v </w:t>
      </w:r>
      <w:r w:rsidRPr="00775261">
        <w:rPr>
          <w:i/>
          <w:sz w:val="24"/>
          <w:szCs w:val="24"/>
        </w:rPr>
        <w:t xml:space="preserve">Union Mercantile Ltd </w:t>
      </w:r>
      <w:r w:rsidRPr="00775261">
        <w:rPr>
          <w:sz w:val="24"/>
          <w:szCs w:val="24"/>
        </w:rPr>
        <w:t xml:space="preserve">1922 AD 312; </w:t>
      </w:r>
      <w:r w:rsidRPr="00775261">
        <w:rPr>
          <w:i/>
          <w:sz w:val="24"/>
          <w:szCs w:val="24"/>
        </w:rPr>
        <w:t>Gordon</w:t>
      </w:r>
      <w:r w:rsidRPr="00775261">
        <w:rPr>
          <w:sz w:val="24"/>
          <w:szCs w:val="24"/>
        </w:rPr>
        <w:t xml:space="preserve"> v</w:t>
      </w:r>
      <w:r w:rsidRPr="00775261">
        <w:rPr>
          <w:i/>
          <w:sz w:val="24"/>
          <w:szCs w:val="24"/>
        </w:rPr>
        <w:t xml:space="preserve"> Tarnow </w:t>
      </w:r>
      <w:r w:rsidRPr="00775261">
        <w:rPr>
          <w:sz w:val="24"/>
          <w:szCs w:val="24"/>
        </w:rPr>
        <w:t>1947 (3) Sa 525 AD;</w:t>
      </w:r>
      <w:r w:rsidRPr="00775261">
        <w:rPr>
          <w:i/>
          <w:sz w:val="24"/>
          <w:szCs w:val="24"/>
        </w:rPr>
        <w:t xml:space="preserve"> Van Deventer </w:t>
      </w:r>
      <w:r w:rsidRPr="00775261">
        <w:rPr>
          <w:sz w:val="24"/>
          <w:szCs w:val="24"/>
        </w:rPr>
        <w:t>v</w:t>
      </w:r>
      <w:r w:rsidRPr="00775261">
        <w:rPr>
          <w:i/>
          <w:sz w:val="24"/>
          <w:szCs w:val="24"/>
        </w:rPr>
        <w:t xml:space="preserve"> de Villiers </w:t>
      </w:r>
      <w:r w:rsidRPr="00775261">
        <w:rPr>
          <w:sz w:val="24"/>
          <w:szCs w:val="24"/>
        </w:rPr>
        <w:t>1953 (4) SA 72.</w:t>
      </w:r>
    </w:p>
    <w:p w14:paraId="065BFE71" w14:textId="04E47D87" w:rsidR="00AF4326" w:rsidRPr="00775261" w:rsidRDefault="00336B70" w:rsidP="00775261">
      <w:pPr>
        <w:spacing w:line="360" w:lineRule="auto"/>
        <w:jc w:val="both"/>
        <w:rPr>
          <w:sz w:val="24"/>
          <w:szCs w:val="24"/>
        </w:rPr>
      </w:pPr>
      <w:r>
        <w:rPr>
          <w:sz w:val="24"/>
          <w:szCs w:val="24"/>
        </w:rPr>
        <w:tab/>
      </w:r>
      <w:r w:rsidR="0026173A" w:rsidRPr="00775261">
        <w:rPr>
          <w:sz w:val="24"/>
          <w:szCs w:val="24"/>
        </w:rPr>
        <w:t xml:space="preserve">I do agree with Adv </w:t>
      </w:r>
      <w:r w:rsidR="0026173A" w:rsidRPr="00336B70">
        <w:rPr>
          <w:i/>
          <w:sz w:val="24"/>
          <w:szCs w:val="24"/>
        </w:rPr>
        <w:t>Magwaliba</w:t>
      </w:r>
      <w:r>
        <w:rPr>
          <w:sz w:val="24"/>
          <w:szCs w:val="24"/>
        </w:rPr>
        <w:t>’s submissions. The p</w:t>
      </w:r>
      <w:r w:rsidR="0026173A" w:rsidRPr="00775261">
        <w:rPr>
          <w:sz w:val="24"/>
          <w:szCs w:val="24"/>
        </w:rPr>
        <w:t>laintiff in the replication referred to 10 March 2020 as the date upon which the cause of action arose.</w:t>
      </w:r>
      <w:r w:rsidR="007B35A3" w:rsidRPr="00775261">
        <w:rPr>
          <w:sz w:val="24"/>
          <w:szCs w:val="24"/>
        </w:rPr>
        <w:t xml:space="preserve"> This date falls outside the prescriptive period.</w:t>
      </w:r>
      <w:r w:rsidR="00812793" w:rsidRPr="00775261">
        <w:rPr>
          <w:sz w:val="24"/>
          <w:szCs w:val="24"/>
        </w:rPr>
        <w:t xml:space="preserve"> Summons was served upon the </w:t>
      </w:r>
      <w:r>
        <w:rPr>
          <w:sz w:val="24"/>
          <w:szCs w:val="24"/>
        </w:rPr>
        <w:t>d</w:t>
      </w:r>
      <w:r w:rsidR="00812793" w:rsidRPr="00775261">
        <w:rPr>
          <w:sz w:val="24"/>
          <w:szCs w:val="24"/>
        </w:rPr>
        <w:t xml:space="preserve">efendants </w:t>
      </w:r>
      <w:r w:rsidR="00EA2272" w:rsidRPr="00775261">
        <w:rPr>
          <w:sz w:val="24"/>
          <w:szCs w:val="24"/>
        </w:rPr>
        <w:t xml:space="preserve">on 22 March 2023 </w:t>
      </w:r>
      <w:r w:rsidR="00812793" w:rsidRPr="00775261">
        <w:rPr>
          <w:sz w:val="24"/>
          <w:szCs w:val="24"/>
        </w:rPr>
        <w:t xml:space="preserve">more than three years after the alleged date for the cause of action. </w:t>
      </w:r>
      <w:r w:rsidR="00543F64" w:rsidRPr="00775261">
        <w:rPr>
          <w:sz w:val="24"/>
          <w:szCs w:val="24"/>
        </w:rPr>
        <w:t>Hence, assuming</w:t>
      </w:r>
      <w:r w:rsidR="002621C1" w:rsidRPr="00775261">
        <w:rPr>
          <w:sz w:val="24"/>
          <w:szCs w:val="24"/>
        </w:rPr>
        <w:t xml:space="preserve"> that the </w:t>
      </w:r>
      <w:r>
        <w:rPr>
          <w:sz w:val="24"/>
          <w:szCs w:val="24"/>
        </w:rPr>
        <w:t>p</w:t>
      </w:r>
      <w:r w:rsidR="002621C1" w:rsidRPr="00775261">
        <w:rPr>
          <w:sz w:val="24"/>
          <w:szCs w:val="24"/>
        </w:rPr>
        <w:t xml:space="preserve">laintiff is </w:t>
      </w:r>
      <w:r w:rsidR="002621C1" w:rsidRPr="00775261">
        <w:rPr>
          <w:sz w:val="24"/>
          <w:szCs w:val="24"/>
        </w:rPr>
        <w:lastRenderedPageBreak/>
        <w:t>correct in this respect</w:t>
      </w:r>
      <w:r w:rsidR="00543F64" w:rsidRPr="00775261">
        <w:rPr>
          <w:sz w:val="24"/>
          <w:szCs w:val="24"/>
        </w:rPr>
        <w:t>, it</w:t>
      </w:r>
      <w:r>
        <w:rPr>
          <w:sz w:val="24"/>
          <w:szCs w:val="24"/>
        </w:rPr>
        <w:t xml:space="preserve"> is my view the claim by the p</w:t>
      </w:r>
      <w:r w:rsidR="00812793" w:rsidRPr="00775261">
        <w:rPr>
          <w:sz w:val="24"/>
          <w:szCs w:val="24"/>
        </w:rPr>
        <w:t xml:space="preserve">laintiff had prescribed by the time he served summons upon the </w:t>
      </w:r>
      <w:r>
        <w:rPr>
          <w:sz w:val="24"/>
          <w:szCs w:val="24"/>
        </w:rPr>
        <w:t>d</w:t>
      </w:r>
      <w:r w:rsidR="00812793" w:rsidRPr="00775261">
        <w:rPr>
          <w:sz w:val="24"/>
          <w:szCs w:val="24"/>
        </w:rPr>
        <w:t>efendants.</w:t>
      </w:r>
      <w:r w:rsidR="00FC4210" w:rsidRPr="00775261">
        <w:rPr>
          <w:sz w:val="24"/>
          <w:szCs w:val="24"/>
        </w:rPr>
        <w:t xml:space="preserve"> The </w:t>
      </w:r>
      <w:r>
        <w:rPr>
          <w:sz w:val="24"/>
          <w:szCs w:val="24"/>
        </w:rPr>
        <w:t>p</w:t>
      </w:r>
      <w:r w:rsidR="00FC4210" w:rsidRPr="00775261">
        <w:rPr>
          <w:sz w:val="24"/>
          <w:szCs w:val="24"/>
        </w:rPr>
        <w:t xml:space="preserve">laintiff’s attempt to generate another date </w:t>
      </w:r>
      <w:r w:rsidR="002C634C">
        <w:rPr>
          <w:sz w:val="24"/>
          <w:szCs w:val="24"/>
        </w:rPr>
        <w:t xml:space="preserve">of 15 February 2022 </w:t>
      </w:r>
      <w:r w:rsidR="00FC4210" w:rsidRPr="00775261">
        <w:rPr>
          <w:sz w:val="24"/>
          <w:szCs w:val="24"/>
        </w:rPr>
        <w:t xml:space="preserve">for the </w:t>
      </w:r>
      <w:r w:rsidR="002621C1" w:rsidRPr="00775261">
        <w:rPr>
          <w:sz w:val="24"/>
          <w:szCs w:val="24"/>
        </w:rPr>
        <w:t xml:space="preserve">eruption </w:t>
      </w:r>
      <w:r w:rsidR="00FC4210" w:rsidRPr="00775261">
        <w:rPr>
          <w:sz w:val="24"/>
          <w:szCs w:val="24"/>
        </w:rPr>
        <w:t xml:space="preserve">of the cause of action in the affidavit of evidence was a desperate </w:t>
      </w:r>
      <w:r w:rsidR="00543F64" w:rsidRPr="00775261">
        <w:rPr>
          <w:sz w:val="24"/>
          <w:szCs w:val="24"/>
        </w:rPr>
        <w:t>attempt to</w:t>
      </w:r>
      <w:r w:rsidR="00CB727F" w:rsidRPr="00775261">
        <w:rPr>
          <w:sz w:val="24"/>
          <w:szCs w:val="24"/>
        </w:rPr>
        <w:t xml:space="preserve"> mislead this court.</w:t>
      </w:r>
      <w:r w:rsidR="00EA2272" w:rsidRPr="00775261">
        <w:rPr>
          <w:sz w:val="24"/>
          <w:szCs w:val="24"/>
        </w:rPr>
        <w:t xml:space="preserve"> Reference is also made to the case of</w:t>
      </w:r>
      <w:r w:rsidR="00590FF5" w:rsidRPr="00775261">
        <w:rPr>
          <w:sz w:val="24"/>
          <w:szCs w:val="24"/>
        </w:rPr>
        <w:t xml:space="preserve"> </w:t>
      </w:r>
      <w:r w:rsidR="00590FF5" w:rsidRPr="00A44B3C">
        <w:rPr>
          <w:i/>
          <w:sz w:val="24"/>
          <w:szCs w:val="24"/>
        </w:rPr>
        <w:t>Gumbochuma</w:t>
      </w:r>
      <w:r w:rsidR="00590FF5" w:rsidRPr="00775261">
        <w:rPr>
          <w:sz w:val="24"/>
          <w:szCs w:val="24"/>
        </w:rPr>
        <w:t xml:space="preserve"> v </w:t>
      </w:r>
      <w:r w:rsidR="00590FF5" w:rsidRPr="00A44B3C">
        <w:rPr>
          <w:i/>
          <w:sz w:val="24"/>
          <w:szCs w:val="24"/>
        </w:rPr>
        <w:t>ZETDC</w:t>
      </w:r>
      <w:r w:rsidR="00543F64" w:rsidRPr="00775261">
        <w:rPr>
          <w:sz w:val="24"/>
          <w:szCs w:val="24"/>
        </w:rPr>
        <w:t>, where</w:t>
      </w:r>
      <w:r w:rsidR="00590FF5" w:rsidRPr="00775261">
        <w:rPr>
          <w:sz w:val="24"/>
          <w:szCs w:val="24"/>
        </w:rPr>
        <w:t xml:space="preserve"> </w:t>
      </w:r>
      <w:r w:rsidR="00590FF5" w:rsidRPr="00A44B3C">
        <w:rPr>
          <w:smallCaps/>
          <w:sz w:val="24"/>
          <w:szCs w:val="24"/>
        </w:rPr>
        <w:t>Mafusire</w:t>
      </w:r>
      <w:r w:rsidR="00590FF5" w:rsidRPr="00775261">
        <w:rPr>
          <w:sz w:val="24"/>
          <w:szCs w:val="24"/>
        </w:rPr>
        <w:t xml:space="preserve"> </w:t>
      </w:r>
      <w:r w:rsidR="00543F64" w:rsidRPr="00775261">
        <w:rPr>
          <w:sz w:val="24"/>
          <w:szCs w:val="24"/>
        </w:rPr>
        <w:t>J elegantly</w:t>
      </w:r>
      <w:r w:rsidR="002621C1" w:rsidRPr="00775261">
        <w:rPr>
          <w:sz w:val="24"/>
          <w:szCs w:val="24"/>
        </w:rPr>
        <w:t xml:space="preserve"> </w:t>
      </w:r>
      <w:r w:rsidR="00590FF5" w:rsidRPr="00775261">
        <w:rPr>
          <w:sz w:val="24"/>
          <w:szCs w:val="24"/>
        </w:rPr>
        <w:t>p</w:t>
      </w:r>
      <w:r w:rsidR="00AF4326" w:rsidRPr="00775261">
        <w:rPr>
          <w:sz w:val="24"/>
          <w:szCs w:val="24"/>
        </w:rPr>
        <w:t>ropounded the following remarks:</w:t>
      </w:r>
    </w:p>
    <w:p w14:paraId="64ACA6F6" w14:textId="7A7417EB" w:rsidR="00AF4326" w:rsidRPr="00A44B3C" w:rsidRDefault="00A44B3C" w:rsidP="00A44B3C">
      <w:pPr>
        <w:autoSpaceDE w:val="0"/>
        <w:autoSpaceDN w:val="0"/>
        <w:adjustRightInd w:val="0"/>
        <w:ind w:left="720" w:hanging="720"/>
        <w:jc w:val="both"/>
        <w:rPr>
          <w:sz w:val="22"/>
          <w:szCs w:val="22"/>
        </w:rPr>
      </w:pPr>
      <w:r>
        <w:rPr>
          <w:sz w:val="24"/>
          <w:szCs w:val="24"/>
        </w:rPr>
        <w:tab/>
      </w:r>
      <w:r w:rsidR="00AF4326" w:rsidRPr="00A44B3C">
        <w:rPr>
          <w:sz w:val="22"/>
          <w:szCs w:val="22"/>
        </w:rPr>
        <w:t>“[10]</w:t>
      </w:r>
      <w:r w:rsidR="00AF4326" w:rsidRPr="00A44B3C">
        <w:rPr>
          <w:sz w:val="22"/>
          <w:szCs w:val="22"/>
        </w:rPr>
        <w:tab/>
        <w:t>Plainly, the plaintiff’s argument on prescription is ill-conceived. His cause of action is manifestly prescribed. Both parties are agreed that the plaintiff’s cause of action is a ‘debt’ within the meaning of s 2 of the Prescription Act, namely being a “</w:t>
      </w:r>
      <w:r w:rsidR="00AF4326" w:rsidRPr="00A44B3C">
        <w:rPr>
          <w:i/>
          <w:iCs/>
          <w:sz w:val="22"/>
          <w:szCs w:val="22"/>
        </w:rPr>
        <w:t>debt</w:t>
      </w:r>
      <w:r w:rsidR="00AF4326" w:rsidRPr="00A44B3C">
        <w:rPr>
          <w:sz w:val="22"/>
          <w:szCs w:val="22"/>
        </w:rPr>
        <w:t xml:space="preserve">” that may be sued for or claimed by reason of an obligation arising from statute, contract, delict or otherwise. The plaintiff’s claim arises from delict. It is an ordinary debt. The period of prescription is three years. </w:t>
      </w:r>
    </w:p>
    <w:p w14:paraId="39D4EF24" w14:textId="52C67BF2" w:rsidR="00AF4326" w:rsidRPr="00A44B3C" w:rsidRDefault="00A44B3C" w:rsidP="00A44B3C">
      <w:pPr>
        <w:ind w:left="720" w:hanging="720"/>
        <w:jc w:val="both"/>
        <w:rPr>
          <w:sz w:val="22"/>
          <w:szCs w:val="22"/>
        </w:rPr>
      </w:pPr>
      <w:r w:rsidRPr="00A44B3C">
        <w:rPr>
          <w:sz w:val="22"/>
          <w:szCs w:val="22"/>
        </w:rPr>
        <w:tab/>
      </w:r>
      <w:r w:rsidR="00AF4326" w:rsidRPr="00A44B3C">
        <w:rPr>
          <w:sz w:val="22"/>
          <w:szCs w:val="22"/>
        </w:rPr>
        <w:t>[11]</w:t>
      </w:r>
      <w:r w:rsidR="00AF4326" w:rsidRPr="00A44B3C">
        <w:rPr>
          <w:sz w:val="22"/>
          <w:szCs w:val="22"/>
        </w:rPr>
        <w:tab/>
        <w:t xml:space="preserve">The plaintiff’s cause of action arose when the incident happened. In terms of s 16 of the Prescription Act, prescription begins to run as soon as a debt is due. A debt is due when the plaintiff has gathered all the entire set of facts about the cause of action as are material to prove his or her claim. In this case, the plaintiff’s cause of action was complete when he had gathered all the information as to, among other things, whose electricity conductors they were; allegedly that they had been in a state of neglect; allegedly that they had been lying naked on the ground whilst concealed; the sort of injuries that he had sustained; the monetary loss that he had incurred, or would incur, and so on. Those are the kind of material facts as are contemplated by cases such as </w:t>
      </w:r>
      <w:r w:rsidR="00AF4326" w:rsidRPr="00A44B3C">
        <w:rPr>
          <w:i/>
          <w:iCs/>
          <w:sz w:val="22"/>
          <w:szCs w:val="22"/>
        </w:rPr>
        <w:t>Banana</w:t>
      </w:r>
      <w:r w:rsidR="00AF4326" w:rsidRPr="00A44B3C">
        <w:rPr>
          <w:sz w:val="22"/>
          <w:szCs w:val="22"/>
        </w:rPr>
        <w:t xml:space="preserve"> above. If three years elapsed before the plaintiff had taken action or interrupted prescription, then his cause of action would be extinguished. The lapsing of a debt by prescription is absolute, unless one can show that prescription does not apply or that the running of it was delayed or interrupted. </w:t>
      </w:r>
    </w:p>
    <w:p w14:paraId="13BB5524" w14:textId="238DCA35" w:rsidR="00AF4326" w:rsidRPr="00A44B3C" w:rsidRDefault="00A44B3C" w:rsidP="00A44B3C">
      <w:pPr>
        <w:ind w:left="720" w:hanging="720"/>
        <w:jc w:val="both"/>
        <w:rPr>
          <w:sz w:val="22"/>
          <w:szCs w:val="22"/>
        </w:rPr>
      </w:pPr>
      <w:r w:rsidRPr="00A44B3C">
        <w:rPr>
          <w:sz w:val="22"/>
          <w:szCs w:val="22"/>
        </w:rPr>
        <w:tab/>
      </w:r>
      <w:r w:rsidR="00AF4326" w:rsidRPr="00A44B3C">
        <w:rPr>
          <w:sz w:val="22"/>
          <w:szCs w:val="22"/>
        </w:rPr>
        <w:t>[12]</w:t>
      </w:r>
      <w:r w:rsidR="00AF4326" w:rsidRPr="00A44B3C">
        <w:rPr>
          <w:sz w:val="22"/>
          <w:szCs w:val="22"/>
        </w:rPr>
        <w:tab/>
        <w:t>Section 17 of the Act provides for situations where the completion of the period of prescription is delayed. None of them applies to the plaintiff’s case. Sections 18 and 19 of the Act provide for situations where the running of prescription is interrupted. These are when the debtor acknowledges liability and when the creditor serves process on the debtor claiming the debt. The plaintiff expressly concedes that none of these applies to him either. That should mark the end of his case. But his counsel has crafted the argument that prescription should not be raised against the plaintiff because his cause of action only arose in September 2016 when the police abandoned the criminal case against him.</w:t>
      </w:r>
    </w:p>
    <w:p w14:paraId="58775E9C" w14:textId="11931E2F" w:rsidR="00AF4326" w:rsidRPr="00A44B3C" w:rsidRDefault="00A44B3C" w:rsidP="00A44B3C">
      <w:pPr>
        <w:ind w:left="720" w:hanging="720"/>
        <w:jc w:val="both"/>
        <w:rPr>
          <w:sz w:val="22"/>
          <w:szCs w:val="22"/>
        </w:rPr>
      </w:pPr>
      <w:r w:rsidRPr="00A44B3C">
        <w:rPr>
          <w:sz w:val="22"/>
          <w:szCs w:val="22"/>
        </w:rPr>
        <w:tab/>
      </w:r>
      <w:r w:rsidR="00AF4326" w:rsidRPr="00A44B3C">
        <w:rPr>
          <w:sz w:val="22"/>
          <w:szCs w:val="22"/>
        </w:rPr>
        <w:t>[13]</w:t>
      </w:r>
      <w:r w:rsidR="00AF4326" w:rsidRPr="00A44B3C">
        <w:rPr>
          <w:sz w:val="22"/>
          <w:szCs w:val="22"/>
        </w:rPr>
        <w:tab/>
        <w:t xml:space="preserve">That the plaintiff had been arrested by the police for the alleged theft of the conductors and or that it had taken the police seven years to clear him is not one of the factors that interrupts or delays the running of prescription. Whilst a single incident may give rise to multiple types of proceedings including criminal and civil, the outcome of one does not bind the other or others. The police and the prosecution could well have been pursuing a criminal case. The plaintiff was not precluded from pursuing his civil claim timeously after he had become satisfied that his injury and loss had arisen by reason of the defendant’s negligent conduct. </w:t>
      </w:r>
    </w:p>
    <w:p w14:paraId="0FF5F3E9" w14:textId="53F9BD20" w:rsidR="00AF4326" w:rsidRPr="00A44B3C" w:rsidRDefault="00A44B3C" w:rsidP="00A44B3C">
      <w:pPr>
        <w:ind w:left="720" w:hanging="720"/>
        <w:jc w:val="both"/>
        <w:rPr>
          <w:sz w:val="22"/>
          <w:szCs w:val="22"/>
        </w:rPr>
      </w:pPr>
      <w:r w:rsidRPr="00A44B3C">
        <w:rPr>
          <w:sz w:val="22"/>
          <w:szCs w:val="22"/>
        </w:rPr>
        <w:tab/>
      </w:r>
      <w:r w:rsidR="00AF4326" w:rsidRPr="00A44B3C">
        <w:rPr>
          <w:sz w:val="22"/>
          <w:szCs w:val="22"/>
        </w:rPr>
        <w:t>[14]</w:t>
      </w:r>
      <w:r w:rsidR="00AF4326" w:rsidRPr="00A44B3C">
        <w:rPr>
          <w:sz w:val="22"/>
          <w:szCs w:val="22"/>
        </w:rPr>
        <w:tab/>
        <w:t>The plaintiff’s arguments that until the police had exonerated him of the theft allegations, it was not known whether it was him or the defendant who had been to blame for his electrocution or that without having been so exonerated he would not have been able to prove his cause of action, are thoroughly ill-informed. He himself knew and had concluded that he had been electrocuted by reason of the defendant’s negligence. He did not need the police or anyone to tell him that. Furthermore, and at any rate, even after being exonerated, he would still need to prove liability on the merits as the defendant was contesting it.”</w:t>
      </w:r>
    </w:p>
    <w:p w14:paraId="5D551B26" w14:textId="4716B513" w:rsidR="00C57E55" w:rsidRPr="00A44B3C" w:rsidRDefault="00EA2272" w:rsidP="00A44B3C">
      <w:pPr>
        <w:jc w:val="both"/>
        <w:rPr>
          <w:sz w:val="22"/>
          <w:szCs w:val="22"/>
        </w:rPr>
      </w:pPr>
      <w:r w:rsidRPr="00A44B3C">
        <w:rPr>
          <w:sz w:val="22"/>
          <w:szCs w:val="22"/>
        </w:rPr>
        <w:t xml:space="preserve"> </w:t>
      </w:r>
      <w:r w:rsidR="00812793" w:rsidRPr="00A44B3C">
        <w:rPr>
          <w:sz w:val="22"/>
          <w:szCs w:val="22"/>
        </w:rPr>
        <w:t xml:space="preserve"> </w:t>
      </w:r>
      <w:r w:rsidR="00217F63" w:rsidRPr="00A44B3C">
        <w:rPr>
          <w:sz w:val="22"/>
          <w:szCs w:val="22"/>
        </w:rPr>
        <w:t xml:space="preserve"> </w:t>
      </w:r>
    </w:p>
    <w:p w14:paraId="58D3B010" w14:textId="0E31B960" w:rsidR="005162CE" w:rsidRPr="00A44B3C" w:rsidRDefault="00A32553" w:rsidP="00A44B3C">
      <w:pPr>
        <w:jc w:val="both"/>
        <w:rPr>
          <w:sz w:val="22"/>
          <w:szCs w:val="22"/>
        </w:rPr>
      </w:pPr>
      <w:r w:rsidRPr="00A44B3C">
        <w:rPr>
          <w:sz w:val="22"/>
          <w:szCs w:val="22"/>
        </w:rPr>
        <w:t xml:space="preserve"> </w:t>
      </w:r>
      <w:r w:rsidR="000C35CD" w:rsidRPr="00A44B3C">
        <w:rPr>
          <w:sz w:val="22"/>
          <w:szCs w:val="22"/>
        </w:rPr>
        <w:t xml:space="preserve"> </w:t>
      </w:r>
      <w:r w:rsidR="001B37C5" w:rsidRPr="00A44B3C">
        <w:rPr>
          <w:sz w:val="22"/>
          <w:szCs w:val="22"/>
        </w:rPr>
        <w:t xml:space="preserve"> </w:t>
      </w:r>
    </w:p>
    <w:p w14:paraId="0AEFFD7F" w14:textId="329A0580" w:rsidR="00B413DF" w:rsidRPr="00775261" w:rsidRDefault="00350362" w:rsidP="00775261">
      <w:pPr>
        <w:spacing w:line="360" w:lineRule="auto"/>
        <w:jc w:val="both"/>
        <w:rPr>
          <w:sz w:val="24"/>
          <w:szCs w:val="24"/>
        </w:rPr>
      </w:pPr>
      <w:r>
        <w:rPr>
          <w:sz w:val="24"/>
          <w:szCs w:val="24"/>
        </w:rPr>
        <w:tab/>
      </w:r>
      <w:r w:rsidR="0053207C" w:rsidRPr="00775261">
        <w:rPr>
          <w:sz w:val="24"/>
          <w:szCs w:val="24"/>
        </w:rPr>
        <w:t xml:space="preserve">The remarks of the court in the case of </w:t>
      </w:r>
      <w:r w:rsidR="0053207C" w:rsidRPr="00350362">
        <w:rPr>
          <w:i/>
          <w:sz w:val="24"/>
          <w:szCs w:val="24"/>
        </w:rPr>
        <w:t>Gumbochu</w:t>
      </w:r>
      <w:r w:rsidR="002621C1" w:rsidRPr="00350362">
        <w:rPr>
          <w:i/>
          <w:sz w:val="24"/>
          <w:szCs w:val="24"/>
        </w:rPr>
        <w:t>ma</w:t>
      </w:r>
      <w:r w:rsidR="002621C1" w:rsidRPr="00775261">
        <w:rPr>
          <w:sz w:val="24"/>
          <w:szCs w:val="24"/>
        </w:rPr>
        <w:t xml:space="preserve"> v </w:t>
      </w:r>
      <w:r w:rsidR="002621C1" w:rsidRPr="00350362">
        <w:rPr>
          <w:i/>
          <w:sz w:val="24"/>
          <w:szCs w:val="24"/>
        </w:rPr>
        <w:t>ZETDC</w:t>
      </w:r>
      <w:r w:rsidR="002621C1" w:rsidRPr="00775261">
        <w:rPr>
          <w:sz w:val="24"/>
          <w:szCs w:val="24"/>
        </w:rPr>
        <w:t xml:space="preserve"> apply with equal for</w:t>
      </w:r>
      <w:r w:rsidR="0053207C" w:rsidRPr="00775261">
        <w:rPr>
          <w:sz w:val="24"/>
          <w:szCs w:val="24"/>
        </w:rPr>
        <w:t xml:space="preserve">ce to the </w:t>
      </w:r>
      <w:r w:rsidR="00543F64" w:rsidRPr="00775261">
        <w:rPr>
          <w:sz w:val="24"/>
          <w:szCs w:val="24"/>
        </w:rPr>
        <w:t>present matter</w:t>
      </w:r>
      <w:r w:rsidR="0053207C" w:rsidRPr="00775261">
        <w:rPr>
          <w:sz w:val="24"/>
          <w:szCs w:val="24"/>
        </w:rPr>
        <w:t xml:space="preserve">. </w:t>
      </w:r>
      <w:r w:rsidR="00F128EC" w:rsidRPr="00775261">
        <w:rPr>
          <w:sz w:val="24"/>
          <w:szCs w:val="24"/>
        </w:rPr>
        <w:t xml:space="preserve">No evidence </w:t>
      </w:r>
      <w:r w:rsidR="00314D84" w:rsidRPr="00775261">
        <w:rPr>
          <w:sz w:val="24"/>
          <w:szCs w:val="24"/>
        </w:rPr>
        <w:t xml:space="preserve">was </w:t>
      </w:r>
      <w:r w:rsidR="00543F64" w:rsidRPr="00775261">
        <w:rPr>
          <w:sz w:val="24"/>
          <w:szCs w:val="24"/>
        </w:rPr>
        <w:t>adduced by</w:t>
      </w:r>
      <w:r w:rsidR="00314D84" w:rsidRPr="00775261">
        <w:rPr>
          <w:sz w:val="24"/>
          <w:szCs w:val="24"/>
        </w:rPr>
        <w:t xml:space="preserve"> the </w:t>
      </w:r>
      <w:r>
        <w:rPr>
          <w:sz w:val="24"/>
          <w:szCs w:val="24"/>
        </w:rPr>
        <w:t>p</w:t>
      </w:r>
      <w:r w:rsidR="00314D84" w:rsidRPr="00775261">
        <w:rPr>
          <w:sz w:val="24"/>
          <w:szCs w:val="24"/>
        </w:rPr>
        <w:t xml:space="preserve">laintiff </w:t>
      </w:r>
      <w:r w:rsidR="00F128EC" w:rsidRPr="00775261">
        <w:rPr>
          <w:sz w:val="24"/>
          <w:szCs w:val="24"/>
        </w:rPr>
        <w:t xml:space="preserve">to support the assertion that he </w:t>
      </w:r>
      <w:r w:rsidR="00F128EC" w:rsidRPr="00775261">
        <w:rPr>
          <w:sz w:val="24"/>
          <w:szCs w:val="24"/>
        </w:rPr>
        <w:lastRenderedPageBreak/>
        <w:t>was unable to prosecute his matter due to illness that prevented him from acting in his best interests</w:t>
      </w:r>
      <w:r w:rsidR="00075BF2" w:rsidRPr="00775261">
        <w:rPr>
          <w:sz w:val="24"/>
          <w:szCs w:val="24"/>
        </w:rPr>
        <w:t>.</w:t>
      </w:r>
      <w:r w:rsidR="0053207C" w:rsidRPr="00775261">
        <w:rPr>
          <w:sz w:val="24"/>
          <w:szCs w:val="24"/>
        </w:rPr>
        <w:t xml:space="preserve"> </w:t>
      </w:r>
      <w:r w:rsidR="00DE6B0F" w:rsidRPr="00775261">
        <w:rPr>
          <w:sz w:val="24"/>
          <w:szCs w:val="24"/>
        </w:rPr>
        <w:t xml:space="preserve"> The </w:t>
      </w:r>
      <w:r w:rsidR="00543F64" w:rsidRPr="00775261">
        <w:rPr>
          <w:sz w:val="24"/>
          <w:szCs w:val="24"/>
        </w:rPr>
        <w:t>fact that</w:t>
      </w:r>
      <w:r w:rsidR="00DE6B0F" w:rsidRPr="00775261">
        <w:rPr>
          <w:sz w:val="24"/>
          <w:szCs w:val="24"/>
        </w:rPr>
        <w:t xml:space="preserve"> the </w:t>
      </w:r>
      <w:r>
        <w:rPr>
          <w:sz w:val="24"/>
          <w:szCs w:val="24"/>
        </w:rPr>
        <w:t>p</w:t>
      </w:r>
      <w:r w:rsidR="00DE6B0F" w:rsidRPr="00775261">
        <w:rPr>
          <w:sz w:val="24"/>
          <w:szCs w:val="24"/>
        </w:rPr>
        <w:t xml:space="preserve">laintiff was advised of his medical </w:t>
      </w:r>
      <w:r w:rsidR="00543F64" w:rsidRPr="00775261">
        <w:rPr>
          <w:sz w:val="24"/>
          <w:szCs w:val="24"/>
        </w:rPr>
        <w:t>expenses on</w:t>
      </w:r>
      <w:r w:rsidR="00CD3B4A">
        <w:rPr>
          <w:sz w:val="24"/>
          <w:szCs w:val="24"/>
        </w:rPr>
        <w:t xml:space="preserve"> 15 February 2022</w:t>
      </w:r>
      <w:r w:rsidR="00DE6B0F" w:rsidRPr="00775261">
        <w:rPr>
          <w:sz w:val="24"/>
          <w:szCs w:val="24"/>
        </w:rPr>
        <w:t xml:space="preserve"> does not interrupt the running of prescription. </w:t>
      </w:r>
      <w:r w:rsidR="002266A6" w:rsidRPr="00775261">
        <w:rPr>
          <w:sz w:val="24"/>
          <w:szCs w:val="24"/>
        </w:rPr>
        <w:t xml:space="preserve">Such medical expenses are best dealt with under the appropriate portion of future medical expenses. It is apparent that medical </w:t>
      </w:r>
      <w:r w:rsidR="00543F64" w:rsidRPr="00775261">
        <w:rPr>
          <w:sz w:val="24"/>
          <w:szCs w:val="24"/>
        </w:rPr>
        <w:t>expenses for</w:t>
      </w:r>
      <w:r w:rsidR="002266A6" w:rsidRPr="00775261">
        <w:rPr>
          <w:sz w:val="24"/>
          <w:szCs w:val="24"/>
        </w:rPr>
        <w:t xml:space="preserve"> victims of road accident may </w:t>
      </w:r>
      <w:r w:rsidR="002621C1" w:rsidRPr="00775261">
        <w:rPr>
          <w:sz w:val="24"/>
          <w:szCs w:val="24"/>
        </w:rPr>
        <w:t xml:space="preserve">continue to accrue </w:t>
      </w:r>
      <w:r w:rsidR="002266A6" w:rsidRPr="00775261">
        <w:rPr>
          <w:sz w:val="24"/>
          <w:szCs w:val="24"/>
        </w:rPr>
        <w:t xml:space="preserve">for some time. A diligent </w:t>
      </w:r>
      <w:r w:rsidR="009D3357" w:rsidRPr="00775261">
        <w:rPr>
          <w:sz w:val="24"/>
          <w:szCs w:val="24"/>
        </w:rPr>
        <w:t xml:space="preserve">and vigilant </w:t>
      </w:r>
      <w:r w:rsidR="002266A6" w:rsidRPr="00775261">
        <w:rPr>
          <w:sz w:val="24"/>
          <w:szCs w:val="24"/>
        </w:rPr>
        <w:t>litigant would claim future medical expenses under such circumstances</w:t>
      </w:r>
      <w:r w:rsidR="00005D4D" w:rsidRPr="00775261">
        <w:rPr>
          <w:sz w:val="24"/>
          <w:szCs w:val="24"/>
        </w:rPr>
        <w:t xml:space="preserve"> to avoid the prescription of the proposed claim</w:t>
      </w:r>
      <w:r w:rsidR="002266A6" w:rsidRPr="00775261">
        <w:rPr>
          <w:sz w:val="24"/>
          <w:szCs w:val="24"/>
        </w:rPr>
        <w:t xml:space="preserve">. </w:t>
      </w:r>
      <w:r w:rsidR="00314D84" w:rsidRPr="00775261">
        <w:rPr>
          <w:sz w:val="24"/>
          <w:szCs w:val="24"/>
        </w:rPr>
        <w:t xml:space="preserve">I </w:t>
      </w:r>
      <w:r w:rsidR="00005D4D" w:rsidRPr="00775261">
        <w:rPr>
          <w:sz w:val="24"/>
          <w:szCs w:val="24"/>
        </w:rPr>
        <w:t xml:space="preserve">was </w:t>
      </w:r>
      <w:r w:rsidR="00206E73" w:rsidRPr="00775261">
        <w:rPr>
          <w:sz w:val="24"/>
          <w:szCs w:val="24"/>
        </w:rPr>
        <w:t xml:space="preserve">therefore left </w:t>
      </w:r>
      <w:r w:rsidR="00314D84" w:rsidRPr="00775261">
        <w:rPr>
          <w:sz w:val="24"/>
          <w:szCs w:val="24"/>
        </w:rPr>
        <w:t xml:space="preserve">with no   other conclusion except </w:t>
      </w:r>
      <w:r w:rsidR="00206E73" w:rsidRPr="00775261">
        <w:rPr>
          <w:sz w:val="24"/>
          <w:szCs w:val="24"/>
        </w:rPr>
        <w:t xml:space="preserve">that the </w:t>
      </w:r>
      <w:r>
        <w:rPr>
          <w:sz w:val="24"/>
          <w:szCs w:val="24"/>
        </w:rPr>
        <w:t>p</w:t>
      </w:r>
      <w:r w:rsidR="00206E73" w:rsidRPr="00775261">
        <w:rPr>
          <w:sz w:val="24"/>
          <w:szCs w:val="24"/>
        </w:rPr>
        <w:t xml:space="preserve">laintiff was sluggard in his approach in prosecuting his matter. Public policy dictates that matters between parties should be brought to finality </w:t>
      </w:r>
      <w:r w:rsidR="002266A6" w:rsidRPr="00775261">
        <w:rPr>
          <w:sz w:val="24"/>
          <w:szCs w:val="24"/>
        </w:rPr>
        <w:t xml:space="preserve">within the </w:t>
      </w:r>
      <w:r w:rsidR="00543F64" w:rsidRPr="00775261">
        <w:rPr>
          <w:sz w:val="24"/>
          <w:szCs w:val="24"/>
        </w:rPr>
        <w:t>prescribed time</w:t>
      </w:r>
      <w:r w:rsidR="002266A6" w:rsidRPr="00775261">
        <w:rPr>
          <w:sz w:val="24"/>
          <w:szCs w:val="24"/>
        </w:rPr>
        <w:t xml:space="preserve"> lines failing which the litigant may lose the right to sue</w:t>
      </w:r>
      <w:r w:rsidR="00C01900" w:rsidRPr="00775261">
        <w:rPr>
          <w:sz w:val="24"/>
          <w:szCs w:val="24"/>
        </w:rPr>
        <w:t>.</w:t>
      </w:r>
      <w:r w:rsidR="00CB727F" w:rsidRPr="00775261">
        <w:rPr>
          <w:sz w:val="24"/>
          <w:szCs w:val="24"/>
        </w:rPr>
        <w:t xml:space="preserve"> In the case of </w:t>
      </w:r>
      <w:r w:rsidR="00CB727F" w:rsidRPr="00350362">
        <w:rPr>
          <w:i/>
          <w:sz w:val="24"/>
          <w:szCs w:val="24"/>
        </w:rPr>
        <w:t>Merreta</w:t>
      </w:r>
      <w:r w:rsidR="00CB727F" w:rsidRPr="00775261">
        <w:rPr>
          <w:sz w:val="24"/>
          <w:szCs w:val="24"/>
        </w:rPr>
        <w:t xml:space="preserve"> v </w:t>
      </w:r>
      <w:r w:rsidR="00CB727F" w:rsidRPr="00350362">
        <w:rPr>
          <w:i/>
          <w:sz w:val="24"/>
          <w:szCs w:val="24"/>
        </w:rPr>
        <w:t xml:space="preserve">Kanyongo </w:t>
      </w:r>
      <w:r w:rsidRPr="00350362">
        <w:rPr>
          <w:i/>
          <w:sz w:val="24"/>
          <w:szCs w:val="24"/>
        </w:rPr>
        <w:t>&amp;</w:t>
      </w:r>
      <w:r w:rsidR="00543F64" w:rsidRPr="00350362">
        <w:rPr>
          <w:i/>
          <w:sz w:val="24"/>
          <w:szCs w:val="24"/>
        </w:rPr>
        <w:t xml:space="preserve"> Anor</w:t>
      </w:r>
      <w:r w:rsidR="003011B9" w:rsidRPr="00775261">
        <w:rPr>
          <w:rStyle w:val="FootnoteReference"/>
          <w:sz w:val="24"/>
          <w:szCs w:val="24"/>
        </w:rPr>
        <w:footnoteReference w:id="7"/>
      </w:r>
      <w:r w:rsidR="00CB727F" w:rsidRPr="00775261">
        <w:rPr>
          <w:sz w:val="24"/>
          <w:szCs w:val="24"/>
        </w:rPr>
        <w:t>,</w:t>
      </w:r>
      <w:r w:rsidR="002C634C">
        <w:rPr>
          <w:sz w:val="24"/>
          <w:szCs w:val="24"/>
        </w:rPr>
        <w:t xml:space="preserve"> with respect to the primary purpose of prescription, </w:t>
      </w:r>
      <w:r w:rsidR="00CB727F" w:rsidRPr="00775261">
        <w:rPr>
          <w:sz w:val="24"/>
          <w:szCs w:val="24"/>
        </w:rPr>
        <w:t>I remarked as follows:</w:t>
      </w:r>
    </w:p>
    <w:p w14:paraId="2576F198" w14:textId="799BC43E" w:rsidR="00CB727F" w:rsidRPr="00350362" w:rsidRDefault="00350362" w:rsidP="00775261">
      <w:pPr>
        <w:jc w:val="both"/>
        <w:rPr>
          <w:sz w:val="22"/>
          <w:szCs w:val="22"/>
        </w:rPr>
      </w:pPr>
      <w:r>
        <w:rPr>
          <w:sz w:val="24"/>
          <w:szCs w:val="24"/>
        </w:rPr>
        <w:tab/>
      </w:r>
      <w:r w:rsidR="00CB727F" w:rsidRPr="00350362">
        <w:rPr>
          <w:sz w:val="22"/>
          <w:szCs w:val="22"/>
        </w:rPr>
        <w:t xml:space="preserve">“The law of prescription may be described as a case management mechanism meant to </w:t>
      </w:r>
      <w:r w:rsidRPr="00350362">
        <w:rPr>
          <w:sz w:val="22"/>
          <w:szCs w:val="22"/>
        </w:rPr>
        <w:tab/>
      </w:r>
      <w:r w:rsidR="00CB727F" w:rsidRPr="00350362">
        <w:rPr>
          <w:sz w:val="22"/>
          <w:szCs w:val="22"/>
        </w:rPr>
        <w:t xml:space="preserve">ensure that there should be a definitive period within which litigation must be instituted. </w:t>
      </w:r>
      <w:r w:rsidRPr="00350362">
        <w:rPr>
          <w:sz w:val="22"/>
          <w:szCs w:val="22"/>
        </w:rPr>
        <w:tab/>
      </w:r>
      <w:r w:rsidR="00CB727F" w:rsidRPr="00350362">
        <w:rPr>
          <w:sz w:val="22"/>
          <w:szCs w:val="22"/>
        </w:rPr>
        <w:t xml:space="preserve">Litigation must never be an eternal right without regulated time frames. Failure to have </w:t>
      </w:r>
      <w:r w:rsidRPr="00350362">
        <w:rPr>
          <w:sz w:val="22"/>
          <w:szCs w:val="22"/>
        </w:rPr>
        <w:tab/>
      </w:r>
      <w:r w:rsidR="00CB727F" w:rsidRPr="00350362">
        <w:rPr>
          <w:sz w:val="22"/>
          <w:szCs w:val="22"/>
        </w:rPr>
        <w:t xml:space="preserve">such cut off time frames will result in endless suits. This </w:t>
      </w:r>
      <w:r w:rsidR="00543F64" w:rsidRPr="00350362">
        <w:rPr>
          <w:sz w:val="22"/>
          <w:szCs w:val="22"/>
        </w:rPr>
        <w:t>law warrants</w:t>
      </w:r>
      <w:r w:rsidR="00CB727F" w:rsidRPr="00350362">
        <w:rPr>
          <w:sz w:val="22"/>
          <w:szCs w:val="22"/>
        </w:rPr>
        <w:t xml:space="preserve"> that the person </w:t>
      </w:r>
      <w:r w:rsidRPr="00350362">
        <w:rPr>
          <w:sz w:val="22"/>
          <w:szCs w:val="22"/>
        </w:rPr>
        <w:tab/>
      </w:r>
      <w:r w:rsidR="00CB727F" w:rsidRPr="00350362">
        <w:rPr>
          <w:sz w:val="22"/>
          <w:szCs w:val="22"/>
        </w:rPr>
        <w:t xml:space="preserve">likely to be dragged before the courts may not limitlessly labour </w:t>
      </w:r>
      <w:r w:rsidR="00543F64" w:rsidRPr="00350362">
        <w:rPr>
          <w:sz w:val="22"/>
          <w:szCs w:val="22"/>
        </w:rPr>
        <w:t>under perpetual</w:t>
      </w:r>
      <w:r w:rsidR="00CB727F" w:rsidRPr="00350362">
        <w:rPr>
          <w:sz w:val="22"/>
          <w:szCs w:val="22"/>
        </w:rPr>
        <w:t xml:space="preserve"> fear of </w:t>
      </w:r>
      <w:r>
        <w:rPr>
          <w:sz w:val="22"/>
          <w:szCs w:val="22"/>
        </w:rPr>
        <w:tab/>
      </w:r>
      <w:r w:rsidR="00CB727F" w:rsidRPr="00350362">
        <w:rPr>
          <w:sz w:val="22"/>
          <w:szCs w:val="22"/>
        </w:rPr>
        <w:t>potential litigation. The law of prescription also makes litigation</w:t>
      </w:r>
      <w:r w:rsidRPr="00350362">
        <w:rPr>
          <w:sz w:val="22"/>
          <w:szCs w:val="22"/>
        </w:rPr>
        <w:t xml:space="preserve"> predictable. </w:t>
      </w:r>
      <w:r w:rsidR="00CB727F" w:rsidRPr="00350362">
        <w:rPr>
          <w:sz w:val="22"/>
          <w:szCs w:val="22"/>
        </w:rPr>
        <w:t xml:space="preserve">” </w:t>
      </w:r>
    </w:p>
    <w:p w14:paraId="26934C02" w14:textId="77777777" w:rsidR="00C23122" w:rsidRPr="00350362" w:rsidRDefault="00C23122" w:rsidP="00775261">
      <w:pPr>
        <w:spacing w:line="360" w:lineRule="auto"/>
        <w:jc w:val="both"/>
        <w:rPr>
          <w:sz w:val="22"/>
          <w:szCs w:val="22"/>
        </w:rPr>
      </w:pPr>
    </w:p>
    <w:p w14:paraId="7BD7BF1E" w14:textId="23A9F8EF" w:rsidR="00C23122" w:rsidRPr="00775261" w:rsidRDefault="00022680" w:rsidP="00775261">
      <w:pPr>
        <w:spacing w:line="360" w:lineRule="auto"/>
        <w:jc w:val="both"/>
        <w:rPr>
          <w:sz w:val="24"/>
          <w:szCs w:val="24"/>
        </w:rPr>
      </w:pPr>
      <w:r>
        <w:rPr>
          <w:sz w:val="24"/>
          <w:szCs w:val="24"/>
        </w:rPr>
        <w:tab/>
      </w:r>
      <w:r w:rsidR="00C23122" w:rsidRPr="00775261">
        <w:rPr>
          <w:sz w:val="24"/>
          <w:szCs w:val="24"/>
        </w:rPr>
        <w:t xml:space="preserve">With respect to costs, it is </w:t>
      </w:r>
      <w:r w:rsidR="00543F64" w:rsidRPr="00775261">
        <w:rPr>
          <w:sz w:val="24"/>
          <w:szCs w:val="24"/>
        </w:rPr>
        <w:t>my opinion</w:t>
      </w:r>
      <w:r w:rsidR="00C23122" w:rsidRPr="00775261">
        <w:rPr>
          <w:sz w:val="24"/>
          <w:szCs w:val="24"/>
        </w:rPr>
        <w:t xml:space="preserve"> that the </w:t>
      </w:r>
      <w:r>
        <w:rPr>
          <w:sz w:val="24"/>
          <w:szCs w:val="24"/>
        </w:rPr>
        <w:t>p</w:t>
      </w:r>
      <w:r w:rsidR="00543F64" w:rsidRPr="00775261">
        <w:rPr>
          <w:sz w:val="24"/>
          <w:szCs w:val="24"/>
        </w:rPr>
        <w:t>laintiff failed</w:t>
      </w:r>
      <w:r w:rsidR="00C23122" w:rsidRPr="00775261">
        <w:rPr>
          <w:sz w:val="24"/>
          <w:szCs w:val="24"/>
        </w:rPr>
        <w:t xml:space="preserve"> to persuade me to have a departure from an ordinary practice which dictates that costs follow the outcome. Costs on an ordinary scale are reasonably sufficient to meet the expenses incurred by the </w:t>
      </w:r>
      <w:r>
        <w:rPr>
          <w:sz w:val="24"/>
          <w:szCs w:val="24"/>
        </w:rPr>
        <w:t>d</w:t>
      </w:r>
      <w:r w:rsidR="00C23122" w:rsidRPr="00775261">
        <w:rPr>
          <w:sz w:val="24"/>
          <w:szCs w:val="24"/>
        </w:rPr>
        <w:t xml:space="preserve">efendants in defending this matter. </w:t>
      </w:r>
    </w:p>
    <w:p w14:paraId="06B0B04B" w14:textId="4ABFBBEB" w:rsidR="00075BF2" w:rsidRPr="00775261" w:rsidRDefault="00022680" w:rsidP="00775261">
      <w:pPr>
        <w:spacing w:line="360" w:lineRule="auto"/>
        <w:jc w:val="both"/>
        <w:rPr>
          <w:sz w:val="24"/>
          <w:szCs w:val="24"/>
        </w:rPr>
      </w:pPr>
      <w:r>
        <w:rPr>
          <w:sz w:val="24"/>
          <w:szCs w:val="24"/>
        </w:rPr>
        <w:tab/>
      </w:r>
      <w:r w:rsidR="00075BF2" w:rsidRPr="00775261">
        <w:rPr>
          <w:sz w:val="24"/>
          <w:szCs w:val="24"/>
        </w:rPr>
        <w:t xml:space="preserve">In the </w:t>
      </w:r>
      <w:r w:rsidR="00543F64" w:rsidRPr="00775261">
        <w:rPr>
          <w:sz w:val="24"/>
          <w:szCs w:val="24"/>
        </w:rPr>
        <w:t>premises, I</w:t>
      </w:r>
      <w:r w:rsidR="00C23122" w:rsidRPr="00775261">
        <w:rPr>
          <w:sz w:val="24"/>
          <w:szCs w:val="24"/>
        </w:rPr>
        <w:t xml:space="preserve"> saw it prudent to make the decision based on the reasons </w:t>
      </w:r>
      <w:r w:rsidR="005C70EC" w:rsidRPr="00775261">
        <w:rPr>
          <w:sz w:val="24"/>
          <w:szCs w:val="24"/>
        </w:rPr>
        <w:t xml:space="preserve">underscored </w:t>
      </w:r>
      <w:r w:rsidR="00C23122" w:rsidRPr="00775261">
        <w:rPr>
          <w:sz w:val="24"/>
          <w:szCs w:val="24"/>
        </w:rPr>
        <w:t>herein.</w:t>
      </w:r>
    </w:p>
    <w:p w14:paraId="490D6663" w14:textId="77777777" w:rsidR="00B413DF" w:rsidRDefault="00B413DF" w:rsidP="00775261">
      <w:pPr>
        <w:spacing w:line="360" w:lineRule="auto"/>
        <w:jc w:val="both"/>
        <w:rPr>
          <w:sz w:val="24"/>
          <w:szCs w:val="24"/>
        </w:rPr>
      </w:pPr>
    </w:p>
    <w:p w14:paraId="17233C74" w14:textId="77777777" w:rsidR="004913E8" w:rsidRDefault="004913E8" w:rsidP="00775261">
      <w:pPr>
        <w:spacing w:line="360" w:lineRule="auto"/>
        <w:jc w:val="both"/>
        <w:rPr>
          <w:sz w:val="24"/>
          <w:szCs w:val="24"/>
        </w:rPr>
      </w:pPr>
    </w:p>
    <w:p w14:paraId="3DD2F686" w14:textId="77777777" w:rsidR="004913E8" w:rsidRPr="00775261" w:rsidRDefault="004913E8" w:rsidP="00775261">
      <w:pPr>
        <w:spacing w:line="360" w:lineRule="auto"/>
        <w:jc w:val="both"/>
        <w:rPr>
          <w:sz w:val="24"/>
          <w:szCs w:val="24"/>
        </w:rPr>
      </w:pPr>
    </w:p>
    <w:p w14:paraId="2417C932" w14:textId="6AF4C6C8" w:rsidR="005C70EC" w:rsidRPr="00775261" w:rsidRDefault="005C70EC" w:rsidP="004913E8">
      <w:pPr>
        <w:jc w:val="both"/>
        <w:rPr>
          <w:sz w:val="24"/>
          <w:szCs w:val="24"/>
        </w:rPr>
      </w:pPr>
      <w:r w:rsidRPr="004913E8">
        <w:rPr>
          <w:i/>
          <w:sz w:val="24"/>
          <w:szCs w:val="24"/>
        </w:rPr>
        <w:t>Jiti Law Chambers</w:t>
      </w:r>
      <w:r w:rsidRPr="00775261">
        <w:rPr>
          <w:sz w:val="24"/>
          <w:szCs w:val="24"/>
        </w:rPr>
        <w:t xml:space="preserve">, </w:t>
      </w:r>
      <w:r w:rsidR="004913E8">
        <w:rPr>
          <w:sz w:val="24"/>
          <w:szCs w:val="24"/>
        </w:rPr>
        <w:t>p</w:t>
      </w:r>
      <w:r w:rsidRPr="00775261">
        <w:rPr>
          <w:sz w:val="24"/>
          <w:szCs w:val="24"/>
        </w:rPr>
        <w:t xml:space="preserve">laintiff’s </w:t>
      </w:r>
      <w:r w:rsidR="004913E8">
        <w:rPr>
          <w:sz w:val="24"/>
          <w:szCs w:val="24"/>
        </w:rPr>
        <w:t>l</w:t>
      </w:r>
      <w:r w:rsidRPr="00775261">
        <w:rPr>
          <w:sz w:val="24"/>
          <w:szCs w:val="24"/>
        </w:rPr>
        <w:t xml:space="preserve">egal </w:t>
      </w:r>
      <w:r w:rsidR="004913E8">
        <w:rPr>
          <w:sz w:val="24"/>
          <w:szCs w:val="24"/>
        </w:rPr>
        <w:t>p</w:t>
      </w:r>
      <w:r w:rsidRPr="00775261">
        <w:rPr>
          <w:sz w:val="24"/>
          <w:szCs w:val="24"/>
        </w:rPr>
        <w:t>ractitioners</w:t>
      </w:r>
    </w:p>
    <w:p w14:paraId="2C454CB8" w14:textId="32FE7055" w:rsidR="005C70EC" w:rsidRPr="00775261" w:rsidRDefault="005C70EC" w:rsidP="004913E8">
      <w:pPr>
        <w:jc w:val="both"/>
        <w:rPr>
          <w:sz w:val="24"/>
          <w:szCs w:val="24"/>
        </w:rPr>
      </w:pPr>
      <w:r w:rsidRPr="004913E8">
        <w:rPr>
          <w:i/>
          <w:sz w:val="24"/>
          <w:szCs w:val="24"/>
        </w:rPr>
        <w:t>Maposa and Ndomene</w:t>
      </w:r>
      <w:r w:rsidR="00543F64" w:rsidRPr="00775261">
        <w:rPr>
          <w:sz w:val="24"/>
          <w:szCs w:val="24"/>
        </w:rPr>
        <w:t xml:space="preserve">, </w:t>
      </w:r>
      <w:r w:rsidR="004913E8">
        <w:rPr>
          <w:sz w:val="24"/>
          <w:szCs w:val="24"/>
        </w:rPr>
        <w:t>d</w:t>
      </w:r>
      <w:r w:rsidR="00543F64" w:rsidRPr="00775261">
        <w:rPr>
          <w:sz w:val="24"/>
          <w:szCs w:val="24"/>
        </w:rPr>
        <w:t>efendants’</w:t>
      </w:r>
      <w:r w:rsidR="00F20664" w:rsidRPr="00775261">
        <w:rPr>
          <w:sz w:val="24"/>
          <w:szCs w:val="24"/>
        </w:rPr>
        <w:t xml:space="preserve"> </w:t>
      </w:r>
      <w:r w:rsidR="004913E8">
        <w:rPr>
          <w:sz w:val="24"/>
          <w:szCs w:val="24"/>
        </w:rPr>
        <w:t>l</w:t>
      </w:r>
      <w:r w:rsidR="00F20664" w:rsidRPr="00775261">
        <w:rPr>
          <w:sz w:val="24"/>
          <w:szCs w:val="24"/>
        </w:rPr>
        <w:t xml:space="preserve">egal </w:t>
      </w:r>
      <w:r w:rsidR="004913E8">
        <w:rPr>
          <w:sz w:val="24"/>
          <w:szCs w:val="24"/>
        </w:rPr>
        <w:t>p</w:t>
      </w:r>
      <w:r w:rsidR="00F20664" w:rsidRPr="00775261">
        <w:rPr>
          <w:sz w:val="24"/>
          <w:szCs w:val="24"/>
        </w:rPr>
        <w:t>ractitioners</w:t>
      </w:r>
    </w:p>
    <w:bookmarkEnd w:id="1"/>
    <w:bookmarkEnd w:id="2"/>
    <w:bookmarkEnd w:id="3"/>
    <w:bookmarkEnd w:id="4"/>
    <w:p w14:paraId="7C18CF18" w14:textId="77777777" w:rsidR="00F40FF3" w:rsidRPr="00775261" w:rsidRDefault="00F40FF3" w:rsidP="004913E8">
      <w:pPr>
        <w:jc w:val="both"/>
        <w:rPr>
          <w:sz w:val="24"/>
          <w:szCs w:val="24"/>
        </w:rPr>
      </w:pPr>
    </w:p>
    <w:p w14:paraId="12F90170" w14:textId="77777777" w:rsidR="005E6522" w:rsidRPr="00775261" w:rsidRDefault="005E6522" w:rsidP="00775261">
      <w:pPr>
        <w:spacing w:line="360" w:lineRule="auto"/>
        <w:jc w:val="both"/>
        <w:rPr>
          <w:sz w:val="24"/>
          <w:szCs w:val="24"/>
        </w:rPr>
      </w:pPr>
    </w:p>
    <w:sectPr w:rsidR="005E6522" w:rsidRPr="00775261" w:rsidSect="002F4FF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F6575" w14:textId="77777777" w:rsidR="00674048" w:rsidRDefault="00674048" w:rsidP="00C01B9C">
      <w:r>
        <w:separator/>
      </w:r>
    </w:p>
  </w:endnote>
  <w:endnote w:type="continuationSeparator" w:id="0">
    <w:p w14:paraId="332C1B73" w14:textId="77777777" w:rsidR="00674048" w:rsidRDefault="00674048" w:rsidP="00C01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A1925" w14:textId="77777777" w:rsidR="00674048" w:rsidRDefault="00674048" w:rsidP="00C01B9C">
      <w:r>
        <w:separator/>
      </w:r>
    </w:p>
  </w:footnote>
  <w:footnote w:type="continuationSeparator" w:id="0">
    <w:p w14:paraId="3A3CBE20" w14:textId="77777777" w:rsidR="00674048" w:rsidRDefault="00674048" w:rsidP="00C01B9C">
      <w:r>
        <w:continuationSeparator/>
      </w:r>
    </w:p>
  </w:footnote>
  <w:footnote w:id="1">
    <w:p w14:paraId="071230CC" w14:textId="05FAB8CE" w:rsidR="00C01B9C" w:rsidRPr="00C01B9C" w:rsidRDefault="00C01B9C">
      <w:pPr>
        <w:pStyle w:val="FootnoteText"/>
        <w:rPr>
          <w:lang w:val="en-GB"/>
        </w:rPr>
      </w:pPr>
      <w:r>
        <w:rPr>
          <w:rStyle w:val="FootnoteReference"/>
        </w:rPr>
        <w:footnoteRef/>
      </w:r>
      <w:r>
        <w:t xml:space="preserve"> SC5-18.</w:t>
      </w:r>
    </w:p>
  </w:footnote>
  <w:footnote w:id="2">
    <w:p w14:paraId="2E111DD2" w14:textId="1C01CF4E" w:rsidR="00963D62" w:rsidRPr="00EB3678" w:rsidRDefault="00963D62">
      <w:pPr>
        <w:pStyle w:val="FootnoteText"/>
        <w:rPr>
          <w:lang w:val="en-GB"/>
        </w:rPr>
      </w:pPr>
      <w:r>
        <w:rPr>
          <w:rStyle w:val="FootnoteReference"/>
        </w:rPr>
        <w:footnoteRef/>
      </w:r>
      <w:r>
        <w:t xml:space="preserve"> </w:t>
      </w:r>
      <w:r w:rsidRPr="00EB3678">
        <w:rPr>
          <w:iCs/>
        </w:rPr>
        <w:t>1998 (2) ZLR 92 (H)</w:t>
      </w:r>
    </w:p>
  </w:footnote>
  <w:footnote w:id="3">
    <w:p w14:paraId="1E6EED55" w14:textId="641D4C27" w:rsidR="00CB727F" w:rsidRPr="00EB3678" w:rsidRDefault="00CB727F" w:rsidP="00CB727F">
      <w:pPr>
        <w:pStyle w:val="FootnoteText"/>
        <w:rPr>
          <w:lang w:val="en-GB"/>
        </w:rPr>
      </w:pPr>
      <w:r w:rsidRPr="00EB3678">
        <w:rPr>
          <w:rStyle w:val="FootnoteReference"/>
        </w:rPr>
        <w:footnoteRef/>
      </w:r>
      <w:r w:rsidRPr="00EB3678">
        <w:t xml:space="preserve"> 1933 CPD 626</w:t>
      </w:r>
    </w:p>
  </w:footnote>
  <w:footnote w:id="4">
    <w:p w14:paraId="35A492ED" w14:textId="771F46DB" w:rsidR="007A76F7" w:rsidRPr="00EB3678" w:rsidRDefault="007A76F7">
      <w:pPr>
        <w:pStyle w:val="FootnoteText"/>
        <w:rPr>
          <w:lang w:val="en-GB"/>
        </w:rPr>
      </w:pPr>
      <w:r>
        <w:rPr>
          <w:rStyle w:val="FootnoteReference"/>
        </w:rPr>
        <w:footnoteRef/>
      </w:r>
      <w:r>
        <w:t xml:space="preserve"> </w:t>
      </w:r>
      <w:r w:rsidRPr="00EB3678">
        <w:rPr>
          <w:iCs/>
        </w:rPr>
        <w:t>HH 51/13</w:t>
      </w:r>
    </w:p>
  </w:footnote>
  <w:footnote w:id="5">
    <w:p w14:paraId="0816069E" w14:textId="77777777" w:rsidR="00164C6B" w:rsidRDefault="00164C6B" w:rsidP="00164C6B">
      <w:pPr>
        <w:pStyle w:val="FootnoteText"/>
      </w:pPr>
      <w:r>
        <w:rPr>
          <w:rStyle w:val="FootnoteReference"/>
        </w:rPr>
        <w:footnoteRef/>
      </w:r>
      <w:r>
        <w:t xml:space="preserve"> SC 13-13, which cited with approval the case of DD Transport Pvt Ltd v Abbott 1988 (2) ZLR 92 (SC), Gordon v Tarnow 1947 (3) SA 525 (AD), </w:t>
      </w:r>
    </w:p>
  </w:footnote>
  <w:footnote w:id="6">
    <w:p w14:paraId="500884D5" w14:textId="77777777" w:rsidR="00164C6B" w:rsidRDefault="00164C6B" w:rsidP="00164C6B">
      <w:pPr>
        <w:pStyle w:val="FootnoteText"/>
      </w:pPr>
      <w:r>
        <w:rPr>
          <w:rStyle w:val="FootnoteReference"/>
        </w:rPr>
        <w:footnoteRef/>
      </w:r>
      <w:r>
        <w:t xml:space="preserve"> SC 25-12</w:t>
      </w:r>
    </w:p>
  </w:footnote>
  <w:footnote w:id="7">
    <w:p w14:paraId="4F8B4CFC" w14:textId="66283CAD" w:rsidR="003011B9" w:rsidRPr="003011B9" w:rsidRDefault="003011B9">
      <w:pPr>
        <w:pStyle w:val="FootnoteText"/>
        <w:rPr>
          <w:lang w:val="en-GB"/>
        </w:rPr>
      </w:pPr>
      <w:r>
        <w:rPr>
          <w:rStyle w:val="FootnoteReference"/>
        </w:rPr>
        <w:footnoteRef/>
      </w:r>
      <w:r>
        <w:t xml:space="preserve"> HC</w:t>
      </w:r>
      <w:r w:rsidR="004913E8">
        <w:t xml:space="preserve"> </w:t>
      </w:r>
      <w:r>
        <w:t>1049/22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8589364"/>
      <w:docPartObj>
        <w:docPartGallery w:val="Page Numbers (Top of Page)"/>
        <w:docPartUnique/>
      </w:docPartObj>
    </w:sdtPr>
    <w:sdtEndPr>
      <w:rPr>
        <w:noProof/>
      </w:rPr>
    </w:sdtEndPr>
    <w:sdtContent>
      <w:p w14:paraId="49653FAD" w14:textId="15BC2523" w:rsidR="00D05F51" w:rsidRPr="005822E9" w:rsidRDefault="00D05F51">
        <w:pPr>
          <w:pStyle w:val="Header"/>
          <w:jc w:val="right"/>
          <w:rPr>
            <w:noProof/>
            <w:sz w:val="22"/>
            <w:szCs w:val="22"/>
          </w:rPr>
        </w:pPr>
        <w:r w:rsidRPr="005822E9">
          <w:rPr>
            <w:sz w:val="22"/>
            <w:szCs w:val="22"/>
          </w:rPr>
          <w:fldChar w:fldCharType="begin"/>
        </w:r>
        <w:r w:rsidRPr="005822E9">
          <w:rPr>
            <w:sz w:val="22"/>
            <w:szCs w:val="22"/>
          </w:rPr>
          <w:instrText xml:space="preserve"> PAGE   \* MERGEFORMAT </w:instrText>
        </w:r>
        <w:r w:rsidRPr="005822E9">
          <w:rPr>
            <w:sz w:val="22"/>
            <w:szCs w:val="22"/>
          </w:rPr>
          <w:fldChar w:fldCharType="separate"/>
        </w:r>
        <w:r w:rsidR="00A4581F">
          <w:rPr>
            <w:noProof/>
            <w:sz w:val="22"/>
            <w:szCs w:val="22"/>
          </w:rPr>
          <w:t>2</w:t>
        </w:r>
        <w:r w:rsidRPr="005822E9">
          <w:rPr>
            <w:noProof/>
            <w:sz w:val="22"/>
            <w:szCs w:val="22"/>
          </w:rPr>
          <w:fldChar w:fldCharType="end"/>
        </w:r>
      </w:p>
      <w:p w14:paraId="55A83BF0" w14:textId="419E70F0" w:rsidR="00D05F51" w:rsidRPr="005822E9" w:rsidRDefault="00D05F51">
        <w:pPr>
          <w:pStyle w:val="Header"/>
          <w:jc w:val="right"/>
          <w:rPr>
            <w:noProof/>
            <w:sz w:val="22"/>
            <w:szCs w:val="22"/>
          </w:rPr>
        </w:pPr>
        <w:r w:rsidRPr="005822E9">
          <w:rPr>
            <w:noProof/>
            <w:sz w:val="22"/>
            <w:szCs w:val="22"/>
          </w:rPr>
          <w:t>HH</w:t>
        </w:r>
        <w:r w:rsidR="005822E9" w:rsidRPr="005822E9">
          <w:rPr>
            <w:noProof/>
            <w:sz w:val="22"/>
            <w:szCs w:val="22"/>
          </w:rPr>
          <w:t xml:space="preserve"> 234/24</w:t>
        </w:r>
      </w:p>
      <w:p w14:paraId="77E7DBF2" w14:textId="0854E682" w:rsidR="005822E9" w:rsidRPr="005822E9" w:rsidRDefault="005822E9">
        <w:pPr>
          <w:pStyle w:val="Header"/>
          <w:jc w:val="right"/>
          <w:rPr>
            <w:noProof/>
            <w:sz w:val="22"/>
            <w:szCs w:val="22"/>
          </w:rPr>
        </w:pPr>
        <w:r w:rsidRPr="005822E9">
          <w:rPr>
            <w:noProof/>
            <w:sz w:val="22"/>
            <w:szCs w:val="22"/>
          </w:rPr>
          <w:t>HC 1916/23</w:t>
        </w:r>
      </w:p>
      <w:p w14:paraId="4F257E74" w14:textId="32105CE0" w:rsidR="00D05F51" w:rsidRDefault="00674048">
        <w:pPr>
          <w:pStyle w:val="Header"/>
          <w:jc w:val="right"/>
        </w:pPr>
      </w:p>
    </w:sdtContent>
  </w:sdt>
  <w:p w14:paraId="28E3952C" w14:textId="77777777" w:rsidR="00D05F51" w:rsidRDefault="00D05F5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F43799"/>
    <w:multiLevelType w:val="hybridMultilevel"/>
    <w:tmpl w:val="F4FABF1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76B83D17"/>
    <w:multiLevelType w:val="hybridMultilevel"/>
    <w:tmpl w:val="856299D2"/>
    <w:lvl w:ilvl="0" w:tplc="58F651C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FF3"/>
    <w:rsid w:val="00005D4D"/>
    <w:rsid w:val="00022680"/>
    <w:rsid w:val="00025048"/>
    <w:rsid w:val="00037237"/>
    <w:rsid w:val="00062FB3"/>
    <w:rsid w:val="00067ECF"/>
    <w:rsid w:val="00072E18"/>
    <w:rsid w:val="00075BF2"/>
    <w:rsid w:val="00077FDE"/>
    <w:rsid w:val="000A137E"/>
    <w:rsid w:val="000A6540"/>
    <w:rsid w:val="000C35CD"/>
    <w:rsid w:val="000C6AB5"/>
    <w:rsid w:val="000D56E1"/>
    <w:rsid w:val="00105264"/>
    <w:rsid w:val="00116F73"/>
    <w:rsid w:val="00130435"/>
    <w:rsid w:val="0015085D"/>
    <w:rsid w:val="00164C6B"/>
    <w:rsid w:val="001B37C5"/>
    <w:rsid w:val="001D77D4"/>
    <w:rsid w:val="00206E73"/>
    <w:rsid w:val="00217F63"/>
    <w:rsid w:val="00221040"/>
    <w:rsid w:val="002266A6"/>
    <w:rsid w:val="002321C8"/>
    <w:rsid w:val="002534D4"/>
    <w:rsid w:val="0025474D"/>
    <w:rsid w:val="0026173A"/>
    <w:rsid w:val="002621C1"/>
    <w:rsid w:val="00272A57"/>
    <w:rsid w:val="00275A84"/>
    <w:rsid w:val="002964D1"/>
    <w:rsid w:val="002C421B"/>
    <w:rsid w:val="002C634C"/>
    <w:rsid w:val="002D7DA0"/>
    <w:rsid w:val="002E54CB"/>
    <w:rsid w:val="002F4FF3"/>
    <w:rsid w:val="003011B9"/>
    <w:rsid w:val="00305577"/>
    <w:rsid w:val="00311B9F"/>
    <w:rsid w:val="00314D84"/>
    <w:rsid w:val="0032049C"/>
    <w:rsid w:val="00335563"/>
    <w:rsid w:val="00336B70"/>
    <w:rsid w:val="003378E5"/>
    <w:rsid w:val="00342B77"/>
    <w:rsid w:val="00347DCD"/>
    <w:rsid w:val="00350362"/>
    <w:rsid w:val="00371B86"/>
    <w:rsid w:val="00387265"/>
    <w:rsid w:val="003972E0"/>
    <w:rsid w:val="003C2458"/>
    <w:rsid w:val="003E5CC8"/>
    <w:rsid w:val="003F7E7D"/>
    <w:rsid w:val="004054DD"/>
    <w:rsid w:val="00425A00"/>
    <w:rsid w:val="00430319"/>
    <w:rsid w:val="00470B63"/>
    <w:rsid w:val="00480A45"/>
    <w:rsid w:val="00483A84"/>
    <w:rsid w:val="004913E8"/>
    <w:rsid w:val="004B379C"/>
    <w:rsid w:val="004B7C48"/>
    <w:rsid w:val="004C14A5"/>
    <w:rsid w:val="004D79CF"/>
    <w:rsid w:val="004F0EAB"/>
    <w:rsid w:val="004F5C56"/>
    <w:rsid w:val="005162CE"/>
    <w:rsid w:val="0053207C"/>
    <w:rsid w:val="005373AB"/>
    <w:rsid w:val="00537AA0"/>
    <w:rsid w:val="00543F64"/>
    <w:rsid w:val="0055231B"/>
    <w:rsid w:val="0057360F"/>
    <w:rsid w:val="005822E9"/>
    <w:rsid w:val="00590FF5"/>
    <w:rsid w:val="00593F66"/>
    <w:rsid w:val="005B3C72"/>
    <w:rsid w:val="005C4974"/>
    <w:rsid w:val="005C70EC"/>
    <w:rsid w:val="005D2893"/>
    <w:rsid w:val="005D3EED"/>
    <w:rsid w:val="005D45C6"/>
    <w:rsid w:val="005E1630"/>
    <w:rsid w:val="005E4DF9"/>
    <w:rsid w:val="005E6522"/>
    <w:rsid w:val="00611B1E"/>
    <w:rsid w:val="0063141E"/>
    <w:rsid w:val="0064463F"/>
    <w:rsid w:val="00650E40"/>
    <w:rsid w:val="00674048"/>
    <w:rsid w:val="00691D38"/>
    <w:rsid w:val="006D5050"/>
    <w:rsid w:val="006E20C7"/>
    <w:rsid w:val="006E64D2"/>
    <w:rsid w:val="006F0636"/>
    <w:rsid w:val="00711927"/>
    <w:rsid w:val="007222A7"/>
    <w:rsid w:val="00726154"/>
    <w:rsid w:val="00732F75"/>
    <w:rsid w:val="00742DE6"/>
    <w:rsid w:val="00766FE5"/>
    <w:rsid w:val="007672D2"/>
    <w:rsid w:val="007731C7"/>
    <w:rsid w:val="00775261"/>
    <w:rsid w:val="0078618D"/>
    <w:rsid w:val="00797469"/>
    <w:rsid w:val="007A76F7"/>
    <w:rsid w:val="007B30DA"/>
    <w:rsid w:val="007B35A3"/>
    <w:rsid w:val="00812793"/>
    <w:rsid w:val="00825195"/>
    <w:rsid w:val="00851FBC"/>
    <w:rsid w:val="00874261"/>
    <w:rsid w:val="00881CFF"/>
    <w:rsid w:val="008833BA"/>
    <w:rsid w:val="008909D1"/>
    <w:rsid w:val="008A0719"/>
    <w:rsid w:val="008D4B57"/>
    <w:rsid w:val="008E3041"/>
    <w:rsid w:val="008E58D7"/>
    <w:rsid w:val="00913FBD"/>
    <w:rsid w:val="0092059B"/>
    <w:rsid w:val="0092431E"/>
    <w:rsid w:val="00933E35"/>
    <w:rsid w:val="00937AC8"/>
    <w:rsid w:val="0095392D"/>
    <w:rsid w:val="00960DF0"/>
    <w:rsid w:val="00963D62"/>
    <w:rsid w:val="009D3357"/>
    <w:rsid w:val="009F6E19"/>
    <w:rsid w:val="00A02C46"/>
    <w:rsid w:val="00A32553"/>
    <w:rsid w:val="00A443BC"/>
    <w:rsid w:val="00A44B3C"/>
    <w:rsid w:val="00A4581F"/>
    <w:rsid w:val="00A8300F"/>
    <w:rsid w:val="00A955F6"/>
    <w:rsid w:val="00AA1B3C"/>
    <w:rsid w:val="00AA7CA4"/>
    <w:rsid w:val="00AF2D30"/>
    <w:rsid w:val="00AF4326"/>
    <w:rsid w:val="00B17962"/>
    <w:rsid w:val="00B24B60"/>
    <w:rsid w:val="00B35760"/>
    <w:rsid w:val="00B413DF"/>
    <w:rsid w:val="00B435D9"/>
    <w:rsid w:val="00B47885"/>
    <w:rsid w:val="00B61370"/>
    <w:rsid w:val="00B8665C"/>
    <w:rsid w:val="00B92CE0"/>
    <w:rsid w:val="00BB4BA2"/>
    <w:rsid w:val="00BD749B"/>
    <w:rsid w:val="00BE044C"/>
    <w:rsid w:val="00BE3333"/>
    <w:rsid w:val="00BF0693"/>
    <w:rsid w:val="00C01900"/>
    <w:rsid w:val="00C01B9C"/>
    <w:rsid w:val="00C23122"/>
    <w:rsid w:val="00C23D2F"/>
    <w:rsid w:val="00C34215"/>
    <w:rsid w:val="00C57E55"/>
    <w:rsid w:val="00C8253D"/>
    <w:rsid w:val="00C92734"/>
    <w:rsid w:val="00CB727F"/>
    <w:rsid w:val="00CD3B4A"/>
    <w:rsid w:val="00CD579A"/>
    <w:rsid w:val="00CE58FB"/>
    <w:rsid w:val="00D01B8E"/>
    <w:rsid w:val="00D05F51"/>
    <w:rsid w:val="00D2497A"/>
    <w:rsid w:val="00D65430"/>
    <w:rsid w:val="00DE6B0F"/>
    <w:rsid w:val="00E03C88"/>
    <w:rsid w:val="00E311AF"/>
    <w:rsid w:val="00E3603A"/>
    <w:rsid w:val="00E46EA2"/>
    <w:rsid w:val="00E849BD"/>
    <w:rsid w:val="00E91970"/>
    <w:rsid w:val="00EA2272"/>
    <w:rsid w:val="00EA4C0B"/>
    <w:rsid w:val="00EB0D21"/>
    <w:rsid w:val="00EB3678"/>
    <w:rsid w:val="00ED57F5"/>
    <w:rsid w:val="00F05355"/>
    <w:rsid w:val="00F1049E"/>
    <w:rsid w:val="00F128EC"/>
    <w:rsid w:val="00F20664"/>
    <w:rsid w:val="00F40FF3"/>
    <w:rsid w:val="00F42A9C"/>
    <w:rsid w:val="00F71456"/>
    <w:rsid w:val="00F80EE8"/>
    <w:rsid w:val="00F95555"/>
    <w:rsid w:val="00FC4210"/>
    <w:rsid w:val="00FD1066"/>
    <w:rsid w:val="00FF0F4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D8414"/>
  <w15:chartTrackingRefBased/>
  <w15:docId w15:val="{D0AC1891-5CC3-4729-8B04-CC020F161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FF3"/>
    <w:pPr>
      <w:spacing w:after="0" w:line="240" w:lineRule="auto"/>
    </w:pPr>
    <w:rPr>
      <w:rFonts w:ascii="Times New Roman" w:eastAsia="Times New Roman" w:hAnsi="Times New Roman" w:cs="Times New Roman"/>
      <w:kern w:val="0"/>
      <w:sz w:val="20"/>
      <w:szCs w:val="20"/>
      <w:lang w:eastAsia="en-ZW"/>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0F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2A9C"/>
    <w:pPr>
      <w:ind w:left="720"/>
      <w:contextualSpacing/>
    </w:pPr>
  </w:style>
  <w:style w:type="paragraph" w:styleId="FootnoteText">
    <w:name w:val="footnote text"/>
    <w:basedOn w:val="Normal"/>
    <w:link w:val="FootnoteTextChar"/>
    <w:uiPriority w:val="99"/>
    <w:semiHidden/>
    <w:unhideWhenUsed/>
    <w:rsid w:val="00C01B9C"/>
  </w:style>
  <w:style w:type="character" w:customStyle="1" w:styleId="FootnoteTextChar">
    <w:name w:val="Footnote Text Char"/>
    <w:basedOn w:val="DefaultParagraphFont"/>
    <w:link w:val="FootnoteText"/>
    <w:uiPriority w:val="99"/>
    <w:semiHidden/>
    <w:rsid w:val="00C01B9C"/>
    <w:rPr>
      <w:rFonts w:ascii="Times New Roman" w:eastAsia="Times New Roman" w:hAnsi="Times New Roman" w:cs="Times New Roman"/>
      <w:kern w:val="0"/>
      <w:sz w:val="20"/>
      <w:szCs w:val="20"/>
      <w:lang w:eastAsia="en-ZW"/>
      <w14:ligatures w14:val="none"/>
    </w:rPr>
  </w:style>
  <w:style w:type="character" w:styleId="FootnoteReference">
    <w:name w:val="footnote reference"/>
    <w:basedOn w:val="DefaultParagraphFont"/>
    <w:uiPriority w:val="99"/>
    <w:semiHidden/>
    <w:unhideWhenUsed/>
    <w:rsid w:val="00C01B9C"/>
    <w:rPr>
      <w:vertAlign w:val="superscript"/>
    </w:rPr>
  </w:style>
  <w:style w:type="paragraph" w:styleId="Header">
    <w:name w:val="header"/>
    <w:basedOn w:val="Normal"/>
    <w:link w:val="HeaderChar"/>
    <w:uiPriority w:val="99"/>
    <w:unhideWhenUsed/>
    <w:rsid w:val="00D05F51"/>
    <w:pPr>
      <w:tabs>
        <w:tab w:val="center" w:pos="4680"/>
        <w:tab w:val="right" w:pos="9360"/>
      </w:tabs>
    </w:pPr>
  </w:style>
  <w:style w:type="character" w:customStyle="1" w:styleId="HeaderChar">
    <w:name w:val="Header Char"/>
    <w:basedOn w:val="DefaultParagraphFont"/>
    <w:link w:val="Header"/>
    <w:uiPriority w:val="99"/>
    <w:rsid w:val="00D05F51"/>
    <w:rPr>
      <w:rFonts w:ascii="Times New Roman" w:eastAsia="Times New Roman" w:hAnsi="Times New Roman" w:cs="Times New Roman"/>
      <w:kern w:val="0"/>
      <w:sz w:val="20"/>
      <w:szCs w:val="20"/>
      <w:lang w:eastAsia="en-ZW"/>
      <w14:ligatures w14:val="none"/>
    </w:rPr>
  </w:style>
  <w:style w:type="paragraph" w:styleId="Footer">
    <w:name w:val="footer"/>
    <w:basedOn w:val="Normal"/>
    <w:link w:val="FooterChar"/>
    <w:uiPriority w:val="99"/>
    <w:unhideWhenUsed/>
    <w:rsid w:val="00D05F51"/>
    <w:pPr>
      <w:tabs>
        <w:tab w:val="center" w:pos="4680"/>
        <w:tab w:val="right" w:pos="9360"/>
      </w:tabs>
    </w:pPr>
  </w:style>
  <w:style w:type="character" w:customStyle="1" w:styleId="FooterChar">
    <w:name w:val="Footer Char"/>
    <w:basedOn w:val="DefaultParagraphFont"/>
    <w:link w:val="Footer"/>
    <w:uiPriority w:val="99"/>
    <w:rsid w:val="00D05F51"/>
    <w:rPr>
      <w:rFonts w:ascii="Times New Roman" w:eastAsia="Times New Roman" w:hAnsi="Times New Roman" w:cs="Times New Roman"/>
      <w:kern w:val="0"/>
      <w:sz w:val="20"/>
      <w:szCs w:val="20"/>
      <w:lang w:eastAsia="en-Z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01661-CC60-47EF-814A-5915402AF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3164</Words>
  <Characters>18035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Mawere</dc:creator>
  <cp:keywords/>
  <dc:description/>
  <cp:lastModifiedBy>JSC</cp:lastModifiedBy>
  <cp:revision>2</cp:revision>
  <dcterms:created xsi:type="dcterms:W3CDTF">2024-06-14T11:56:00Z</dcterms:created>
  <dcterms:modified xsi:type="dcterms:W3CDTF">2024-06-14T11:56:00Z</dcterms:modified>
</cp:coreProperties>
</file>