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D6" w:rsidRDefault="00A911D6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7B88" w:rsidRDefault="007907A3" w:rsidP="00A911D6">
      <w:pPr>
        <w:spacing w:after="0"/>
      </w:pPr>
      <w:r>
        <w:t>PETER FREDRICK RENNIE</w:t>
      </w:r>
    </w:p>
    <w:p w:rsidR="00497B88" w:rsidRDefault="00A911D6" w:rsidP="00A911D6">
      <w:pPr>
        <w:spacing w:after="0"/>
      </w:pPr>
      <w:r>
        <w:t>versus</w:t>
      </w:r>
    </w:p>
    <w:p w:rsidR="00497B88" w:rsidRDefault="007907A3" w:rsidP="00A911D6">
      <w:pPr>
        <w:spacing w:after="0"/>
      </w:pPr>
      <w:r>
        <w:t>ELIZABETH KHAKA</w:t>
      </w:r>
    </w:p>
    <w:p w:rsidR="00A911D6" w:rsidRDefault="00A911D6" w:rsidP="00A911D6">
      <w:pPr>
        <w:spacing w:after="0"/>
      </w:pPr>
    </w:p>
    <w:p w:rsidR="00A911D6" w:rsidRDefault="00A911D6" w:rsidP="00A911D6">
      <w:pPr>
        <w:spacing w:after="0"/>
      </w:pPr>
    </w:p>
    <w:p w:rsidR="00497B88" w:rsidRDefault="00497B88" w:rsidP="00A911D6">
      <w:pPr>
        <w:spacing w:after="0"/>
      </w:pPr>
    </w:p>
    <w:p w:rsidR="00497B88" w:rsidRDefault="007907A3">
      <w:r>
        <w:t>HIGH COURT OF ZIMBA</w:t>
      </w:r>
      <w:r w:rsidR="00A911D6">
        <w:t>BWE</w:t>
      </w:r>
      <w:r w:rsidR="00A911D6">
        <w:br/>
        <w:t>TSANGA J</w:t>
      </w:r>
      <w:r w:rsidR="00A911D6">
        <w:br/>
        <w:t>HARARE, 14 February</w:t>
      </w:r>
      <w:r>
        <w:t xml:space="preserve"> 2018 </w:t>
      </w:r>
    </w:p>
    <w:p w:rsidR="00497B88" w:rsidRDefault="00497B88"/>
    <w:p w:rsidR="00A911D6" w:rsidRDefault="00A911D6">
      <w:pPr>
        <w:rPr>
          <w:b/>
        </w:rPr>
      </w:pPr>
    </w:p>
    <w:p w:rsidR="00497B88" w:rsidRDefault="00497B88">
      <w:pPr>
        <w:rPr>
          <w:b/>
        </w:rPr>
      </w:pPr>
      <w:r w:rsidRPr="00A911D6">
        <w:rPr>
          <w:b/>
        </w:rPr>
        <w:t>Opposed application</w:t>
      </w:r>
    </w:p>
    <w:p w:rsidR="00A911D6" w:rsidRPr="00A911D6" w:rsidRDefault="00A911D6">
      <w:pPr>
        <w:rPr>
          <w:b/>
        </w:rPr>
      </w:pPr>
    </w:p>
    <w:p w:rsidR="00497B88" w:rsidRPr="007907A3" w:rsidRDefault="007907A3">
      <w:pPr>
        <w:rPr>
          <w:i/>
        </w:rPr>
      </w:pPr>
      <w:r>
        <w:rPr>
          <w:i/>
        </w:rPr>
        <w:t>P</w:t>
      </w:r>
      <w:r w:rsidR="00A911D6">
        <w:rPr>
          <w:i/>
        </w:rPr>
        <w:t xml:space="preserve"> </w:t>
      </w:r>
      <w:r>
        <w:rPr>
          <w:i/>
        </w:rPr>
        <w:t>C Paul</w:t>
      </w:r>
      <w:r w:rsidR="00A911D6">
        <w:rPr>
          <w:i/>
        </w:rPr>
        <w:t>,</w:t>
      </w:r>
      <w:r w:rsidRPr="007907A3">
        <w:rPr>
          <w:i/>
        </w:rPr>
        <w:t xml:space="preserve"> </w:t>
      </w:r>
      <w:r w:rsidRPr="00A911D6">
        <w:t xml:space="preserve">for </w:t>
      </w:r>
      <w:r w:rsidR="00A911D6" w:rsidRPr="00A911D6">
        <w:t xml:space="preserve">the </w:t>
      </w:r>
      <w:r w:rsidRPr="00A911D6">
        <w:t>applicant</w:t>
      </w:r>
      <w:r w:rsidRPr="007907A3">
        <w:rPr>
          <w:i/>
        </w:rPr>
        <w:br/>
        <w:t>A Mugandiwa</w:t>
      </w:r>
      <w:r w:rsidR="00A911D6">
        <w:rPr>
          <w:i/>
        </w:rPr>
        <w:t xml:space="preserve">, </w:t>
      </w:r>
      <w:r w:rsidR="00A911D6" w:rsidRPr="00A911D6">
        <w:t>for the r</w:t>
      </w:r>
      <w:r w:rsidRPr="00A911D6">
        <w:t>espondent</w:t>
      </w:r>
    </w:p>
    <w:p w:rsidR="00A911D6" w:rsidRDefault="00A911D6" w:rsidP="007907A3">
      <w:pPr>
        <w:spacing w:line="360" w:lineRule="auto"/>
        <w:jc w:val="both"/>
        <w:rPr>
          <w:b/>
        </w:rPr>
      </w:pPr>
    </w:p>
    <w:p w:rsidR="006642DA" w:rsidRDefault="00497B88" w:rsidP="00A911D6">
      <w:pPr>
        <w:spacing w:after="0" w:line="360" w:lineRule="auto"/>
        <w:ind w:firstLine="720"/>
        <w:jc w:val="both"/>
      </w:pPr>
      <w:r w:rsidRPr="00A911D6">
        <w:t>TSANGA J:</w:t>
      </w:r>
      <w:r>
        <w:t xml:space="preserve"> </w:t>
      </w:r>
      <w:r w:rsidR="00C92E9A">
        <w:t>Following the</w:t>
      </w:r>
      <w:r w:rsidR="00942B86">
        <w:t xml:space="preserve"> </w:t>
      </w:r>
      <w:r w:rsidR="00C92E9A">
        <w:t>decision</w:t>
      </w:r>
      <w:r w:rsidR="00942B86">
        <w:t xml:space="preserve"> </w:t>
      </w:r>
      <w:r w:rsidR="0098249F">
        <w:t>I made in</w:t>
      </w:r>
      <w:r w:rsidR="00942B86">
        <w:t xml:space="preserve"> </w:t>
      </w:r>
      <w:r w:rsidR="009B4E94" w:rsidRPr="00A911D6">
        <w:t>HC 11586/15</w:t>
      </w:r>
      <w:r w:rsidR="00A911D6">
        <w:t xml:space="preserve"> (HH 456/</w:t>
      </w:r>
      <w:r w:rsidR="009B4E94">
        <w:t>17)</w:t>
      </w:r>
      <w:r>
        <w:t>,</w:t>
      </w:r>
      <w:r w:rsidR="00C92E9A">
        <w:t xml:space="preserve"> </w:t>
      </w:r>
      <w:r w:rsidR="0098249F">
        <w:t>t</w:t>
      </w:r>
      <w:r w:rsidR="00C92E9A">
        <w:t>he</w:t>
      </w:r>
      <w:r w:rsidR="00942B86">
        <w:t xml:space="preserve"> </w:t>
      </w:r>
      <w:r w:rsidR="00C92E9A">
        <w:t>Supreme</w:t>
      </w:r>
      <w:r w:rsidR="00942B86">
        <w:t xml:space="preserve"> </w:t>
      </w:r>
      <w:r>
        <w:t>Court</w:t>
      </w:r>
      <w:r w:rsidR="00942B86">
        <w:t xml:space="preserve"> </w:t>
      </w:r>
      <w:r w:rsidR="00C92E9A">
        <w:t>order</w:t>
      </w:r>
      <w:r w:rsidR="0098249F">
        <w:t>ed that the matter be</w:t>
      </w:r>
      <w:r w:rsidR="00942B86">
        <w:t xml:space="preserve"> </w:t>
      </w:r>
      <w:r w:rsidR="0098249F">
        <w:t>referred back</w:t>
      </w:r>
      <w:r w:rsidR="00942B86">
        <w:t xml:space="preserve"> </w:t>
      </w:r>
      <w:r w:rsidR="0098249F">
        <w:t>to this</w:t>
      </w:r>
      <w:r w:rsidR="00942B86">
        <w:t xml:space="preserve"> </w:t>
      </w:r>
      <w:r w:rsidR="0098249F">
        <w:t>court</w:t>
      </w:r>
      <w:r w:rsidR="00942B86">
        <w:t xml:space="preserve"> </w:t>
      </w:r>
      <w:r w:rsidR="0098249F">
        <w:t>for the</w:t>
      </w:r>
      <w:r w:rsidR="00942B86">
        <w:t xml:space="preserve"> </w:t>
      </w:r>
      <w:r w:rsidR="00C92E9A">
        <w:t>princ</w:t>
      </w:r>
      <w:r w:rsidR="0098249F">
        <w:t>i</w:t>
      </w:r>
      <w:r w:rsidR="00C92E9A">
        <w:t>pl</w:t>
      </w:r>
      <w:r w:rsidR="0098249F">
        <w:t>e</w:t>
      </w:r>
      <w:r w:rsidR="00C92E9A">
        <w:t>s</w:t>
      </w:r>
      <w:r w:rsidR="00942B86">
        <w:t xml:space="preserve"> </w:t>
      </w:r>
      <w:r w:rsidR="00C92E9A">
        <w:t>relating</w:t>
      </w:r>
      <w:r w:rsidR="00942B86">
        <w:t xml:space="preserve"> </w:t>
      </w:r>
      <w:r w:rsidR="00C92E9A">
        <w:t>to rescission of</w:t>
      </w:r>
      <w:r w:rsidR="00942B86">
        <w:t xml:space="preserve"> </w:t>
      </w:r>
      <w:r w:rsidR="00C92E9A">
        <w:t>judgment</w:t>
      </w:r>
      <w:r w:rsidR="00942B86">
        <w:t xml:space="preserve"> </w:t>
      </w:r>
      <w:r w:rsidR="0098249F">
        <w:t>in terms of</w:t>
      </w:r>
      <w:r w:rsidR="00942B86">
        <w:t xml:space="preserve"> </w:t>
      </w:r>
      <w:r w:rsidR="005C2162">
        <w:t>Order</w:t>
      </w:r>
      <w:r w:rsidR="009B4E94">
        <w:t xml:space="preserve"> 9</w:t>
      </w:r>
      <w:r w:rsidR="00942B86">
        <w:t xml:space="preserve"> </w:t>
      </w:r>
      <w:r w:rsidR="00A911D6">
        <w:t>r</w:t>
      </w:r>
      <w:r w:rsidR="00942B86">
        <w:t xml:space="preserve"> </w:t>
      </w:r>
      <w:r w:rsidR="005C2162">
        <w:t>63</w:t>
      </w:r>
      <w:r w:rsidR="00942B86">
        <w:t xml:space="preserve"> </w:t>
      </w:r>
      <w:r w:rsidR="005C2162">
        <w:t xml:space="preserve">to be </w:t>
      </w:r>
      <w:r w:rsidR="0098249F">
        <w:t>considered.</w:t>
      </w:r>
      <w:r w:rsidR="00AA0038">
        <w:t xml:space="preserve"> </w:t>
      </w:r>
      <w:r w:rsidR="006642DA">
        <w:t>The background</w:t>
      </w:r>
      <w:r w:rsidR="00D104E3">
        <w:t xml:space="preserve"> facts</w:t>
      </w:r>
      <w:r w:rsidR="00AA0038">
        <w:t xml:space="preserve"> </w:t>
      </w:r>
      <w:r w:rsidR="006642DA">
        <w:t>are briefly</w:t>
      </w:r>
      <w:r w:rsidR="00AA0038">
        <w:t xml:space="preserve"> </w:t>
      </w:r>
      <w:r w:rsidR="006642DA">
        <w:t>reiterated for context to the</w:t>
      </w:r>
      <w:r w:rsidR="00AA0038">
        <w:t xml:space="preserve"> </w:t>
      </w:r>
      <w:r w:rsidR="006642DA">
        <w:t>applicable</w:t>
      </w:r>
      <w:r w:rsidR="00AA0038">
        <w:t xml:space="preserve"> </w:t>
      </w:r>
      <w:r w:rsidR="006642DA">
        <w:t>principles.</w:t>
      </w:r>
    </w:p>
    <w:p w:rsidR="006642DA" w:rsidRDefault="006642DA" w:rsidP="00A911D6">
      <w:pPr>
        <w:spacing w:after="0" w:line="360" w:lineRule="auto"/>
        <w:ind w:firstLine="720"/>
        <w:jc w:val="both"/>
      </w:pPr>
      <w:r>
        <w:t>In 2008</w:t>
      </w:r>
      <w:r w:rsidR="00D104E3">
        <w:t>,</w:t>
      </w:r>
      <w:r>
        <w:t xml:space="preserve"> the applicant and the respondent had entered into a deed of settlement at a pre-trial conference following issuance of </w:t>
      </w:r>
      <w:r w:rsidR="003E21CE">
        <w:t xml:space="preserve">summons </w:t>
      </w:r>
      <w:r>
        <w:t xml:space="preserve">for the transfer to the respondent of certain property </w:t>
      </w:r>
      <w:r w:rsidR="009748C0">
        <w:t>described as Lot 5 remainder of subdivision “</w:t>
      </w:r>
      <w:r w:rsidR="00892B01">
        <w:t>A</w:t>
      </w:r>
      <w:r w:rsidR="009748C0">
        <w:t>” of Lichfield</w:t>
      </w:r>
      <w:r w:rsidR="00892B01">
        <w:t xml:space="preserve"> </w:t>
      </w:r>
      <w:r w:rsidR="009748C0">
        <w:t>of Wilksden Farm</w:t>
      </w:r>
      <w:r w:rsidR="00892B01">
        <w:t xml:space="preserve"> together with all its permanent improvements constructed thereupon </w:t>
      </w:r>
      <w:r>
        <w:t>or alternatively payment of damages. The applicant had not honoured the deed of settlement. In 2012</w:t>
      </w:r>
      <w:r w:rsidR="00892B01">
        <w:t>,</w:t>
      </w:r>
      <w:r>
        <w:t xml:space="preserve"> the respondent had managed to have the deed of settlement registered</w:t>
      </w:r>
      <w:r w:rsidR="00AA0038">
        <w:t xml:space="preserve"> retrospectively </w:t>
      </w:r>
      <w:r>
        <w:t>as an order of court,</w:t>
      </w:r>
      <w:r w:rsidR="00AA0038">
        <w:t xml:space="preserve"> </w:t>
      </w:r>
      <w:r w:rsidR="00D104E3">
        <w:t>and the J</w:t>
      </w:r>
      <w:r>
        <w:t>udge before</w:t>
      </w:r>
      <w:r w:rsidR="00AA0038">
        <w:t xml:space="preserve"> </w:t>
      </w:r>
      <w:r>
        <w:t>whom the</w:t>
      </w:r>
      <w:r w:rsidR="00AA0038">
        <w:t xml:space="preserve"> </w:t>
      </w:r>
      <w:r>
        <w:t>matter</w:t>
      </w:r>
      <w:r w:rsidR="00AA0038">
        <w:t xml:space="preserve"> </w:t>
      </w:r>
      <w:r>
        <w:t>was placed</w:t>
      </w:r>
      <w:r w:rsidR="00AA0038">
        <w:t xml:space="preserve"> </w:t>
      </w:r>
      <w:r>
        <w:t>had</w:t>
      </w:r>
      <w:r w:rsidR="00AA0038">
        <w:t xml:space="preserve"> </w:t>
      </w:r>
      <w:r>
        <w:t xml:space="preserve">granted it although the time lines for action had </w:t>
      </w:r>
      <w:r w:rsidR="00D104E3">
        <w:t>passed</w:t>
      </w:r>
      <w:r>
        <w:t>. It is application for registration as an order of court</w:t>
      </w:r>
      <w:r w:rsidR="00892B01">
        <w:t xml:space="preserve"> made under HC 5000/08B</w:t>
      </w:r>
      <w:r>
        <w:t xml:space="preserve"> which the applicant says he did not receive. Having been in the throes of a bitter divorce</w:t>
      </w:r>
      <w:r w:rsidR="00892B01">
        <w:t>,</w:t>
      </w:r>
      <w:r>
        <w:t xml:space="preserve"> he</w:t>
      </w:r>
      <w:r w:rsidR="00892B01">
        <w:t xml:space="preserve"> said he</w:t>
      </w:r>
      <w:r>
        <w:t xml:space="preserve"> was no longer staying at the address in question</w:t>
      </w:r>
      <w:r w:rsidR="00D104E3">
        <w:t>, having moved out in 2009</w:t>
      </w:r>
      <w:r>
        <w:t>. The</w:t>
      </w:r>
      <w:r w:rsidR="00892B01">
        <w:t xml:space="preserve"> application was </w:t>
      </w:r>
      <w:r>
        <w:t>said to have been received by one Winnie</w:t>
      </w:r>
      <w:r w:rsidR="00E83E54">
        <w:t xml:space="preserve"> </w:t>
      </w:r>
      <w:r w:rsidR="00AA0038">
        <w:t>Guzuzu</w:t>
      </w:r>
      <w:r>
        <w:t xml:space="preserve"> who was th</w:t>
      </w:r>
      <w:r w:rsidR="00AA0038">
        <w:t>e</w:t>
      </w:r>
      <w:r>
        <w:t xml:space="preserve"> domestic helper at the premises. Applicant at the time was now living with his sister a</w:t>
      </w:r>
      <w:r w:rsidR="003E21CE">
        <w:t>t</w:t>
      </w:r>
      <w:r w:rsidR="00D104E3">
        <w:t xml:space="preserve"> a </w:t>
      </w:r>
      <w:r>
        <w:t xml:space="preserve">different address and </w:t>
      </w:r>
      <w:r w:rsidR="00D104E3">
        <w:lastRenderedPageBreak/>
        <w:t>his averment</w:t>
      </w:r>
      <w:r w:rsidR="00892B01">
        <w:t xml:space="preserve"> </w:t>
      </w:r>
      <w:r w:rsidR="00D104E3">
        <w:t xml:space="preserve">was that </w:t>
      </w:r>
      <w:r>
        <w:t xml:space="preserve">neither his former wife nor Winnie </w:t>
      </w:r>
      <w:r w:rsidR="003E21CE">
        <w:t>Guzuzu</w:t>
      </w:r>
      <w:r>
        <w:t xml:space="preserve"> the domestic help</w:t>
      </w:r>
      <w:r w:rsidR="003E21CE">
        <w:t>er</w:t>
      </w:r>
      <w:r w:rsidR="00892B01">
        <w:t>,</w:t>
      </w:r>
      <w:r>
        <w:t xml:space="preserve"> brought the </w:t>
      </w:r>
      <w:r w:rsidR="00D104E3">
        <w:t xml:space="preserve">application for registration of the deed </w:t>
      </w:r>
      <w:r>
        <w:t xml:space="preserve">to his attention. Moreover his gripe </w:t>
      </w:r>
      <w:r w:rsidR="00892B01">
        <w:t>at wa</w:t>
      </w:r>
      <w:r>
        <w:t>s that by the time the order was registered in 2008, it was well over four years since the agreement</w:t>
      </w:r>
      <w:r w:rsidR="00892B01">
        <w:t xml:space="preserve"> was entered into</w:t>
      </w:r>
      <w:r>
        <w:t xml:space="preserve"> and therefore it was affected by prescription.</w:t>
      </w:r>
      <w:r w:rsidR="001B7F0F">
        <w:t xml:space="preserve"> Following</w:t>
      </w:r>
      <w:r w:rsidR="00AA0038">
        <w:t xml:space="preserve"> </w:t>
      </w:r>
      <w:r w:rsidR="001B7F0F">
        <w:t>registration of the deed</w:t>
      </w:r>
      <w:r w:rsidR="00AA0038">
        <w:t xml:space="preserve"> </w:t>
      </w:r>
      <w:r w:rsidR="001B7F0F">
        <w:t>of</w:t>
      </w:r>
      <w:r w:rsidR="00AA0038">
        <w:t xml:space="preserve"> </w:t>
      </w:r>
      <w:r w:rsidR="001B7F0F">
        <w:t>settlement</w:t>
      </w:r>
      <w:r w:rsidR="00AA0038">
        <w:t xml:space="preserve"> </w:t>
      </w:r>
      <w:r w:rsidR="001B7F0F">
        <w:t>as</w:t>
      </w:r>
      <w:r w:rsidR="00AA0038">
        <w:t xml:space="preserve"> </w:t>
      </w:r>
      <w:r w:rsidR="001B7F0F">
        <w:t>an</w:t>
      </w:r>
      <w:r w:rsidR="00AA0038">
        <w:t xml:space="preserve"> </w:t>
      </w:r>
      <w:r w:rsidR="001B7F0F">
        <w:t>order of the</w:t>
      </w:r>
      <w:r w:rsidR="00AA0038">
        <w:t xml:space="preserve"> </w:t>
      </w:r>
      <w:r w:rsidR="001B7F0F">
        <w:t>court</w:t>
      </w:r>
      <w:r w:rsidR="00892B01">
        <w:t>,</w:t>
      </w:r>
      <w:r w:rsidR="001B7F0F">
        <w:t xml:space="preserve"> </w:t>
      </w:r>
      <w:r w:rsidR="00AA0038">
        <w:t>a</w:t>
      </w:r>
      <w:r w:rsidR="001B7F0F">
        <w:t>nd</w:t>
      </w:r>
      <w:r w:rsidR="00892B01">
        <w:t>,</w:t>
      </w:r>
      <w:r w:rsidR="001B7F0F">
        <w:t xml:space="preserve"> </w:t>
      </w:r>
      <w:r w:rsidR="00AA0038">
        <w:t>non</w:t>
      </w:r>
      <w:r w:rsidR="00892B01">
        <w:t>-</w:t>
      </w:r>
      <w:r w:rsidR="00AA0038">
        <w:t xml:space="preserve">compliance </w:t>
      </w:r>
      <w:r w:rsidR="001B7F0F">
        <w:t>by the applicant,</w:t>
      </w:r>
      <w:r w:rsidR="00AA0038">
        <w:t xml:space="preserve"> </w:t>
      </w:r>
      <w:r w:rsidR="001B7F0F">
        <w:t>an order of</w:t>
      </w:r>
      <w:r w:rsidR="00AA0038">
        <w:t xml:space="preserve"> </w:t>
      </w:r>
      <w:r w:rsidR="001B7F0F">
        <w:t>contempt</w:t>
      </w:r>
      <w:r w:rsidR="00AA0038">
        <w:t xml:space="preserve"> </w:t>
      </w:r>
      <w:r w:rsidR="001B7F0F">
        <w:t>was</w:t>
      </w:r>
      <w:r w:rsidR="00AA0038">
        <w:t xml:space="preserve"> </w:t>
      </w:r>
      <w:r w:rsidR="001B7F0F">
        <w:t>issued</w:t>
      </w:r>
      <w:r w:rsidR="00AA0038">
        <w:t xml:space="preserve"> </w:t>
      </w:r>
      <w:r w:rsidR="001B7F0F">
        <w:t>against the applicant leading to</w:t>
      </w:r>
      <w:r w:rsidR="00892B01">
        <w:t xml:space="preserve"> his purported knowledge of the registration of the deed and subsequently</w:t>
      </w:r>
      <w:r w:rsidR="00AA0038">
        <w:t xml:space="preserve"> </w:t>
      </w:r>
      <w:r w:rsidR="001B7F0F">
        <w:t>this application.</w:t>
      </w:r>
      <w:r w:rsidR="004D2068" w:rsidRPr="004D2068">
        <w:t xml:space="preserve"> </w:t>
      </w:r>
      <w:r w:rsidR="004D2068">
        <w:t>The</w:t>
      </w:r>
      <w:r w:rsidR="00AA0038">
        <w:t xml:space="preserve"> </w:t>
      </w:r>
      <w:r w:rsidR="004D2068">
        <w:t>guiding</w:t>
      </w:r>
      <w:r w:rsidR="00AA0038">
        <w:t xml:space="preserve"> </w:t>
      </w:r>
      <w:r w:rsidR="004D2068">
        <w:t>principles for rescission</w:t>
      </w:r>
      <w:r w:rsidR="00B8502A">
        <w:t xml:space="preserve"> which are</w:t>
      </w:r>
      <w:r w:rsidR="00AA0038">
        <w:t xml:space="preserve"> </w:t>
      </w:r>
      <w:r w:rsidR="004D2068">
        <w:t>to be considered</w:t>
      </w:r>
      <w:r w:rsidR="00AA0038">
        <w:t xml:space="preserve"> </w:t>
      </w:r>
      <w:r w:rsidR="004D2068">
        <w:t>conjunctively are well</w:t>
      </w:r>
      <w:r w:rsidR="00AA0038">
        <w:t xml:space="preserve"> </w:t>
      </w:r>
      <w:r w:rsidR="004D2068">
        <w:t>laid out in cases</w:t>
      </w:r>
      <w:r w:rsidR="00AA0038">
        <w:t xml:space="preserve"> </w:t>
      </w:r>
      <w:r w:rsidR="004D2068">
        <w:t>such</w:t>
      </w:r>
      <w:r w:rsidR="00AA0038">
        <w:t xml:space="preserve"> </w:t>
      </w:r>
      <w:r w:rsidR="004D2068">
        <w:t xml:space="preserve">as </w:t>
      </w:r>
      <w:r w:rsidR="004D2068" w:rsidRPr="005C2162">
        <w:rPr>
          <w:i/>
        </w:rPr>
        <w:t xml:space="preserve">Mazuva </w:t>
      </w:r>
      <w:r w:rsidR="004D2068" w:rsidRPr="00A911D6">
        <w:t>v</w:t>
      </w:r>
      <w:r w:rsidR="004D2068" w:rsidRPr="005C2162">
        <w:rPr>
          <w:i/>
        </w:rPr>
        <w:t xml:space="preserve"> Simbi &amp; Ors</w:t>
      </w:r>
      <w:r w:rsidR="009C7A88">
        <w:rPr>
          <w:i/>
        </w:rPr>
        <w:t xml:space="preserve"> </w:t>
      </w:r>
      <w:r w:rsidR="009C7A88" w:rsidRPr="00A911D6">
        <w:t>2011</w:t>
      </w:r>
      <w:r w:rsidR="00A911D6">
        <w:t xml:space="preserve"> </w:t>
      </w:r>
      <w:r w:rsidR="009C7A88" w:rsidRPr="00A911D6">
        <w:t>(2)</w:t>
      </w:r>
      <w:r w:rsidR="00B8502A" w:rsidRPr="00A911D6">
        <w:t xml:space="preserve"> </w:t>
      </w:r>
      <w:r w:rsidR="009C7A88" w:rsidRPr="00A911D6">
        <w:t>ZLR 319(H)</w:t>
      </w:r>
      <w:r w:rsidR="00B8502A" w:rsidRPr="00A911D6">
        <w:t>;</w:t>
      </w:r>
      <w:r w:rsidR="00B8502A">
        <w:rPr>
          <w:i/>
        </w:rPr>
        <w:t xml:space="preserve"> </w:t>
      </w:r>
      <w:r w:rsidR="00B8502A" w:rsidRPr="005D72AA">
        <w:rPr>
          <w:i/>
        </w:rPr>
        <w:t xml:space="preserve">Moyo and Ors </w:t>
      </w:r>
      <w:r w:rsidR="00B8502A" w:rsidRPr="00A911D6">
        <w:t>v</w:t>
      </w:r>
      <w:r w:rsidR="00B8502A" w:rsidRPr="005D72AA">
        <w:rPr>
          <w:i/>
        </w:rPr>
        <w:t xml:space="preserve"> Sibanda &amp; Anor </w:t>
      </w:r>
      <w:r w:rsidR="00B8502A">
        <w:t xml:space="preserve">2011 (2) ZLR 186. </w:t>
      </w:r>
      <w:r w:rsidR="004D2068">
        <w:t>I examine</w:t>
      </w:r>
      <w:r w:rsidR="00AA0038">
        <w:t xml:space="preserve"> </w:t>
      </w:r>
      <w:r w:rsidR="00B8502A">
        <w:t>each of the applicable principles</w:t>
      </w:r>
      <w:r w:rsidR="004D2068">
        <w:t xml:space="preserve"> contextually</w:t>
      </w:r>
      <w:r w:rsidR="00AA0038">
        <w:t xml:space="preserve"> </w:t>
      </w:r>
      <w:r w:rsidR="004D2068">
        <w:t>below.</w:t>
      </w:r>
    </w:p>
    <w:p w:rsidR="00414A85" w:rsidRPr="004D2068" w:rsidRDefault="004D2068" w:rsidP="007907A3">
      <w:pPr>
        <w:spacing w:line="360" w:lineRule="auto"/>
        <w:jc w:val="both"/>
        <w:rPr>
          <w:b/>
          <w:u w:val="single"/>
        </w:rPr>
      </w:pPr>
      <w:r w:rsidRPr="004D2068">
        <w:rPr>
          <w:b/>
          <w:u w:val="single"/>
        </w:rPr>
        <w:t>The time</w:t>
      </w:r>
      <w:r w:rsidR="00AA0038">
        <w:rPr>
          <w:b/>
          <w:u w:val="single"/>
        </w:rPr>
        <w:t xml:space="preserve"> </w:t>
      </w:r>
      <w:r w:rsidRPr="004D2068">
        <w:rPr>
          <w:b/>
          <w:u w:val="single"/>
        </w:rPr>
        <w:t>frame</w:t>
      </w:r>
      <w:r w:rsidR="00AA0038">
        <w:rPr>
          <w:b/>
          <w:u w:val="single"/>
        </w:rPr>
        <w:t xml:space="preserve"> </w:t>
      </w:r>
      <w:r w:rsidRPr="004D2068">
        <w:rPr>
          <w:b/>
          <w:u w:val="single"/>
        </w:rPr>
        <w:t>for making</w:t>
      </w:r>
      <w:r w:rsidR="00AA0038">
        <w:rPr>
          <w:b/>
          <w:u w:val="single"/>
        </w:rPr>
        <w:t xml:space="preserve"> </w:t>
      </w:r>
      <w:r w:rsidRPr="004D2068">
        <w:rPr>
          <w:b/>
          <w:u w:val="single"/>
        </w:rPr>
        <w:t>the</w:t>
      </w:r>
      <w:r w:rsidR="00AA0038">
        <w:rPr>
          <w:b/>
          <w:u w:val="single"/>
        </w:rPr>
        <w:t xml:space="preserve"> </w:t>
      </w:r>
      <w:r w:rsidRPr="004D2068">
        <w:rPr>
          <w:b/>
          <w:u w:val="single"/>
        </w:rPr>
        <w:t>application</w:t>
      </w:r>
    </w:p>
    <w:p w:rsidR="007E437D" w:rsidRDefault="0098249F" w:rsidP="00A911D6">
      <w:pPr>
        <w:spacing w:after="0" w:line="360" w:lineRule="auto"/>
        <w:ind w:firstLine="720"/>
        <w:jc w:val="both"/>
      </w:pPr>
      <w:r>
        <w:t>Firstly</w:t>
      </w:r>
      <w:r w:rsidR="009B4E94">
        <w:t>,</w:t>
      </w:r>
      <w:r>
        <w:t xml:space="preserve"> an application</w:t>
      </w:r>
      <w:r w:rsidR="009B4E94">
        <w:t xml:space="preserve"> for rescission</w:t>
      </w:r>
      <w:r w:rsidR="00585065">
        <w:t xml:space="preserve"> </w:t>
      </w:r>
      <w:r>
        <w:t>under</w:t>
      </w:r>
      <w:r w:rsidR="00245264">
        <w:t xml:space="preserve"> Order 9</w:t>
      </w:r>
      <w:r w:rsidR="00942B86">
        <w:t xml:space="preserve"> </w:t>
      </w:r>
      <w:r>
        <w:t>r 63</w:t>
      </w:r>
      <w:r w:rsidR="00AA0038">
        <w:t xml:space="preserve"> </w:t>
      </w:r>
      <w:r w:rsidR="00245264">
        <w:t>of the High Court Rules 1971</w:t>
      </w:r>
      <w:r w:rsidR="00892B01">
        <w:t>,</w:t>
      </w:r>
      <w:r w:rsidR="009B4E94">
        <w:t xml:space="preserve"> </w:t>
      </w:r>
      <w:r>
        <w:t>must</w:t>
      </w:r>
      <w:r w:rsidR="00AA0038">
        <w:t xml:space="preserve"> </w:t>
      </w:r>
      <w:r w:rsidR="004D2068">
        <w:t xml:space="preserve">in accordance with r </w:t>
      </w:r>
      <w:r w:rsidR="00245264">
        <w:t>63</w:t>
      </w:r>
      <w:r w:rsidR="00A911D6">
        <w:t xml:space="preserve"> </w:t>
      </w:r>
      <w:r w:rsidR="00245264">
        <w:t>(1)</w:t>
      </w:r>
      <w:r w:rsidR="00892B01">
        <w:t>,</w:t>
      </w:r>
      <w:r w:rsidR="004D2068">
        <w:t xml:space="preserve"> </w:t>
      </w:r>
      <w:r>
        <w:t>be made</w:t>
      </w:r>
      <w:r w:rsidR="00942B86">
        <w:t xml:space="preserve"> </w:t>
      </w:r>
      <w:r>
        <w:t>within</w:t>
      </w:r>
      <w:r w:rsidR="00942B86">
        <w:t xml:space="preserve"> </w:t>
      </w:r>
      <w:r>
        <w:t>30</w:t>
      </w:r>
      <w:r w:rsidR="00497B88">
        <w:t xml:space="preserve"> </w:t>
      </w:r>
      <w:r>
        <w:t xml:space="preserve">days of knowledge </w:t>
      </w:r>
      <w:r w:rsidR="00497B88">
        <w:t>of</w:t>
      </w:r>
      <w:r>
        <w:t xml:space="preserve"> the judgment</w:t>
      </w:r>
      <w:r w:rsidR="00892B01">
        <w:t>,</w:t>
      </w:r>
      <w:r>
        <w:t xml:space="preserve"> otherwise</w:t>
      </w:r>
      <w:r w:rsidR="00942B86">
        <w:t xml:space="preserve"> </w:t>
      </w:r>
      <w:r>
        <w:t>condonation has</w:t>
      </w:r>
      <w:r w:rsidR="00942B86">
        <w:t xml:space="preserve"> </w:t>
      </w:r>
      <w:r>
        <w:t>to be</w:t>
      </w:r>
      <w:r w:rsidR="00942B86">
        <w:t xml:space="preserve"> </w:t>
      </w:r>
      <w:r>
        <w:t>sought for any</w:t>
      </w:r>
      <w:r w:rsidR="00942B86">
        <w:t xml:space="preserve"> </w:t>
      </w:r>
      <w:r>
        <w:t>late</w:t>
      </w:r>
      <w:r w:rsidR="00942B86">
        <w:t xml:space="preserve"> </w:t>
      </w:r>
      <w:r>
        <w:t>application.</w:t>
      </w:r>
      <w:r w:rsidR="00AA0038">
        <w:t xml:space="preserve"> </w:t>
      </w:r>
      <w:r w:rsidR="006642DA">
        <w:t>Applicant averred that he only got to know</w:t>
      </w:r>
      <w:r w:rsidR="009B4E94" w:rsidRPr="009B4E94">
        <w:t xml:space="preserve"> </w:t>
      </w:r>
      <w:r w:rsidR="009B4E94">
        <w:t xml:space="preserve">on </w:t>
      </w:r>
      <w:r w:rsidR="00A911D6">
        <w:t>10</w:t>
      </w:r>
      <w:r w:rsidR="009B4E94">
        <w:t xml:space="preserve"> November 2015</w:t>
      </w:r>
      <w:r w:rsidR="006642DA">
        <w:t xml:space="preserve"> of</w:t>
      </w:r>
      <w:r w:rsidR="007E437D">
        <w:t xml:space="preserve"> the</w:t>
      </w:r>
      <w:r w:rsidR="00AA0038">
        <w:t xml:space="preserve"> </w:t>
      </w:r>
      <w:r w:rsidR="001B7F0F">
        <w:t>application for</w:t>
      </w:r>
      <w:r w:rsidR="00AA0038">
        <w:t xml:space="preserve"> </w:t>
      </w:r>
      <w:r w:rsidR="001B7F0F">
        <w:t>contempt for failure</w:t>
      </w:r>
      <w:r w:rsidR="00AA0038">
        <w:t xml:space="preserve"> </w:t>
      </w:r>
      <w:r w:rsidR="001B7F0F">
        <w:t>to</w:t>
      </w:r>
      <w:r w:rsidR="00AA0038">
        <w:t xml:space="preserve"> comply </w:t>
      </w:r>
      <w:r w:rsidR="001B7F0F">
        <w:t>with the</w:t>
      </w:r>
      <w:r w:rsidR="00AA0038">
        <w:t xml:space="preserve"> </w:t>
      </w:r>
      <w:r w:rsidR="001B7F0F">
        <w:t>order</w:t>
      </w:r>
      <w:r w:rsidR="00AA0038">
        <w:t xml:space="preserve"> </w:t>
      </w:r>
      <w:r w:rsidR="006116C1">
        <w:t>granted by the court on</w:t>
      </w:r>
      <w:r w:rsidR="00AA0038">
        <w:t xml:space="preserve"> </w:t>
      </w:r>
      <w:r w:rsidR="00EF10B5">
        <w:t>29</w:t>
      </w:r>
      <w:r w:rsidR="00AA0038">
        <w:t xml:space="preserve"> </w:t>
      </w:r>
      <w:r w:rsidR="006116C1">
        <w:t>November</w:t>
      </w:r>
      <w:r w:rsidR="00AA0038">
        <w:t xml:space="preserve"> </w:t>
      </w:r>
      <w:r w:rsidR="006116C1">
        <w:t>2012</w:t>
      </w:r>
      <w:r w:rsidR="00B16935">
        <w:t xml:space="preserve"> </w:t>
      </w:r>
      <w:r w:rsidR="007E437D">
        <w:t xml:space="preserve">that </w:t>
      </w:r>
      <w:r w:rsidR="006116C1">
        <w:t>register</w:t>
      </w:r>
      <w:r w:rsidR="007E437D">
        <w:t xml:space="preserve">ed </w:t>
      </w:r>
      <w:r w:rsidR="006116C1">
        <w:t>the</w:t>
      </w:r>
      <w:r w:rsidR="00AA0038">
        <w:t xml:space="preserve"> </w:t>
      </w:r>
      <w:r w:rsidR="006116C1">
        <w:t>deed.</w:t>
      </w:r>
      <w:r w:rsidR="001B7F0F">
        <w:t xml:space="preserve"> </w:t>
      </w:r>
      <w:r w:rsidR="009B4E94">
        <w:t xml:space="preserve">This was when </w:t>
      </w:r>
      <w:r w:rsidR="007E437D">
        <w:t>the application for contempt</w:t>
      </w:r>
      <w:r w:rsidR="009B4E94">
        <w:t xml:space="preserve"> was served on his legal practitioners. </w:t>
      </w:r>
      <w:r w:rsidR="007E437D">
        <w:t xml:space="preserve">It </w:t>
      </w:r>
      <w:r w:rsidR="009B4E94">
        <w:t>had purportedly been</w:t>
      </w:r>
      <w:r w:rsidR="00585065">
        <w:t xml:space="preserve"> </w:t>
      </w:r>
      <w:r w:rsidR="009B4E94">
        <w:t>served on his domestic help</w:t>
      </w:r>
      <w:r w:rsidR="00FB5C30">
        <w:t>er</w:t>
      </w:r>
      <w:r w:rsidR="009B4E94">
        <w:t xml:space="preserve"> some three</w:t>
      </w:r>
      <w:r w:rsidR="00585065">
        <w:t xml:space="preserve"> </w:t>
      </w:r>
      <w:r w:rsidR="009B4E94">
        <w:t>years</w:t>
      </w:r>
      <w:r w:rsidR="00585065">
        <w:t xml:space="preserve"> </w:t>
      </w:r>
      <w:r w:rsidR="009B4E94">
        <w:t>earlier</w:t>
      </w:r>
      <w:r w:rsidR="00585065">
        <w:t xml:space="preserve"> </w:t>
      </w:r>
      <w:r w:rsidR="009B4E94">
        <w:t>without</w:t>
      </w:r>
      <w:r w:rsidR="00585065">
        <w:t xml:space="preserve"> </w:t>
      </w:r>
      <w:r w:rsidR="009B4E94">
        <w:t>his know</w:t>
      </w:r>
      <w:r w:rsidR="007E437D">
        <w:t>ledge</w:t>
      </w:r>
      <w:r w:rsidR="009B4E94">
        <w:t>.</w:t>
      </w:r>
      <w:r w:rsidR="00585065">
        <w:t xml:space="preserve"> </w:t>
      </w:r>
      <w:r w:rsidR="001B7F0F">
        <w:t>Hi</w:t>
      </w:r>
      <w:r w:rsidR="009B4E94">
        <w:t>s</w:t>
      </w:r>
      <w:r w:rsidR="00AA0038">
        <w:t xml:space="preserve"> </w:t>
      </w:r>
      <w:r w:rsidR="001B7F0F">
        <w:t>application for</w:t>
      </w:r>
      <w:r w:rsidR="00AA0038">
        <w:t xml:space="preserve"> </w:t>
      </w:r>
      <w:r w:rsidR="001B7F0F">
        <w:t>rescission</w:t>
      </w:r>
      <w:r w:rsidR="00AA0038">
        <w:t xml:space="preserve"> </w:t>
      </w:r>
      <w:r w:rsidR="007E437D">
        <w:t>wa</w:t>
      </w:r>
      <w:r w:rsidR="001B7F0F">
        <w:t>s</w:t>
      </w:r>
      <w:r w:rsidR="00AA0038">
        <w:t xml:space="preserve"> </w:t>
      </w:r>
      <w:r w:rsidR="001B7F0F">
        <w:t xml:space="preserve">date stamped </w:t>
      </w:r>
      <w:r w:rsidR="00EF10B5">
        <w:t>26</w:t>
      </w:r>
      <w:r w:rsidR="001B7F0F">
        <w:t xml:space="preserve"> November</w:t>
      </w:r>
      <w:r w:rsidR="00AA0038">
        <w:t xml:space="preserve"> </w:t>
      </w:r>
      <w:r w:rsidR="001B7F0F">
        <w:t>2015.</w:t>
      </w:r>
      <w:r w:rsidR="00AA0038">
        <w:t xml:space="preserve"> </w:t>
      </w:r>
      <w:r w:rsidR="001B7F0F">
        <w:t xml:space="preserve">It </w:t>
      </w:r>
      <w:r w:rsidR="007E437D">
        <w:t>wa</w:t>
      </w:r>
      <w:r w:rsidR="001B7F0F">
        <w:t>s</w:t>
      </w:r>
      <w:r w:rsidR="00AA0038">
        <w:t xml:space="preserve"> </w:t>
      </w:r>
      <w:r w:rsidR="001B7F0F">
        <w:t>common</w:t>
      </w:r>
      <w:r w:rsidR="00AA0038">
        <w:t xml:space="preserve"> </w:t>
      </w:r>
      <w:r w:rsidR="001B7F0F">
        <w:t>cause</w:t>
      </w:r>
      <w:r w:rsidR="00B16935">
        <w:t xml:space="preserve"> </w:t>
      </w:r>
      <w:r w:rsidR="007E437D">
        <w:t xml:space="preserve">on paper </w:t>
      </w:r>
      <w:r w:rsidR="009B4E94">
        <w:t>t</w:t>
      </w:r>
      <w:r w:rsidR="001B7F0F">
        <w:t xml:space="preserve">hat on </w:t>
      </w:r>
      <w:r w:rsidR="00A911D6">
        <w:t>15</w:t>
      </w:r>
      <w:r w:rsidR="001B7F0F">
        <w:t xml:space="preserve"> October</w:t>
      </w:r>
      <w:r w:rsidR="00AA0038">
        <w:t xml:space="preserve"> </w:t>
      </w:r>
      <w:r w:rsidR="001B7F0F">
        <w:t>2015</w:t>
      </w:r>
      <w:r w:rsidR="009B4E94">
        <w:t>,</w:t>
      </w:r>
      <w:r w:rsidR="001B7F0F">
        <w:t xml:space="preserve"> his legal </w:t>
      </w:r>
      <w:r w:rsidR="00AA0038">
        <w:t xml:space="preserve">practitioners </w:t>
      </w:r>
      <w:r w:rsidR="001B7F0F">
        <w:t>had</w:t>
      </w:r>
      <w:r w:rsidR="00AA0038">
        <w:t xml:space="preserve"> </w:t>
      </w:r>
      <w:r w:rsidR="001B7F0F">
        <w:t>written to</w:t>
      </w:r>
      <w:r w:rsidR="00AA0038">
        <w:t xml:space="preserve"> </w:t>
      </w:r>
      <w:r w:rsidR="001B7F0F">
        <w:t>the</w:t>
      </w:r>
      <w:r w:rsidR="00AA0038">
        <w:t xml:space="preserve"> </w:t>
      </w:r>
      <w:r w:rsidR="001B7F0F">
        <w:t>respondent’s</w:t>
      </w:r>
      <w:r w:rsidR="00AA0038">
        <w:t xml:space="preserve"> counsel </w:t>
      </w:r>
      <w:r w:rsidR="002347CB">
        <w:t>indicating</w:t>
      </w:r>
      <w:r w:rsidR="00AA0038">
        <w:t xml:space="preserve"> </w:t>
      </w:r>
      <w:r w:rsidR="002347CB">
        <w:t>that</w:t>
      </w:r>
      <w:r w:rsidR="00AA0038">
        <w:t xml:space="preserve"> </w:t>
      </w:r>
      <w:r w:rsidR="002347CB">
        <w:t>they had</w:t>
      </w:r>
      <w:r w:rsidR="00AA0038">
        <w:t xml:space="preserve"> </w:t>
      </w:r>
      <w:r w:rsidR="002347CB">
        <w:t>learnt</w:t>
      </w:r>
      <w:r w:rsidR="00AA0038">
        <w:t xml:space="preserve"> </w:t>
      </w:r>
      <w:r w:rsidR="002347CB">
        <w:t xml:space="preserve">of an </w:t>
      </w:r>
      <w:r w:rsidR="00AA0038">
        <w:t>attempt</w:t>
      </w:r>
      <w:r w:rsidR="002347CB">
        <w:t xml:space="preserve"> to serve</w:t>
      </w:r>
      <w:r w:rsidR="00AA0038">
        <w:t xml:space="preserve"> </w:t>
      </w:r>
      <w:r w:rsidR="002347CB">
        <w:t>papers</w:t>
      </w:r>
      <w:r w:rsidR="00AA0038">
        <w:t xml:space="preserve"> </w:t>
      </w:r>
      <w:r w:rsidR="002347CB">
        <w:t>on their client</w:t>
      </w:r>
      <w:r w:rsidR="00AA0038">
        <w:t xml:space="preserve"> </w:t>
      </w:r>
      <w:r w:rsidR="002347CB">
        <w:t>and</w:t>
      </w:r>
      <w:r w:rsidR="00AA0038">
        <w:t xml:space="preserve"> </w:t>
      </w:r>
      <w:r w:rsidR="002347CB">
        <w:t>asking</w:t>
      </w:r>
      <w:r w:rsidR="00AA0038">
        <w:t xml:space="preserve"> </w:t>
      </w:r>
      <w:r w:rsidR="002347CB">
        <w:t>what the matter</w:t>
      </w:r>
      <w:r w:rsidR="00AA0038">
        <w:t xml:space="preserve"> </w:t>
      </w:r>
      <w:r w:rsidR="002347CB">
        <w:t>was</w:t>
      </w:r>
      <w:r w:rsidR="00AA0038">
        <w:t xml:space="preserve"> </w:t>
      </w:r>
      <w:r w:rsidR="002347CB">
        <w:t xml:space="preserve">all </w:t>
      </w:r>
      <w:r w:rsidR="00AA0038">
        <w:t>about</w:t>
      </w:r>
      <w:r w:rsidR="002347CB">
        <w:t xml:space="preserve">. </w:t>
      </w:r>
    </w:p>
    <w:p w:rsidR="005C75A7" w:rsidRDefault="007E437D" w:rsidP="00A911D6">
      <w:pPr>
        <w:spacing w:after="0" w:line="360" w:lineRule="auto"/>
        <w:ind w:firstLine="720"/>
        <w:jc w:val="both"/>
      </w:pPr>
      <w:r>
        <w:t>Suffice it to reiterate that t</w:t>
      </w:r>
      <w:r w:rsidR="00E11349">
        <w:t>he</w:t>
      </w:r>
      <w:r w:rsidR="00AA0038">
        <w:t xml:space="preserve"> </w:t>
      </w:r>
      <w:r w:rsidR="00E11349">
        <w:t>deed</w:t>
      </w:r>
      <w:r w:rsidR="00AA0038">
        <w:t xml:space="preserve"> </w:t>
      </w:r>
      <w:r w:rsidR="00E11349">
        <w:t>was registered</w:t>
      </w:r>
      <w:r w:rsidR="00AA0038">
        <w:t xml:space="preserve"> </w:t>
      </w:r>
      <w:r w:rsidR="00E11349">
        <w:t>as</w:t>
      </w:r>
      <w:r w:rsidR="00AA0038">
        <w:t xml:space="preserve"> </w:t>
      </w:r>
      <w:r w:rsidR="00E11349">
        <w:t>an order of court</w:t>
      </w:r>
      <w:r w:rsidR="00AA0038">
        <w:t xml:space="preserve"> </w:t>
      </w:r>
      <w:r>
        <w:t>as</w:t>
      </w:r>
      <w:r w:rsidR="00E11349">
        <w:t xml:space="preserve"> case number HC 500</w:t>
      </w:r>
      <w:r w:rsidR="005C75A7">
        <w:t>0</w:t>
      </w:r>
      <w:r w:rsidR="00E11349">
        <w:t>/08B</w:t>
      </w:r>
      <w:r w:rsidR="00585065">
        <w:t xml:space="preserve"> </w:t>
      </w:r>
      <w:r w:rsidR="005C75A7">
        <w:t>and</w:t>
      </w:r>
      <w:r w:rsidR="00585065">
        <w:t xml:space="preserve"> </w:t>
      </w:r>
      <w:r w:rsidR="005C75A7">
        <w:t>this reference a</w:t>
      </w:r>
      <w:r w:rsidR="00AA0038">
        <w:t>ppears</w:t>
      </w:r>
      <w:r w:rsidR="00585065">
        <w:t xml:space="preserve"> </w:t>
      </w:r>
      <w:r w:rsidR="005C75A7">
        <w:t xml:space="preserve">clearly </w:t>
      </w:r>
      <w:r w:rsidR="00E11349">
        <w:t>on the order of the</w:t>
      </w:r>
      <w:r w:rsidR="00AA0038">
        <w:t xml:space="preserve"> </w:t>
      </w:r>
      <w:r w:rsidR="00E11349">
        <w:t>court registering that</w:t>
      </w:r>
      <w:r w:rsidR="00AA0038">
        <w:t xml:space="preserve"> </w:t>
      </w:r>
      <w:r w:rsidR="00E11349">
        <w:t xml:space="preserve">deed. </w:t>
      </w:r>
      <w:r w:rsidR="002347CB">
        <w:t>Notably</w:t>
      </w:r>
      <w:r>
        <w:t>,</w:t>
      </w:r>
      <w:r w:rsidR="002347CB">
        <w:t xml:space="preserve"> the</w:t>
      </w:r>
      <w:r w:rsidR="00AA0038">
        <w:t xml:space="preserve"> </w:t>
      </w:r>
      <w:r w:rsidR="002347CB">
        <w:t>letter</w:t>
      </w:r>
      <w:r w:rsidR="00E11349">
        <w:t xml:space="preserve"> from applicant’s legal practitioners</w:t>
      </w:r>
      <w:r w:rsidR="00AA0038">
        <w:t xml:space="preserve"> </w:t>
      </w:r>
      <w:r>
        <w:t>cited</w:t>
      </w:r>
      <w:r w:rsidR="005C75A7">
        <w:t xml:space="preserve"> this</w:t>
      </w:r>
      <w:r w:rsidR="002347CB">
        <w:t xml:space="preserve"> reference</w:t>
      </w:r>
      <w:r w:rsidR="00B8502A">
        <w:t xml:space="preserve"> as </w:t>
      </w:r>
      <w:r w:rsidR="00E11349">
        <w:t>reflected</w:t>
      </w:r>
      <w:r w:rsidR="00AA0038">
        <w:t xml:space="preserve"> </w:t>
      </w:r>
      <w:r w:rsidR="00E11349">
        <w:t>in</w:t>
      </w:r>
      <w:r w:rsidR="00AA0038">
        <w:t xml:space="preserve"> </w:t>
      </w:r>
      <w:r w:rsidR="006116C1">
        <w:t>that</w:t>
      </w:r>
      <w:r w:rsidR="002347CB">
        <w:t xml:space="preserve"> order</w:t>
      </w:r>
      <w:r w:rsidR="006116C1">
        <w:t>,</w:t>
      </w:r>
      <w:r w:rsidR="002347CB">
        <w:t xml:space="preserve"> namely HC 5000</w:t>
      </w:r>
      <w:r w:rsidR="00E11349">
        <w:t>/</w:t>
      </w:r>
      <w:r w:rsidR="002347CB">
        <w:t>8B</w:t>
      </w:r>
      <w:r w:rsidR="006116C1">
        <w:t>.</w:t>
      </w:r>
      <w:r w:rsidR="005C75A7">
        <w:t xml:space="preserve"> The</w:t>
      </w:r>
      <w:r w:rsidR="00585065">
        <w:t xml:space="preserve"> </w:t>
      </w:r>
      <w:r w:rsidR="005C75A7">
        <w:t>relevant part of the</w:t>
      </w:r>
      <w:r w:rsidR="00585065">
        <w:t xml:space="preserve"> </w:t>
      </w:r>
      <w:r w:rsidR="005C75A7">
        <w:t xml:space="preserve">letter </w:t>
      </w:r>
      <w:r w:rsidR="00F079BD">
        <w:t xml:space="preserve">dated 15 </w:t>
      </w:r>
      <w:r w:rsidR="00585065">
        <w:t>October</w:t>
      </w:r>
      <w:r w:rsidR="00F079BD">
        <w:t xml:space="preserve"> 2015</w:t>
      </w:r>
      <w:r w:rsidR="00585065">
        <w:t xml:space="preserve"> </w:t>
      </w:r>
      <w:r w:rsidR="00F079BD">
        <w:t xml:space="preserve">that I </w:t>
      </w:r>
      <w:r w:rsidR="005C75A7">
        <w:t>a</w:t>
      </w:r>
      <w:r w:rsidR="00F079BD">
        <w:t>m</w:t>
      </w:r>
      <w:r w:rsidR="00585065">
        <w:t xml:space="preserve"> </w:t>
      </w:r>
      <w:r w:rsidR="005C75A7">
        <w:t>referring to read:</w:t>
      </w:r>
    </w:p>
    <w:p w:rsidR="005C75A7" w:rsidRPr="005C75A7" w:rsidRDefault="005C75A7" w:rsidP="00F079BD">
      <w:pPr>
        <w:spacing w:line="360" w:lineRule="auto"/>
        <w:ind w:firstLine="720"/>
        <w:jc w:val="both"/>
        <w:rPr>
          <w:b/>
        </w:rPr>
      </w:pPr>
      <w:r w:rsidRPr="005C75A7">
        <w:rPr>
          <w:b/>
        </w:rPr>
        <w:t>“Re: Elizabeth Khaka and</w:t>
      </w:r>
      <w:r w:rsidR="00585065">
        <w:rPr>
          <w:b/>
        </w:rPr>
        <w:t xml:space="preserve"> </w:t>
      </w:r>
      <w:r w:rsidRPr="005C75A7">
        <w:rPr>
          <w:b/>
        </w:rPr>
        <w:t>Peter</w:t>
      </w:r>
      <w:r w:rsidR="00585065">
        <w:rPr>
          <w:b/>
        </w:rPr>
        <w:t xml:space="preserve"> </w:t>
      </w:r>
      <w:r w:rsidRPr="005C75A7">
        <w:rPr>
          <w:b/>
        </w:rPr>
        <w:t>Frederick</w:t>
      </w:r>
      <w:r w:rsidR="00585065">
        <w:rPr>
          <w:b/>
        </w:rPr>
        <w:t xml:space="preserve"> </w:t>
      </w:r>
      <w:r w:rsidRPr="005C75A7">
        <w:rPr>
          <w:b/>
        </w:rPr>
        <w:t>Rennie Case No.</w:t>
      </w:r>
      <w:r w:rsidR="00585065">
        <w:rPr>
          <w:b/>
        </w:rPr>
        <w:t xml:space="preserve"> </w:t>
      </w:r>
      <w:r w:rsidRPr="005C75A7">
        <w:rPr>
          <w:b/>
        </w:rPr>
        <w:t>HC 5000/08B”</w:t>
      </w:r>
    </w:p>
    <w:p w:rsidR="006642DA" w:rsidRDefault="00F079BD" w:rsidP="00F079BD">
      <w:pPr>
        <w:spacing w:line="360" w:lineRule="auto"/>
        <w:ind w:firstLine="720"/>
        <w:jc w:val="both"/>
      </w:pPr>
      <w:r>
        <w:t>As such, if</w:t>
      </w:r>
      <w:r w:rsidR="00585065">
        <w:t xml:space="preserve"> </w:t>
      </w:r>
      <w:r w:rsidR="005C75A7">
        <w:t>both the</w:t>
      </w:r>
      <w:r w:rsidR="00585065">
        <w:t xml:space="preserve"> </w:t>
      </w:r>
      <w:r w:rsidR="005C75A7">
        <w:t>practitioner and</w:t>
      </w:r>
      <w:r w:rsidR="00585065">
        <w:t xml:space="preserve"> </w:t>
      </w:r>
      <w:r w:rsidR="005C75A7">
        <w:t>his</w:t>
      </w:r>
      <w:r w:rsidR="00585065">
        <w:t xml:space="preserve"> </w:t>
      </w:r>
      <w:r w:rsidR="005C75A7">
        <w:t>client</w:t>
      </w:r>
      <w:r w:rsidR="00EF5169">
        <w:t xml:space="preserve"> </w:t>
      </w:r>
      <w:r w:rsidR="005C75A7">
        <w:t>knew</w:t>
      </w:r>
      <w:r w:rsidR="00EF5169">
        <w:t xml:space="preserve"> </w:t>
      </w:r>
      <w:r w:rsidR="005C75A7">
        <w:t>absolutely</w:t>
      </w:r>
      <w:r w:rsidR="00EF5169">
        <w:t xml:space="preserve"> </w:t>
      </w:r>
      <w:r w:rsidR="005C75A7">
        <w:t>nothing</w:t>
      </w:r>
      <w:r w:rsidR="00EF5169">
        <w:t xml:space="preserve"> </w:t>
      </w:r>
      <w:r>
        <w:t>about what</w:t>
      </w:r>
      <w:r w:rsidR="00EF5169">
        <w:t xml:space="preserve"> </w:t>
      </w:r>
      <w:r>
        <w:t>was being</w:t>
      </w:r>
      <w:r w:rsidR="00585065">
        <w:t xml:space="preserve"> </w:t>
      </w:r>
      <w:r>
        <w:t>attempted to be served</w:t>
      </w:r>
      <w:r w:rsidR="00585065">
        <w:t xml:space="preserve"> </w:t>
      </w:r>
      <w:r>
        <w:t>on</w:t>
      </w:r>
      <w:r w:rsidR="00585065">
        <w:t xml:space="preserve"> </w:t>
      </w:r>
      <w:r>
        <w:t>the applicant,</w:t>
      </w:r>
      <w:r w:rsidR="00EF5169">
        <w:t xml:space="preserve"> </w:t>
      </w:r>
      <w:r>
        <w:t xml:space="preserve">then </w:t>
      </w:r>
      <w:r w:rsidR="005C75A7">
        <w:t>it boggles</w:t>
      </w:r>
      <w:r w:rsidR="00EF5169">
        <w:t xml:space="preserve"> </w:t>
      </w:r>
      <w:r w:rsidR="005C75A7">
        <w:t>the mind</w:t>
      </w:r>
      <w:r w:rsidR="00EF5169">
        <w:t xml:space="preserve"> </w:t>
      </w:r>
      <w:r w:rsidR="005C75A7">
        <w:t>how</w:t>
      </w:r>
      <w:r w:rsidR="00EF5169">
        <w:t xml:space="preserve"> </w:t>
      </w:r>
      <w:r w:rsidR="005C75A7">
        <w:t>they</w:t>
      </w:r>
      <w:r w:rsidR="00585065">
        <w:t xml:space="preserve"> </w:t>
      </w:r>
      <w:r w:rsidR="005C75A7">
        <w:t>would</w:t>
      </w:r>
      <w:r w:rsidR="00EF5169">
        <w:t xml:space="preserve"> </w:t>
      </w:r>
      <w:r w:rsidR="005C75A7">
        <w:t>have</w:t>
      </w:r>
      <w:r w:rsidR="00EF5169">
        <w:t xml:space="preserve"> </w:t>
      </w:r>
      <w:r w:rsidR="005C75A7">
        <w:t>had</w:t>
      </w:r>
      <w:r w:rsidR="00585065">
        <w:t xml:space="preserve"> </w:t>
      </w:r>
      <w:r>
        <w:t>in their</w:t>
      </w:r>
      <w:r w:rsidR="00EF5169">
        <w:t xml:space="preserve"> </w:t>
      </w:r>
      <w:r>
        <w:t>possession</w:t>
      </w:r>
      <w:r w:rsidR="00585065">
        <w:t xml:space="preserve"> </w:t>
      </w:r>
      <w:r w:rsidR="005C75A7">
        <w:t>the</w:t>
      </w:r>
      <w:r w:rsidR="00EF5169">
        <w:t xml:space="preserve"> </w:t>
      </w:r>
      <w:r w:rsidR="005C75A7">
        <w:t>very</w:t>
      </w:r>
      <w:r w:rsidR="00EF5169">
        <w:t xml:space="preserve"> </w:t>
      </w:r>
      <w:r w:rsidR="005C75A7">
        <w:t>citation</w:t>
      </w:r>
      <w:r w:rsidR="00585065">
        <w:t xml:space="preserve"> </w:t>
      </w:r>
      <w:r>
        <w:t>that</w:t>
      </w:r>
      <w:r w:rsidR="00585065">
        <w:t xml:space="preserve"> </w:t>
      </w:r>
      <w:r>
        <w:t>appears on the</w:t>
      </w:r>
      <w:r w:rsidR="00585065">
        <w:t xml:space="preserve"> </w:t>
      </w:r>
      <w:r w:rsidR="005C75A7">
        <w:t>order</w:t>
      </w:r>
      <w:r w:rsidR="00585065">
        <w:t xml:space="preserve"> </w:t>
      </w:r>
      <w:r w:rsidR="005C75A7">
        <w:t>that</w:t>
      </w:r>
      <w:r w:rsidR="00EF5169">
        <w:t xml:space="preserve"> </w:t>
      </w:r>
      <w:r w:rsidR="005C75A7">
        <w:t>was the</w:t>
      </w:r>
      <w:r w:rsidR="00585065">
        <w:t xml:space="preserve"> </w:t>
      </w:r>
      <w:r w:rsidR="005C75A7">
        <w:t>subject</w:t>
      </w:r>
      <w:r w:rsidR="00585065">
        <w:t xml:space="preserve"> </w:t>
      </w:r>
      <w:r w:rsidR="005C75A7">
        <w:t xml:space="preserve">matter of </w:t>
      </w:r>
      <w:r w:rsidR="005C75A7">
        <w:lastRenderedPageBreak/>
        <w:t>the contempt</w:t>
      </w:r>
      <w:r>
        <w:t xml:space="preserve"> proceedings</w:t>
      </w:r>
      <w:r w:rsidR="005C75A7">
        <w:t>.</w:t>
      </w:r>
      <w:r w:rsidR="006116C1">
        <w:t xml:space="preserve"> Whilst the</w:t>
      </w:r>
      <w:r w:rsidR="00AA0038">
        <w:t xml:space="preserve"> writer</w:t>
      </w:r>
      <w:r w:rsidR="00AD7400">
        <w:t xml:space="preserve"> of that</w:t>
      </w:r>
      <w:r w:rsidR="00AA0038">
        <w:t xml:space="preserve"> </w:t>
      </w:r>
      <w:r w:rsidR="006116C1">
        <w:t>letter feigned ignorance</w:t>
      </w:r>
      <w:r w:rsidR="00AA0038">
        <w:t xml:space="preserve"> </w:t>
      </w:r>
      <w:r w:rsidR="00AD7400">
        <w:t>of</w:t>
      </w:r>
      <w:r w:rsidR="006116C1">
        <w:t xml:space="preserve"> what the case</w:t>
      </w:r>
      <w:r w:rsidR="00AA0038">
        <w:t xml:space="preserve"> </w:t>
      </w:r>
      <w:r w:rsidR="006116C1">
        <w:t>was about,</w:t>
      </w:r>
      <w:r w:rsidR="00AA0038">
        <w:t xml:space="preserve"> </w:t>
      </w:r>
      <w:r w:rsidR="006116C1">
        <w:t xml:space="preserve">it is </w:t>
      </w:r>
      <w:r w:rsidR="00AA0038">
        <w:t>eviden</w:t>
      </w:r>
      <w:r w:rsidR="00FB5C30">
        <w:t>t</w:t>
      </w:r>
      <w:r w:rsidR="006116C1">
        <w:t xml:space="preserve"> </w:t>
      </w:r>
      <w:r w:rsidR="00AA0038">
        <w:t>that</w:t>
      </w:r>
      <w:r w:rsidR="006116C1">
        <w:t xml:space="preserve"> Mr </w:t>
      </w:r>
      <w:r w:rsidR="00AA0038">
        <w:t xml:space="preserve">Rennie </w:t>
      </w:r>
      <w:r w:rsidR="006116C1">
        <w:t>would</w:t>
      </w:r>
      <w:r w:rsidR="00AD7400">
        <w:t xml:space="preserve"> certainly</w:t>
      </w:r>
      <w:r w:rsidR="006116C1">
        <w:t xml:space="preserve"> have</w:t>
      </w:r>
      <w:r w:rsidR="00AA0038">
        <w:t xml:space="preserve"> </w:t>
      </w:r>
      <w:r w:rsidR="006116C1">
        <w:t>known what the</w:t>
      </w:r>
      <w:r w:rsidR="00AA0038">
        <w:t xml:space="preserve"> </w:t>
      </w:r>
      <w:r w:rsidR="006116C1">
        <w:t>case</w:t>
      </w:r>
      <w:r w:rsidR="00AA0038">
        <w:t xml:space="preserve"> </w:t>
      </w:r>
      <w:r w:rsidR="006116C1">
        <w:t>was</w:t>
      </w:r>
      <w:r w:rsidR="00AA0038">
        <w:t xml:space="preserve"> </w:t>
      </w:r>
      <w:r>
        <w:t>about as</w:t>
      </w:r>
      <w:r w:rsidR="00585065">
        <w:t xml:space="preserve"> </w:t>
      </w:r>
      <w:r w:rsidR="006116C1">
        <w:t>most likely</w:t>
      </w:r>
      <w:r w:rsidR="00AD7400">
        <w:t xml:space="preserve"> </w:t>
      </w:r>
      <w:r w:rsidR="007E437D">
        <w:t xml:space="preserve">was </w:t>
      </w:r>
      <w:r w:rsidR="00AD7400">
        <w:t>the case with</w:t>
      </w:r>
      <w:r w:rsidR="006116C1">
        <w:t xml:space="preserve"> his practitioner</w:t>
      </w:r>
      <w:r w:rsidR="00AD7400">
        <w:t xml:space="preserve"> at the time</w:t>
      </w:r>
      <w:r w:rsidR="00892B01">
        <w:t xml:space="preserve"> </w:t>
      </w:r>
      <w:r w:rsidR="00AD7400">
        <w:t>the letter</w:t>
      </w:r>
      <w:r w:rsidR="00892B01">
        <w:t xml:space="preserve"> </w:t>
      </w:r>
      <w:r w:rsidR="00AD7400">
        <w:t>was penned</w:t>
      </w:r>
      <w:r w:rsidR="006116C1">
        <w:t>.</w:t>
      </w:r>
      <w:r w:rsidR="00AD7400">
        <w:t xml:space="preserve"> Indeed</w:t>
      </w:r>
      <w:r w:rsidR="00892B01">
        <w:t xml:space="preserve"> </w:t>
      </w:r>
      <w:r w:rsidR="00AD7400">
        <w:t>the citation</w:t>
      </w:r>
      <w:r w:rsidR="00892B01">
        <w:t xml:space="preserve"> </w:t>
      </w:r>
      <w:r w:rsidR="007E437D">
        <w:t xml:space="preserve">revealed sight of </w:t>
      </w:r>
      <w:r w:rsidR="00AD7400">
        <w:t>relevant documents.</w:t>
      </w:r>
      <w:r>
        <w:t xml:space="preserve"> The </w:t>
      </w:r>
      <w:r w:rsidR="00585065">
        <w:t>enquiry as to</w:t>
      </w:r>
      <w:r>
        <w:t xml:space="preserve"> what the</w:t>
      </w:r>
      <w:r w:rsidR="00585065">
        <w:t xml:space="preserve"> case</w:t>
      </w:r>
      <w:r>
        <w:t xml:space="preserve"> was </w:t>
      </w:r>
      <w:r w:rsidR="00585065">
        <w:t>about</w:t>
      </w:r>
      <w:r w:rsidR="00AD7400">
        <w:t xml:space="preserve">, </w:t>
      </w:r>
      <w:r w:rsidR="00585065">
        <w:t xml:space="preserve">was </w:t>
      </w:r>
      <w:r>
        <w:t>merely</w:t>
      </w:r>
      <w:r w:rsidR="00AD7400">
        <w:t xml:space="preserve"> a</w:t>
      </w:r>
      <w:r w:rsidR="00585065">
        <w:t xml:space="preserve"> </w:t>
      </w:r>
      <w:r w:rsidR="007E437D">
        <w:t>“</w:t>
      </w:r>
      <w:r>
        <w:t>smoke screen and mirrors</w:t>
      </w:r>
      <w:r w:rsidR="007E437D">
        <w:t>”</w:t>
      </w:r>
      <w:r w:rsidR="00892B01">
        <w:t xml:space="preserve"> </w:t>
      </w:r>
      <w:r w:rsidR="00AD7400">
        <w:t>tactic</w:t>
      </w:r>
      <w:r w:rsidR="00533884">
        <w:t>,</w:t>
      </w:r>
      <w:r w:rsidR="00892B01">
        <w:t xml:space="preserve"> </w:t>
      </w:r>
      <w:r w:rsidR="00AD7400">
        <w:t>simply</w:t>
      </w:r>
      <w:r w:rsidR="00892B01">
        <w:t xml:space="preserve"> </w:t>
      </w:r>
      <w:r w:rsidR="00AD7400">
        <w:t>because revelation of knowledge</w:t>
      </w:r>
      <w:r w:rsidR="00B16935">
        <w:t xml:space="preserve"> </w:t>
      </w:r>
      <w:r w:rsidR="007E437D">
        <w:t xml:space="preserve">of the judgment </w:t>
      </w:r>
      <w:r>
        <w:t xml:space="preserve">would have raised the issue </w:t>
      </w:r>
      <w:r w:rsidR="00585065">
        <w:t>of</w:t>
      </w:r>
      <w:r>
        <w:t xml:space="preserve"> </w:t>
      </w:r>
      <w:r w:rsidR="00585065">
        <w:t>when the applicant got</w:t>
      </w:r>
      <w:r>
        <w:t xml:space="preserve"> to </w:t>
      </w:r>
      <w:r w:rsidR="00585065">
        <w:t>know</w:t>
      </w:r>
      <w:r>
        <w:t xml:space="preserve"> of the judgment.</w:t>
      </w:r>
      <w:r w:rsidR="00585065">
        <w:t xml:space="preserve"> </w:t>
      </w:r>
      <w:r w:rsidR="006116C1">
        <w:t>This court</w:t>
      </w:r>
      <w:r w:rsidR="00585065">
        <w:t xml:space="preserve"> </w:t>
      </w:r>
      <w:r>
        <w:t>was</w:t>
      </w:r>
      <w:r w:rsidR="00585065">
        <w:t xml:space="preserve"> </w:t>
      </w:r>
      <w:r w:rsidR="00AA0038">
        <w:t>not</w:t>
      </w:r>
      <w:r w:rsidR="006116C1">
        <w:t xml:space="preserve"> persuaded that</w:t>
      </w:r>
      <w:r w:rsidR="00AA0038">
        <w:t xml:space="preserve"> </w:t>
      </w:r>
      <w:r w:rsidR="006116C1">
        <w:t>the</w:t>
      </w:r>
      <w:r w:rsidR="00AA0038">
        <w:t xml:space="preserve"> </w:t>
      </w:r>
      <w:r w:rsidR="006116C1">
        <w:t>applicant</w:t>
      </w:r>
      <w:r w:rsidR="00AA0038">
        <w:t xml:space="preserve"> </w:t>
      </w:r>
      <w:r>
        <w:t>wa</w:t>
      </w:r>
      <w:r w:rsidR="006116C1">
        <w:t>s being</w:t>
      </w:r>
      <w:r w:rsidR="00AA0038">
        <w:t xml:space="preserve"> </w:t>
      </w:r>
      <w:r w:rsidR="006116C1">
        <w:t>truthful when he</w:t>
      </w:r>
      <w:r w:rsidR="00AA0038">
        <w:t xml:space="preserve"> </w:t>
      </w:r>
      <w:r w:rsidR="006116C1">
        <w:t>sa</w:t>
      </w:r>
      <w:r w:rsidR="00AD7400">
        <w:t>id t</w:t>
      </w:r>
      <w:r w:rsidR="006116C1">
        <w:t>hat he only</w:t>
      </w:r>
      <w:r w:rsidR="00AA0038">
        <w:t xml:space="preserve"> </w:t>
      </w:r>
      <w:r w:rsidR="006116C1">
        <w:t>got to know</w:t>
      </w:r>
      <w:r w:rsidR="00AA0038">
        <w:t xml:space="preserve"> </w:t>
      </w:r>
      <w:r w:rsidR="006116C1">
        <w:t>about the</w:t>
      </w:r>
      <w:r w:rsidR="00AA0038">
        <w:t xml:space="preserve"> </w:t>
      </w:r>
      <w:r w:rsidR="006116C1">
        <w:t xml:space="preserve">rescission on </w:t>
      </w:r>
      <w:r w:rsidR="00A911D6">
        <w:t>10</w:t>
      </w:r>
      <w:r w:rsidR="00AA0038">
        <w:t xml:space="preserve"> </w:t>
      </w:r>
      <w:r w:rsidR="006116C1">
        <w:t>November</w:t>
      </w:r>
      <w:r w:rsidR="00AD7400">
        <w:t xml:space="preserve"> 2015</w:t>
      </w:r>
      <w:r w:rsidR="006116C1">
        <w:t>.</w:t>
      </w:r>
      <w:r w:rsidR="004877A3">
        <w:t xml:space="preserve"> It would</w:t>
      </w:r>
      <w:r w:rsidR="00AA0038">
        <w:t xml:space="preserve"> </w:t>
      </w:r>
      <w:r w:rsidR="004877A3">
        <w:t>appear t</w:t>
      </w:r>
      <w:r w:rsidR="00C71411">
        <w:t>he</w:t>
      </w:r>
      <w:r w:rsidR="00AA0038">
        <w:t xml:space="preserve"> </w:t>
      </w:r>
      <w:r w:rsidR="00C71411">
        <w:t>statement</w:t>
      </w:r>
      <w:r w:rsidR="00AA0038">
        <w:t xml:space="preserve"> </w:t>
      </w:r>
      <w:r w:rsidR="004877A3">
        <w:t>was</w:t>
      </w:r>
      <w:r w:rsidR="00AA0038">
        <w:t xml:space="preserve"> </w:t>
      </w:r>
      <w:r w:rsidR="004877A3">
        <w:t>deliberately</w:t>
      </w:r>
      <w:r w:rsidR="00AA0038">
        <w:t xml:space="preserve"> </w:t>
      </w:r>
      <w:r w:rsidR="004877A3">
        <w:t>factored in</w:t>
      </w:r>
      <w:r w:rsidR="007E437D">
        <w:t>to the enquiry</w:t>
      </w:r>
      <w:r w:rsidR="00AA0038">
        <w:t xml:space="preserve"> </w:t>
      </w:r>
      <w:r w:rsidR="004877A3">
        <w:t>well knowing that</w:t>
      </w:r>
      <w:r w:rsidR="00AA0038">
        <w:t xml:space="preserve"> </w:t>
      </w:r>
      <w:r w:rsidR="004877A3">
        <w:t>rescission</w:t>
      </w:r>
      <w:r w:rsidR="00AA0038">
        <w:t xml:space="preserve"> </w:t>
      </w:r>
      <w:r w:rsidR="004877A3">
        <w:t>is</w:t>
      </w:r>
      <w:r w:rsidR="00AA0038">
        <w:t xml:space="preserve"> </w:t>
      </w:r>
      <w:r w:rsidR="004877A3">
        <w:t>time bound.</w:t>
      </w:r>
      <w:r w:rsidR="00AA0038">
        <w:t xml:space="preserve"> </w:t>
      </w:r>
      <w:r w:rsidR="004877A3">
        <w:t>Applicant</w:t>
      </w:r>
      <w:r w:rsidR="00AA0038">
        <w:t xml:space="preserve"> </w:t>
      </w:r>
      <w:r w:rsidR="004877A3">
        <w:t>clearly needed</w:t>
      </w:r>
      <w:r w:rsidR="00AA0038">
        <w:t xml:space="preserve"> </w:t>
      </w:r>
      <w:r w:rsidR="004877A3">
        <w:t>to make</w:t>
      </w:r>
      <w:r w:rsidR="00AA0038">
        <w:t xml:space="preserve"> </w:t>
      </w:r>
      <w:r w:rsidR="004877A3">
        <w:t>an application</w:t>
      </w:r>
      <w:r w:rsidR="00AA0038">
        <w:t xml:space="preserve"> </w:t>
      </w:r>
      <w:r w:rsidR="004877A3">
        <w:t xml:space="preserve">for </w:t>
      </w:r>
      <w:r w:rsidR="00140111">
        <w:t>condonation of</w:t>
      </w:r>
      <w:r w:rsidR="004877A3">
        <w:t xml:space="preserve"> </w:t>
      </w:r>
      <w:r w:rsidR="00140111">
        <w:t>late</w:t>
      </w:r>
      <w:r w:rsidR="004877A3">
        <w:t xml:space="preserve"> filing of the</w:t>
      </w:r>
      <w:r w:rsidR="00AA0038">
        <w:t xml:space="preserve"> </w:t>
      </w:r>
      <w:r w:rsidR="004877A3">
        <w:t>application</w:t>
      </w:r>
      <w:r w:rsidR="00AA0038">
        <w:t xml:space="preserve"> </w:t>
      </w:r>
      <w:r w:rsidR="004877A3">
        <w:t>for rescission</w:t>
      </w:r>
      <w:r w:rsidR="00AD7400">
        <w:t xml:space="preserve"> as the documents on record</w:t>
      </w:r>
      <w:r w:rsidR="00892B01">
        <w:t xml:space="preserve"> </w:t>
      </w:r>
      <w:r w:rsidR="00AD7400">
        <w:t>indeed</w:t>
      </w:r>
      <w:r w:rsidR="00892B01">
        <w:t xml:space="preserve"> </w:t>
      </w:r>
      <w:r w:rsidR="00AD7400">
        <w:t>suggested that</w:t>
      </w:r>
      <w:r w:rsidR="00892B01">
        <w:t xml:space="preserve"> </w:t>
      </w:r>
      <w:r w:rsidR="00AD7400">
        <w:t>by the</w:t>
      </w:r>
      <w:r w:rsidR="00892B01">
        <w:t xml:space="preserve"> </w:t>
      </w:r>
      <w:r w:rsidR="00AD7400">
        <w:t>time</w:t>
      </w:r>
      <w:r w:rsidR="00892B01">
        <w:t xml:space="preserve"> </w:t>
      </w:r>
      <w:r w:rsidR="00AD7400">
        <w:t>the letter</w:t>
      </w:r>
      <w:r w:rsidR="00892B01">
        <w:t xml:space="preserve"> </w:t>
      </w:r>
      <w:r w:rsidR="00AD7400">
        <w:t>of the</w:t>
      </w:r>
      <w:r w:rsidR="00892B01">
        <w:t xml:space="preserve"> </w:t>
      </w:r>
      <w:r w:rsidR="00AD7400">
        <w:t>15</w:t>
      </w:r>
      <w:r w:rsidR="00AD7400" w:rsidRPr="00AD7400">
        <w:rPr>
          <w:vertAlign w:val="superscript"/>
        </w:rPr>
        <w:t>th</w:t>
      </w:r>
      <w:r w:rsidR="00892B01">
        <w:t xml:space="preserve"> </w:t>
      </w:r>
      <w:r w:rsidR="00AD7400">
        <w:t>was penned</w:t>
      </w:r>
      <w:r w:rsidR="00892B01">
        <w:t xml:space="preserve"> </w:t>
      </w:r>
      <w:r w:rsidR="00AD7400">
        <w:t>he</w:t>
      </w:r>
      <w:r w:rsidR="00892B01">
        <w:t xml:space="preserve"> </w:t>
      </w:r>
      <w:r w:rsidR="00AD7400">
        <w:t>knew</w:t>
      </w:r>
      <w:r w:rsidR="00892B01">
        <w:t xml:space="preserve"> </w:t>
      </w:r>
      <w:r w:rsidR="00AD7400">
        <w:t>very well what the matter was</w:t>
      </w:r>
      <w:r w:rsidR="00892B01">
        <w:t xml:space="preserve"> </w:t>
      </w:r>
      <w:r w:rsidR="00AD7400">
        <w:t>about</w:t>
      </w:r>
      <w:r w:rsidR="004877A3">
        <w:t>.</w:t>
      </w:r>
    </w:p>
    <w:p w:rsidR="00FB5C30" w:rsidRPr="00FB5C30" w:rsidRDefault="00FB5C30" w:rsidP="00FB5C3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Good an</w:t>
      </w:r>
      <w:r w:rsidR="00AD7400">
        <w:rPr>
          <w:b/>
          <w:u w:val="single"/>
        </w:rPr>
        <w:t>d</w:t>
      </w:r>
      <w:r>
        <w:rPr>
          <w:b/>
          <w:u w:val="single"/>
        </w:rPr>
        <w:t xml:space="preserve"> sufficient cause</w:t>
      </w:r>
    </w:p>
    <w:p w:rsidR="0086156D" w:rsidRDefault="0098249F" w:rsidP="0086156D">
      <w:pPr>
        <w:spacing w:line="360" w:lineRule="auto"/>
        <w:ind w:firstLine="720"/>
        <w:jc w:val="both"/>
      </w:pPr>
      <w:r>
        <w:t>Second</w:t>
      </w:r>
      <w:r w:rsidR="00942B86">
        <w:t>l</w:t>
      </w:r>
      <w:r>
        <w:t>y</w:t>
      </w:r>
      <w:r w:rsidR="004877A3">
        <w:t>,</w:t>
      </w:r>
      <w:r>
        <w:t xml:space="preserve"> an</w:t>
      </w:r>
      <w:r w:rsidR="00942B86">
        <w:t xml:space="preserve"> </w:t>
      </w:r>
      <w:r>
        <w:t>application</w:t>
      </w:r>
      <w:r w:rsidR="00AA0038">
        <w:t xml:space="preserve"> </w:t>
      </w:r>
      <w:r w:rsidR="004877A3">
        <w:t>for rescission</w:t>
      </w:r>
      <w:r w:rsidR="00F079BD">
        <w:t>,</w:t>
      </w:r>
      <w:r w:rsidR="00AA0038">
        <w:t xml:space="preserve"> </w:t>
      </w:r>
      <w:r w:rsidR="004877A3">
        <w:t>assuming</w:t>
      </w:r>
      <w:r w:rsidR="00AA0038">
        <w:t xml:space="preserve"> </w:t>
      </w:r>
      <w:r w:rsidR="004877A3">
        <w:t>it is</w:t>
      </w:r>
      <w:r w:rsidR="00AA0038">
        <w:t xml:space="preserve"> </w:t>
      </w:r>
      <w:r w:rsidR="004877A3">
        <w:t>timeously made</w:t>
      </w:r>
      <w:r w:rsidR="00F079BD">
        <w:t>,</w:t>
      </w:r>
      <w:r w:rsidR="004877A3">
        <w:t xml:space="preserve"> </w:t>
      </w:r>
      <w:r w:rsidR="00942B86">
        <w:t>will</w:t>
      </w:r>
      <w:r>
        <w:t xml:space="preserve"> be granted if there is</w:t>
      </w:r>
      <w:r w:rsidR="00942B86">
        <w:t xml:space="preserve"> </w:t>
      </w:r>
      <w:r>
        <w:t>good and</w:t>
      </w:r>
      <w:r w:rsidR="00942B86">
        <w:t xml:space="preserve"> </w:t>
      </w:r>
      <w:r>
        <w:t>sufficient</w:t>
      </w:r>
      <w:r w:rsidR="00942B86">
        <w:t xml:space="preserve"> cause,</w:t>
      </w:r>
      <w:r>
        <w:t xml:space="preserve"> taking</w:t>
      </w:r>
      <w:r w:rsidR="00942B86">
        <w:t xml:space="preserve"> </w:t>
      </w:r>
      <w:r>
        <w:t>into</w:t>
      </w:r>
      <w:r w:rsidR="00942B86">
        <w:t xml:space="preserve"> </w:t>
      </w:r>
      <w:r>
        <w:t xml:space="preserve">account the </w:t>
      </w:r>
      <w:r w:rsidR="00140111">
        <w:t>reasonableness</w:t>
      </w:r>
      <w:r>
        <w:t xml:space="preserve"> of the </w:t>
      </w:r>
      <w:r w:rsidR="00942B86">
        <w:t>explanation</w:t>
      </w:r>
      <w:r>
        <w:t xml:space="preserve"> for the</w:t>
      </w:r>
      <w:r w:rsidR="00942B86">
        <w:t xml:space="preserve"> </w:t>
      </w:r>
      <w:r>
        <w:t>default.</w:t>
      </w:r>
      <w:r w:rsidR="00AA0038">
        <w:t xml:space="preserve"> </w:t>
      </w:r>
      <w:r w:rsidR="004877A3">
        <w:t>The applicant’s</w:t>
      </w:r>
      <w:r w:rsidR="00AA0038">
        <w:t xml:space="preserve"> </w:t>
      </w:r>
      <w:r w:rsidR="004877A3">
        <w:t>explanation</w:t>
      </w:r>
      <w:r w:rsidR="00AA0038">
        <w:t xml:space="preserve"> </w:t>
      </w:r>
      <w:r w:rsidR="00C71411">
        <w:t>for</w:t>
      </w:r>
      <w:r w:rsidR="00AA0038">
        <w:t xml:space="preserve"> </w:t>
      </w:r>
      <w:r w:rsidR="00C71411">
        <w:t>not</w:t>
      </w:r>
      <w:r w:rsidR="00AA0038">
        <w:t xml:space="preserve"> </w:t>
      </w:r>
      <w:r w:rsidR="00C71411">
        <w:t>reacting to the</w:t>
      </w:r>
      <w:r w:rsidR="00AA0038">
        <w:t xml:space="preserve"> </w:t>
      </w:r>
      <w:r w:rsidR="00C71411">
        <w:t>court</w:t>
      </w:r>
      <w:r w:rsidR="00AA0038">
        <w:t xml:space="preserve"> </w:t>
      </w:r>
      <w:r w:rsidR="00C71411">
        <w:t>process that</w:t>
      </w:r>
      <w:r w:rsidR="00AA0038">
        <w:t xml:space="preserve"> </w:t>
      </w:r>
      <w:r w:rsidR="00140111">
        <w:t>resulted</w:t>
      </w:r>
      <w:r w:rsidR="00C71411">
        <w:t xml:space="preserve"> in the application for</w:t>
      </w:r>
      <w:r w:rsidR="00AA0038">
        <w:t xml:space="preserve"> </w:t>
      </w:r>
      <w:r w:rsidR="00140111">
        <w:t>contempt</w:t>
      </w:r>
      <w:r w:rsidR="00C71411">
        <w:t xml:space="preserve"> </w:t>
      </w:r>
      <w:r w:rsidR="00F079BD">
        <w:t>wa</w:t>
      </w:r>
      <w:r w:rsidR="004877A3">
        <w:t>s that</w:t>
      </w:r>
      <w:r w:rsidR="00AA0038">
        <w:t xml:space="preserve"> </w:t>
      </w:r>
      <w:r w:rsidR="004877A3">
        <w:t>he never received</w:t>
      </w:r>
      <w:r w:rsidR="00AA0038">
        <w:t xml:space="preserve"> </w:t>
      </w:r>
      <w:r w:rsidR="004877A3">
        <w:t>notification of the</w:t>
      </w:r>
      <w:r w:rsidR="00AA0038">
        <w:t xml:space="preserve"> </w:t>
      </w:r>
      <w:r w:rsidR="004877A3">
        <w:t>application to</w:t>
      </w:r>
      <w:r w:rsidR="00AA0038">
        <w:t xml:space="preserve"> </w:t>
      </w:r>
      <w:r w:rsidR="004877A3">
        <w:t xml:space="preserve">register </w:t>
      </w:r>
      <w:r w:rsidR="00AD7400">
        <w:t xml:space="preserve">the deed </w:t>
      </w:r>
      <w:r w:rsidR="004877A3">
        <w:t>in 2012</w:t>
      </w:r>
      <w:r w:rsidR="00F079BD">
        <w:t>. He</w:t>
      </w:r>
      <w:r w:rsidR="004877A3">
        <w:t xml:space="preserve"> put</w:t>
      </w:r>
      <w:r w:rsidR="00AA0038">
        <w:t xml:space="preserve"> </w:t>
      </w:r>
      <w:r w:rsidR="004877A3">
        <w:t>the</w:t>
      </w:r>
      <w:r w:rsidR="00AA0038">
        <w:t xml:space="preserve"> </w:t>
      </w:r>
      <w:r w:rsidR="00140111">
        <w:t>blame</w:t>
      </w:r>
      <w:r w:rsidR="004877A3">
        <w:t xml:space="preserve"> </w:t>
      </w:r>
      <w:r w:rsidR="00C71411">
        <w:t>on</w:t>
      </w:r>
      <w:r w:rsidR="004877A3">
        <w:t xml:space="preserve"> the failure</w:t>
      </w:r>
      <w:r w:rsidR="00AA0038">
        <w:t xml:space="preserve"> </w:t>
      </w:r>
      <w:r w:rsidR="004877A3">
        <w:t>of the</w:t>
      </w:r>
      <w:r w:rsidR="00AA0038">
        <w:t xml:space="preserve"> </w:t>
      </w:r>
      <w:r w:rsidR="004877A3">
        <w:t>domestic</w:t>
      </w:r>
      <w:r w:rsidR="00AA0038">
        <w:t xml:space="preserve"> </w:t>
      </w:r>
      <w:r w:rsidR="004877A3">
        <w:t>help</w:t>
      </w:r>
      <w:r w:rsidR="00FB5C30">
        <w:t>er</w:t>
      </w:r>
      <w:r w:rsidR="004877A3">
        <w:t xml:space="preserve"> to</w:t>
      </w:r>
      <w:r w:rsidR="00AA0038">
        <w:t xml:space="preserve"> </w:t>
      </w:r>
      <w:r w:rsidR="004877A3">
        <w:t>bring</w:t>
      </w:r>
      <w:r w:rsidR="00AA0038">
        <w:t xml:space="preserve"> </w:t>
      </w:r>
      <w:r w:rsidR="004877A3">
        <w:t>the</w:t>
      </w:r>
      <w:r w:rsidR="00AA0038">
        <w:t xml:space="preserve"> </w:t>
      </w:r>
      <w:r w:rsidR="004877A3">
        <w:t xml:space="preserve">court </w:t>
      </w:r>
      <w:r w:rsidR="00140111">
        <w:t>papers</w:t>
      </w:r>
      <w:r w:rsidR="004877A3">
        <w:t xml:space="preserve"> to his</w:t>
      </w:r>
      <w:r w:rsidR="00AA0038">
        <w:t xml:space="preserve"> </w:t>
      </w:r>
      <w:r w:rsidR="004877A3">
        <w:t>attention.</w:t>
      </w:r>
      <w:r w:rsidR="00AA0038">
        <w:t xml:space="preserve"> </w:t>
      </w:r>
      <w:r w:rsidR="00E82668">
        <w:t>This is a tired</w:t>
      </w:r>
      <w:r w:rsidR="00AA0038">
        <w:t xml:space="preserve"> </w:t>
      </w:r>
      <w:r w:rsidR="00C71411">
        <w:t xml:space="preserve">and often </w:t>
      </w:r>
      <w:r w:rsidR="00140111">
        <w:t>condescending</w:t>
      </w:r>
      <w:r w:rsidR="00AA0038">
        <w:t xml:space="preserve"> </w:t>
      </w:r>
      <w:r w:rsidR="00140111">
        <w:t>explanation</w:t>
      </w:r>
      <w:r w:rsidR="00C71411">
        <w:t xml:space="preserve"> that</w:t>
      </w:r>
      <w:r w:rsidR="00AA0038">
        <w:t xml:space="preserve"> </w:t>
      </w:r>
      <w:r w:rsidR="00C71411">
        <w:t>the</w:t>
      </w:r>
      <w:r w:rsidR="00AA0038">
        <w:t xml:space="preserve"> </w:t>
      </w:r>
      <w:r w:rsidR="00C71411">
        <w:t>courts</w:t>
      </w:r>
      <w:r w:rsidR="00AA0038">
        <w:t xml:space="preserve"> </w:t>
      </w:r>
      <w:r w:rsidR="00C71411">
        <w:t>hear</w:t>
      </w:r>
      <w:r w:rsidR="00AA0038">
        <w:t xml:space="preserve"> </w:t>
      </w:r>
      <w:r w:rsidR="00E82668">
        <w:t>time</w:t>
      </w:r>
      <w:r w:rsidR="00AA0038">
        <w:t xml:space="preserve"> </w:t>
      </w:r>
      <w:r w:rsidR="00E82668">
        <w:t xml:space="preserve">and time </w:t>
      </w:r>
      <w:r w:rsidR="00140111">
        <w:t>again where</w:t>
      </w:r>
      <w:r w:rsidR="00AA0038">
        <w:t xml:space="preserve"> </w:t>
      </w:r>
      <w:r w:rsidR="00E82668">
        <w:t>all blame is</w:t>
      </w:r>
      <w:r w:rsidR="00AA0038">
        <w:t xml:space="preserve"> </w:t>
      </w:r>
      <w:r w:rsidR="00E82668">
        <w:t>heaped on the stereotypical</w:t>
      </w:r>
      <w:r w:rsidR="00AA0038">
        <w:t xml:space="preserve"> </w:t>
      </w:r>
      <w:r w:rsidR="00140111">
        <w:t>dowdy</w:t>
      </w:r>
      <w:r w:rsidR="00AA0038">
        <w:t xml:space="preserve"> </w:t>
      </w:r>
      <w:r w:rsidR="00E82668">
        <w:t>domestic</w:t>
      </w:r>
      <w:r w:rsidR="00EF5169">
        <w:t xml:space="preserve"> </w:t>
      </w:r>
      <w:r w:rsidR="00FB5C30">
        <w:t>helper</w:t>
      </w:r>
      <w:r w:rsidR="006401D6">
        <w:t xml:space="preserve"> who is</w:t>
      </w:r>
      <w:r w:rsidR="00FB5C30">
        <w:t xml:space="preserve"> </w:t>
      </w:r>
      <w:r w:rsidR="00E82668">
        <w:t>without</w:t>
      </w:r>
      <w:r w:rsidR="00AA0038">
        <w:t xml:space="preserve"> </w:t>
      </w:r>
      <w:r w:rsidR="00E82668">
        <w:t>enough</w:t>
      </w:r>
      <w:r w:rsidR="00585065">
        <w:t xml:space="preserve"> </w:t>
      </w:r>
      <w:r w:rsidR="00E478E1">
        <w:t>wits</w:t>
      </w:r>
      <w:r w:rsidR="00585065">
        <w:t xml:space="preserve"> </w:t>
      </w:r>
      <w:r w:rsidR="00E478E1">
        <w:t xml:space="preserve">or </w:t>
      </w:r>
      <w:r w:rsidR="00C71411">
        <w:t>literacy</w:t>
      </w:r>
      <w:r w:rsidR="00AA0038">
        <w:t xml:space="preserve"> </w:t>
      </w:r>
      <w:r w:rsidR="006401D6">
        <w:t xml:space="preserve">skills </w:t>
      </w:r>
      <w:r w:rsidR="00E82668">
        <w:t>to</w:t>
      </w:r>
      <w:r w:rsidR="00AA0038">
        <w:t xml:space="preserve"> </w:t>
      </w:r>
      <w:r w:rsidR="00E82668">
        <w:t>recognise</w:t>
      </w:r>
      <w:r w:rsidR="00AA0038">
        <w:t xml:space="preserve"> </w:t>
      </w:r>
      <w:r w:rsidR="00E82668">
        <w:t>the significance of</w:t>
      </w:r>
      <w:r w:rsidR="00AA0038">
        <w:t xml:space="preserve"> </w:t>
      </w:r>
      <w:r w:rsidR="00140111">
        <w:t>passing</w:t>
      </w:r>
      <w:r w:rsidR="00E82668">
        <w:t xml:space="preserve"> on</w:t>
      </w:r>
      <w:r w:rsidR="00AA0038">
        <w:t xml:space="preserve"> </w:t>
      </w:r>
      <w:r w:rsidR="00E82668">
        <w:t>correspondence</w:t>
      </w:r>
      <w:r w:rsidR="00C71411">
        <w:t xml:space="preserve"> to</w:t>
      </w:r>
      <w:r w:rsidR="00AA0038">
        <w:t xml:space="preserve"> </w:t>
      </w:r>
      <w:r w:rsidR="00C71411">
        <w:t>an employer</w:t>
      </w:r>
      <w:r w:rsidR="00E82668">
        <w:t>.</w:t>
      </w:r>
      <w:r w:rsidR="00AA0038">
        <w:t xml:space="preserve"> </w:t>
      </w:r>
      <w:r w:rsidR="00E82668">
        <w:t>In any</w:t>
      </w:r>
      <w:r w:rsidR="00AA0038">
        <w:t xml:space="preserve"> </w:t>
      </w:r>
      <w:r w:rsidR="00E82668">
        <w:t>event</w:t>
      </w:r>
      <w:r w:rsidR="00FB5C30">
        <w:t>,</w:t>
      </w:r>
      <w:r w:rsidR="00E82668">
        <w:t xml:space="preserve"> the</w:t>
      </w:r>
      <w:r w:rsidR="00AA0038">
        <w:t xml:space="preserve"> </w:t>
      </w:r>
      <w:r w:rsidR="00E82668">
        <w:t>crucial</w:t>
      </w:r>
      <w:r w:rsidR="00AA0038">
        <w:t xml:space="preserve"> </w:t>
      </w:r>
      <w:r w:rsidR="00E82668">
        <w:t>point is</w:t>
      </w:r>
      <w:r w:rsidR="00AA0038">
        <w:t xml:space="preserve"> </w:t>
      </w:r>
      <w:r w:rsidR="00E82668">
        <w:t>that</w:t>
      </w:r>
      <w:r w:rsidR="00AA0038">
        <w:t xml:space="preserve"> </w:t>
      </w:r>
      <w:r w:rsidR="00E82668">
        <w:t>in t</w:t>
      </w:r>
      <w:r w:rsidR="00140111">
        <w:t xml:space="preserve">erms </w:t>
      </w:r>
      <w:r w:rsidR="00E82668">
        <w:t>of the rules the</w:t>
      </w:r>
      <w:r w:rsidR="00AA0038">
        <w:t xml:space="preserve"> </w:t>
      </w:r>
      <w:r w:rsidR="00E82668">
        <w:t>court</w:t>
      </w:r>
      <w:r w:rsidR="006401D6">
        <w:t>,</w:t>
      </w:r>
      <w:r w:rsidR="00AA0038">
        <w:t xml:space="preserve"> </w:t>
      </w:r>
      <w:r w:rsidR="00E82668">
        <w:t>papers</w:t>
      </w:r>
      <w:r w:rsidR="00AA0038">
        <w:t xml:space="preserve"> </w:t>
      </w:r>
      <w:r w:rsidR="00E82668">
        <w:t>were</w:t>
      </w:r>
      <w:r w:rsidR="00AA0038">
        <w:t xml:space="preserve"> </w:t>
      </w:r>
      <w:r w:rsidR="00E82668">
        <w:t>served on a</w:t>
      </w:r>
      <w:r w:rsidR="00AA0038">
        <w:t xml:space="preserve"> </w:t>
      </w:r>
      <w:r w:rsidR="00E82668">
        <w:t>responsible</w:t>
      </w:r>
      <w:r w:rsidR="00AA0038">
        <w:t xml:space="preserve"> </w:t>
      </w:r>
      <w:r w:rsidR="00E82668">
        <w:t>person</w:t>
      </w:r>
      <w:r w:rsidR="00AA0038">
        <w:t xml:space="preserve"> </w:t>
      </w:r>
      <w:r w:rsidR="00E82668">
        <w:t>at</w:t>
      </w:r>
      <w:r w:rsidR="00AA0038">
        <w:t xml:space="preserve"> </w:t>
      </w:r>
      <w:r w:rsidR="00E82668">
        <w:t>an</w:t>
      </w:r>
      <w:r w:rsidR="00AA0038">
        <w:t xml:space="preserve"> </w:t>
      </w:r>
      <w:r w:rsidR="00E82668">
        <w:t>address that</w:t>
      </w:r>
      <w:r w:rsidR="00C71411">
        <w:t xml:space="preserve"> the</w:t>
      </w:r>
      <w:r w:rsidR="00AA0038">
        <w:t xml:space="preserve"> </w:t>
      </w:r>
      <w:r w:rsidR="00C71411">
        <w:t>applicant</w:t>
      </w:r>
      <w:r w:rsidR="00AA0038">
        <w:t xml:space="preserve"> </w:t>
      </w:r>
      <w:r w:rsidR="00C71411">
        <w:t>clearly</w:t>
      </w:r>
      <w:r w:rsidR="00AA0038">
        <w:t xml:space="preserve"> </w:t>
      </w:r>
      <w:r w:rsidR="00C71411">
        <w:t>kne</w:t>
      </w:r>
      <w:r w:rsidR="00E82668">
        <w:t>w</w:t>
      </w:r>
      <w:r w:rsidR="00AA0038">
        <w:t xml:space="preserve"> </w:t>
      </w:r>
      <w:r w:rsidR="00E82668">
        <w:t>about.</w:t>
      </w:r>
      <w:r w:rsidR="0086156D">
        <w:t xml:space="preserve"> As</w:t>
      </w:r>
      <w:r w:rsidR="00EF5169">
        <w:t xml:space="preserve"> </w:t>
      </w:r>
      <w:r w:rsidR="0086156D">
        <w:t>highlighted</w:t>
      </w:r>
      <w:r w:rsidR="006401D6">
        <w:t xml:space="preserve"> in</w:t>
      </w:r>
      <w:r w:rsidR="0086156D">
        <w:t xml:space="preserve"> </w:t>
      </w:r>
      <w:r w:rsidR="007C67C7" w:rsidRPr="007C67C7">
        <w:rPr>
          <w:i/>
        </w:rPr>
        <w:t xml:space="preserve">Smethwick Trading (Pvt) Ltd </w:t>
      </w:r>
      <w:r w:rsidR="007C67C7" w:rsidRPr="00A911D6">
        <w:t xml:space="preserve">v </w:t>
      </w:r>
      <w:r w:rsidR="007C67C7">
        <w:rPr>
          <w:i/>
        </w:rPr>
        <w:t>M</w:t>
      </w:r>
      <w:r w:rsidR="007C67C7" w:rsidRPr="007C67C7">
        <w:rPr>
          <w:i/>
        </w:rPr>
        <w:t>angwende</w:t>
      </w:r>
      <w:r w:rsidR="00EF5169">
        <w:rPr>
          <w:i/>
        </w:rPr>
        <w:t xml:space="preserve"> </w:t>
      </w:r>
      <w:r w:rsidR="007C67C7" w:rsidRPr="007C67C7">
        <w:rPr>
          <w:i/>
        </w:rPr>
        <w:t>&amp; Another</w:t>
      </w:r>
      <w:r w:rsidR="007C67C7">
        <w:t xml:space="preserve"> HH 603/14</w:t>
      </w:r>
      <w:r w:rsidR="00FB5C30">
        <w:t>,</w:t>
      </w:r>
      <w:r w:rsidR="0093207C">
        <w:t xml:space="preserve"> even </w:t>
      </w:r>
      <w:r w:rsidR="003E21CE">
        <w:t>the affixing</w:t>
      </w:r>
      <w:r w:rsidR="00EF5169">
        <w:t xml:space="preserve"> </w:t>
      </w:r>
      <w:r w:rsidR="003E21CE">
        <w:t>of process</w:t>
      </w:r>
      <w:r w:rsidR="00EF5169">
        <w:t xml:space="preserve"> </w:t>
      </w:r>
      <w:r w:rsidR="003E21CE">
        <w:t>at a place of residence</w:t>
      </w:r>
      <w:r w:rsidR="00EF5169">
        <w:t xml:space="preserve"> </w:t>
      </w:r>
      <w:r w:rsidR="003E21CE">
        <w:t>business</w:t>
      </w:r>
      <w:r w:rsidR="00EF5169">
        <w:t xml:space="preserve"> </w:t>
      </w:r>
      <w:r w:rsidR="003E21CE">
        <w:t>or employment</w:t>
      </w:r>
      <w:r w:rsidR="00892B01">
        <w:t xml:space="preserve"> </w:t>
      </w:r>
      <w:r w:rsidR="0093207C">
        <w:t xml:space="preserve">in terms of r 40 </w:t>
      </w:r>
      <w:r w:rsidR="003E21CE">
        <w:t>is</w:t>
      </w:r>
      <w:r w:rsidR="00EF5169">
        <w:t xml:space="preserve"> </w:t>
      </w:r>
      <w:r w:rsidR="003E21CE">
        <w:t>equally regarded as</w:t>
      </w:r>
      <w:r w:rsidR="00EF5169">
        <w:t xml:space="preserve"> </w:t>
      </w:r>
      <w:r w:rsidR="003E21CE">
        <w:t>sufficient</w:t>
      </w:r>
      <w:r w:rsidR="00EF5169">
        <w:t xml:space="preserve"> </w:t>
      </w:r>
      <w:r w:rsidR="003E21CE">
        <w:t>service</w:t>
      </w:r>
      <w:r w:rsidR="0093207C">
        <w:t>,</w:t>
      </w:r>
      <w:r w:rsidR="00EF5169">
        <w:t xml:space="preserve"> </w:t>
      </w:r>
      <w:r w:rsidR="003E21CE">
        <w:t>let alone</w:t>
      </w:r>
      <w:r w:rsidR="00EF5169">
        <w:t xml:space="preserve"> </w:t>
      </w:r>
      <w:r w:rsidR="003E21CE">
        <w:t>service on</w:t>
      </w:r>
      <w:r w:rsidR="00FB5C30">
        <w:t xml:space="preserve"> </w:t>
      </w:r>
      <w:r w:rsidR="003E21CE">
        <w:t>a responsible</w:t>
      </w:r>
      <w:r w:rsidR="00EF5169">
        <w:t xml:space="preserve"> </w:t>
      </w:r>
      <w:r w:rsidR="003E21CE">
        <w:t>person at</w:t>
      </w:r>
      <w:r w:rsidR="00EF5169">
        <w:t xml:space="preserve"> </w:t>
      </w:r>
      <w:r w:rsidR="003E21CE">
        <w:t xml:space="preserve">those premises. </w:t>
      </w:r>
    </w:p>
    <w:p w:rsidR="004877A3" w:rsidRDefault="0093207C" w:rsidP="00F079BD">
      <w:pPr>
        <w:spacing w:line="360" w:lineRule="auto"/>
        <w:ind w:firstLine="720"/>
        <w:jc w:val="both"/>
      </w:pPr>
      <w:r>
        <w:t xml:space="preserve">Service, </w:t>
      </w:r>
      <w:r w:rsidRPr="0093207C">
        <w:rPr>
          <w:i/>
        </w:rPr>
        <w:t>in casu</w:t>
      </w:r>
      <w:r w:rsidR="00AA0038">
        <w:t xml:space="preserve"> </w:t>
      </w:r>
      <w:r w:rsidR="00A02FC8">
        <w:t>was</w:t>
      </w:r>
      <w:r w:rsidR="00AA0038">
        <w:t xml:space="preserve"> </w:t>
      </w:r>
      <w:r w:rsidR="00A02FC8">
        <w:t>effected</w:t>
      </w:r>
      <w:r w:rsidR="00AA0038">
        <w:t xml:space="preserve"> </w:t>
      </w:r>
      <w:r w:rsidR="00E478E1">
        <w:t xml:space="preserve">upon </w:t>
      </w:r>
      <w:r w:rsidR="00A02FC8">
        <w:t>a person who</w:t>
      </w:r>
      <w:r w:rsidR="00AA0038">
        <w:t xml:space="preserve"> </w:t>
      </w:r>
      <w:r w:rsidR="00A02FC8">
        <w:t>was still in the</w:t>
      </w:r>
      <w:r w:rsidR="00AA0038">
        <w:t xml:space="preserve"> </w:t>
      </w:r>
      <w:r w:rsidR="00140111">
        <w:t>applicant’s employ</w:t>
      </w:r>
      <w:r w:rsidR="00A02FC8">
        <w:t xml:space="preserve"> and</w:t>
      </w:r>
      <w:r w:rsidR="00AA0038">
        <w:t xml:space="preserve"> </w:t>
      </w:r>
      <w:r w:rsidR="00A02FC8">
        <w:t>at his</w:t>
      </w:r>
      <w:r w:rsidR="00E478E1">
        <w:t xml:space="preserve"> </w:t>
      </w:r>
      <w:r w:rsidR="00B16935">
        <w:t>onetime</w:t>
      </w:r>
      <w:r w:rsidR="00E478E1">
        <w:t xml:space="preserve"> </w:t>
      </w:r>
      <w:r w:rsidR="00140111">
        <w:t>matrimonial</w:t>
      </w:r>
      <w:r w:rsidR="00AA0038">
        <w:t xml:space="preserve"> </w:t>
      </w:r>
      <w:r w:rsidR="00A02FC8">
        <w:t>home</w:t>
      </w:r>
      <w:r w:rsidR="006401D6">
        <w:t>,</w:t>
      </w:r>
      <w:r w:rsidR="00AA0038">
        <w:t xml:space="preserve"> </w:t>
      </w:r>
      <w:r w:rsidR="00A02FC8">
        <w:t>even if</w:t>
      </w:r>
      <w:r w:rsidR="00AA0038">
        <w:t xml:space="preserve"> </w:t>
      </w:r>
      <w:r w:rsidR="00A02FC8">
        <w:t>he had moved out.</w:t>
      </w:r>
      <w:r w:rsidR="00E478E1">
        <w:t xml:space="preserve"> Applicant stated himself that</w:t>
      </w:r>
      <w:r w:rsidR="00892B01">
        <w:t xml:space="preserve"> </w:t>
      </w:r>
      <w:r>
        <w:t>the said Winnie</w:t>
      </w:r>
      <w:r w:rsidR="00E478E1">
        <w:t xml:space="preserve"> was receiving her wages</w:t>
      </w:r>
      <w:r>
        <w:t xml:space="preserve"> from him</w:t>
      </w:r>
      <w:r w:rsidR="00892B01">
        <w:t xml:space="preserve"> </w:t>
      </w:r>
      <w:r w:rsidR="00E478E1">
        <w:t>through the garden</w:t>
      </w:r>
      <w:r w:rsidR="00FB5C30">
        <w:t>er</w:t>
      </w:r>
      <w:r w:rsidR="00E478E1">
        <w:t xml:space="preserve"> and later through a labour consultant whom </w:t>
      </w:r>
      <w:r w:rsidR="00FB5C30">
        <w:t>applicant himself</w:t>
      </w:r>
      <w:r w:rsidR="00E478E1">
        <w:t xml:space="preserve"> engaged. He offered no </w:t>
      </w:r>
      <w:r w:rsidR="00585065">
        <w:t xml:space="preserve">explanation </w:t>
      </w:r>
      <w:r w:rsidR="00E478E1">
        <w:t xml:space="preserve">as to </w:t>
      </w:r>
      <w:r w:rsidR="00585065">
        <w:t xml:space="preserve">what </w:t>
      </w:r>
      <w:r w:rsidR="00585065">
        <w:lastRenderedPageBreak/>
        <w:t>arrangements</w:t>
      </w:r>
      <w:r w:rsidR="00E478E1">
        <w:t xml:space="preserve"> he</w:t>
      </w:r>
      <w:r w:rsidR="00585065">
        <w:t xml:space="preserve"> put in</w:t>
      </w:r>
      <w:r w:rsidR="00E478E1">
        <w:t xml:space="preserve"> place to receive</w:t>
      </w:r>
      <w:r w:rsidR="00585065">
        <w:t xml:space="preserve"> </w:t>
      </w:r>
      <w:r w:rsidR="00E478E1">
        <w:t>all</w:t>
      </w:r>
      <w:r w:rsidR="00585065">
        <w:t xml:space="preserve"> </w:t>
      </w:r>
      <w:r w:rsidR="00E478E1">
        <w:t>his mail</w:t>
      </w:r>
      <w:r w:rsidR="00585065">
        <w:t xml:space="preserve"> once he </w:t>
      </w:r>
      <w:r w:rsidR="00E478E1">
        <w:t xml:space="preserve">left </w:t>
      </w:r>
      <w:r w:rsidR="00585065">
        <w:t>th</w:t>
      </w:r>
      <w:r>
        <w:t>e matrimonial home</w:t>
      </w:r>
      <w:r w:rsidR="00585065">
        <w:t xml:space="preserve"> in</w:t>
      </w:r>
      <w:r w:rsidR="00E478E1">
        <w:t xml:space="preserve"> 2009.</w:t>
      </w:r>
      <w:r w:rsidR="00585065">
        <w:t xml:space="preserve"> </w:t>
      </w:r>
      <w:r w:rsidR="00E478E1">
        <w:t>Chances are that if he appointed middle persons to represent him, the gardener</w:t>
      </w:r>
      <w:r w:rsidR="00585065">
        <w:t xml:space="preserve"> </w:t>
      </w:r>
      <w:r w:rsidR="00E478E1">
        <w:t>in particular,</w:t>
      </w:r>
      <w:r w:rsidR="00585065">
        <w:t xml:space="preserve"> </w:t>
      </w:r>
      <w:r w:rsidR="00E478E1">
        <w:t xml:space="preserve">he also most likely had a way of receiving </w:t>
      </w:r>
      <w:r w:rsidR="00585065">
        <w:t xml:space="preserve">correspondence that came </w:t>
      </w:r>
      <w:r w:rsidR="00E478E1">
        <w:t xml:space="preserve">to </w:t>
      </w:r>
      <w:r w:rsidR="00585065">
        <w:t>that address</w:t>
      </w:r>
      <w:r w:rsidR="00E478E1">
        <w:t xml:space="preserve"> for his </w:t>
      </w:r>
      <w:r w:rsidR="00585065">
        <w:t xml:space="preserve">attention </w:t>
      </w:r>
      <w:r w:rsidR="00E478E1">
        <w:t>through his</w:t>
      </w:r>
      <w:r w:rsidR="00585065">
        <w:t xml:space="preserve"> </w:t>
      </w:r>
      <w:r w:rsidR="00E478E1">
        <w:t>chosen</w:t>
      </w:r>
      <w:r w:rsidR="00585065">
        <w:t xml:space="preserve"> </w:t>
      </w:r>
      <w:r w:rsidR="00E478E1">
        <w:t>conduit</w:t>
      </w:r>
      <w:r w:rsidR="00FB5C30">
        <w:t xml:space="preserve"> of communication</w:t>
      </w:r>
      <w:r w:rsidR="00E478E1">
        <w:t xml:space="preserve">. </w:t>
      </w:r>
      <w:r w:rsidR="00585065">
        <w:t xml:space="preserve">This court was satisfied that in all probability, he received the documents and continued with his chosen mode of </w:t>
      </w:r>
      <w:r w:rsidR="007C67C7">
        <w:t>“</w:t>
      </w:r>
      <w:r w:rsidR="00585065">
        <w:t>business as usual</w:t>
      </w:r>
      <w:r w:rsidR="00EF5169">
        <w:t>”</w:t>
      </w:r>
      <w:r w:rsidR="00585065">
        <w:t xml:space="preserve"> </w:t>
      </w:r>
      <w:r w:rsidR="00EF5169">
        <w:t>and</w:t>
      </w:r>
      <w:r w:rsidR="00585065">
        <w:t xml:space="preserve"> simply imagined that the problem</w:t>
      </w:r>
      <w:r w:rsidR="00EF5169">
        <w:t xml:space="preserve"> which he had clearly failed to address </w:t>
      </w:r>
      <w:r w:rsidR="00585065">
        <w:t>would go away if he ignored it long enough</w:t>
      </w:r>
      <w:r w:rsidR="007C67C7">
        <w:t>”</w:t>
      </w:r>
      <w:r w:rsidR="00585065">
        <w:t>.</w:t>
      </w:r>
    </w:p>
    <w:p w:rsidR="00E82668" w:rsidRPr="00926111" w:rsidRDefault="00926111" w:rsidP="007907A3">
      <w:pPr>
        <w:spacing w:line="360" w:lineRule="auto"/>
        <w:jc w:val="both"/>
        <w:rPr>
          <w:b/>
          <w:u w:val="single"/>
        </w:rPr>
      </w:pPr>
      <w:r w:rsidRPr="00926111">
        <w:rPr>
          <w:b/>
          <w:u w:val="single"/>
        </w:rPr>
        <w:t>The bona</w:t>
      </w:r>
      <w:r w:rsidR="0093207C">
        <w:rPr>
          <w:b/>
          <w:u w:val="single"/>
        </w:rPr>
        <w:t xml:space="preserve"> </w:t>
      </w:r>
      <w:r w:rsidRPr="00926111">
        <w:rPr>
          <w:b/>
          <w:u w:val="single"/>
        </w:rPr>
        <w:t>fid</w:t>
      </w:r>
      <w:r w:rsidR="00140111">
        <w:rPr>
          <w:b/>
          <w:u w:val="single"/>
        </w:rPr>
        <w:t>e</w:t>
      </w:r>
      <w:r w:rsidRPr="00926111">
        <w:rPr>
          <w:b/>
          <w:u w:val="single"/>
        </w:rPr>
        <w:t>s of the application</w:t>
      </w:r>
    </w:p>
    <w:p w:rsidR="00B11FA5" w:rsidRDefault="00FC54D0" w:rsidP="00A911D6">
      <w:pPr>
        <w:spacing w:line="360" w:lineRule="auto"/>
        <w:ind w:firstLine="720"/>
        <w:jc w:val="both"/>
      </w:pPr>
      <w:r>
        <w:t>Th</w:t>
      </w:r>
      <w:r w:rsidR="00EF5169">
        <w:t>irdly, th</w:t>
      </w:r>
      <w:r>
        <w:t xml:space="preserve">e </w:t>
      </w:r>
      <w:r w:rsidR="00942B86" w:rsidRPr="004D2068">
        <w:rPr>
          <w:i/>
        </w:rPr>
        <w:t>bon</w:t>
      </w:r>
      <w:r w:rsidR="00E82668" w:rsidRPr="004D2068">
        <w:rPr>
          <w:i/>
        </w:rPr>
        <w:t>a</w:t>
      </w:r>
      <w:r w:rsidR="00AA0038">
        <w:rPr>
          <w:i/>
        </w:rPr>
        <w:t xml:space="preserve"> </w:t>
      </w:r>
      <w:r w:rsidR="00E82668" w:rsidRPr="004D2068">
        <w:rPr>
          <w:i/>
        </w:rPr>
        <w:t>fides</w:t>
      </w:r>
      <w:r w:rsidR="00E82668">
        <w:t xml:space="preserve"> </w:t>
      </w:r>
      <w:r>
        <w:t>of the application</w:t>
      </w:r>
      <w:r w:rsidR="00942B86">
        <w:t xml:space="preserve"> </w:t>
      </w:r>
      <w:r>
        <w:t>to</w:t>
      </w:r>
      <w:r w:rsidR="00942B86">
        <w:t xml:space="preserve"> rescind </w:t>
      </w:r>
      <w:r>
        <w:t xml:space="preserve">the judgment must </w:t>
      </w:r>
      <w:r w:rsidR="00942B86">
        <w:t>also</w:t>
      </w:r>
      <w:r>
        <w:t xml:space="preserve"> be</w:t>
      </w:r>
      <w:r w:rsidR="00942B86">
        <w:t xml:space="preserve"> considered</w:t>
      </w:r>
      <w:r>
        <w:t xml:space="preserve">. </w:t>
      </w:r>
      <w:r w:rsidR="00A02FC8">
        <w:t xml:space="preserve">The </w:t>
      </w:r>
      <w:r w:rsidR="00A02FC8" w:rsidRPr="00E478E1">
        <w:rPr>
          <w:i/>
        </w:rPr>
        <w:t>bona</w:t>
      </w:r>
      <w:r w:rsidR="00E478E1" w:rsidRPr="00E478E1">
        <w:rPr>
          <w:i/>
        </w:rPr>
        <w:t xml:space="preserve"> </w:t>
      </w:r>
      <w:r w:rsidR="00A02FC8" w:rsidRPr="00E478E1">
        <w:rPr>
          <w:i/>
        </w:rPr>
        <w:t>fides</w:t>
      </w:r>
      <w:r w:rsidR="00A02FC8">
        <w:t xml:space="preserve"> of this</w:t>
      </w:r>
      <w:r w:rsidR="00AA0038">
        <w:t xml:space="preserve"> </w:t>
      </w:r>
      <w:r w:rsidR="00A02FC8">
        <w:t>application</w:t>
      </w:r>
      <w:r w:rsidR="00AA0038">
        <w:t xml:space="preserve"> </w:t>
      </w:r>
      <w:r w:rsidR="0093207C">
        <w:t xml:space="preserve">need </w:t>
      </w:r>
      <w:r w:rsidR="00A02FC8">
        <w:t>t</w:t>
      </w:r>
      <w:r w:rsidR="0093207C">
        <w:t>o</w:t>
      </w:r>
      <w:r w:rsidR="00A02FC8">
        <w:t xml:space="preserve"> be</w:t>
      </w:r>
      <w:r w:rsidR="00AA0038">
        <w:t xml:space="preserve"> </w:t>
      </w:r>
      <w:r w:rsidR="00140111">
        <w:t>examined</w:t>
      </w:r>
      <w:r w:rsidR="00AA0038">
        <w:t xml:space="preserve"> </w:t>
      </w:r>
      <w:r w:rsidR="00140111">
        <w:t>against</w:t>
      </w:r>
      <w:r w:rsidR="00A02FC8">
        <w:t xml:space="preserve"> the</w:t>
      </w:r>
      <w:r w:rsidR="00AA0038">
        <w:t xml:space="preserve"> </w:t>
      </w:r>
      <w:r w:rsidR="00A02FC8">
        <w:t xml:space="preserve">backdrop </w:t>
      </w:r>
      <w:r w:rsidR="00926111">
        <w:t>of the case</w:t>
      </w:r>
      <w:r w:rsidR="00AA0038">
        <w:t xml:space="preserve"> </w:t>
      </w:r>
      <w:r w:rsidR="00926111">
        <w:t>as a whole. Despite having sold</w:t>
      </w:r>
      <w:r w:rsidR="00AA0038">
        <w:t xml:space="preserve"> </w:t>
      </w:r>
      <w:r w:rsidR="00926111">
        <w:t>property</w:t>
      </w:r>
      <w:r w:rsidR="0093207C">
        <w:t xml:space="preserve"> to the respondent</w:t>
      </w:r>
      <w:r w:rsidR="00926111">
        <w:t xml:space="preserve">, </w:t>
      </w:r>
      <w:r w:rsidR="00E478E1">
        <w:t>t</w:t>
      </w:r>
      <w:r w:rsidR="00926111">
        <w:t>he applicant had</w:t>
      </w:r>
      <w:r w:rsidR="00AA0038">
        <w:t xml:space="preserve"> </w:t>
      </w:r>
      <w:r w:rsidR="00926111">
        <w:t>never</w:t>
      </w:r>
      <w:r w:rsidR="00AA0038">
        <w:t xml:space="preserve"> </w:t>
      </w:r>
      <w:r w:rsidR="00140111">
        <w:t>delivered</w:t>
      </w:r>
      <w:r w:rsidR="0093207C">
        <w:t xml:space="preserve"> it,</w:t>
      </w:r>
      <w:r w:rsidR="00AA0038">
        <w:t xml:space="preserve"> </w:t>
      </w:r>
      <w:r w:rsidR="00926111">
        <w:t>necessitating the</w:t>
      </w:r>
      <w:r w:rsidR="00AA0038">
        <w:t xml:space="preserve"> </w:t>
      </w:r>
      <w:r w:rsidR="00140111">
        <w:t>respondent</w:t>
      </w:r>
      <w:r w:rsidR="00AA0038">
        <w:t xml:space="preserve"> </w:t>
      </w:r>
      <w:r w:rsidR="00926111">
        <w:t>dragging him</w:t>
      </w:r>
      <w:r w:rsidR="00AA0038">
        <w:t xml:space="preserve"> </w:t>
      </w:r>
      <w:r w:rsidR="00926111">
        <w:t>to</w:t>
      </w:r>
      <w:r w:rsidR="00AA0038">
        <w:t xml:space="preserve"> </w:t>
      </w:r>
      <w:r w:rsidR="00926111">
        <w:t>court to</w:t>
      </w:r>
      <w:r w:rsidR="00AA0038">
        <w:t xml:space="preserve"> </w:t>
      </w:r>
      <w:r w:rsidR="00926111">
        <w:t>seek</w:t>
      </w:r>
      <w:r w:rsidR="00AA0038">
        <w:t xml:space="preserve"> </w:t>
      </w:r>
      <w:r w:rsidR="00140111">
        <w:t>specific</w:t>
      </w:r>
      <w:r w:rsidR="00AA0038">
        <w:t xml:space="preserve"> </w:t>
      </w:r>
      <w:r w:rsidR="00140111">
        <w:t>performance</w:t>
      </w:r>
      <w:r w:rsidR="00926111">
        <w:t>.</w:t>
      </w:r>
      <w:r w:rsidR="00AA0038">
        <w:t xml:space="preserve"> </w:t>
      </w:r>
      <w:r w:rsidR="00926111">
        <w:t>A</w:t>
      </w:r>
      <w:r w:rsidR="00AA0038">
        <w:t xml:space="preserve"> </w:t>
      </w:r>
      <w:r w:rsidR="00926111">
        <w:t>deed</w:t>
      </w:r>
      <w:r w:rsidR="00AA0038">
        <w:t xml:space="preserve"> </w:t>
      </w:r>
      <w:r w:rsidR="00140111">
        <w:t>of</w:t>
      </w:r>
      <w:r w:rsidR="00926111">
        <w:t xml:space="preserve"> settlement</w:t>
      </w:r>
      <w:r w:rsidR="00AA0038">
        <w:t xml:space="preserve"> </w:t>
      </w:r>
      <w:r w:rsidR="00926111">
        <w:t>had</w:t>
      </w:r>
      <w:r w:rsidR="00AA0038">
        <w:t xml:space="preserve"> </w:t>
      </w:r>
      <w:r w:rsidR="00926111">
        <w:t>been entered</w:t>
      </w:r>
      <w:r w:rsidR="00AA0038">
        <w:t xml:space="preserve"> </w:t>
      </w:r>
      <w:r w:rsidR="00926111">
        <w:t>into</w:t>
      </w:r>
      <w:r w:rsidR="00AA0038">
        <w:t xml:space="preserve"> </w:t>
      </w:r>
      <w:r w:rsidR="00140111">
        <w:t>which</w:t>
      </w:r>
      <w:r w:rsidR="00926111">
        <w:t xml:space="preserve"> again</w:t>
      </w:r>
      <w:r w:rsidR="00AA0038">
        <w:t xml:space="preserve"> </w:t>
      </w:r>
      <w:r w:rsidR="00926111">
        <w:t>was</w:t>
      </w:r>
      <w:r w:rsidR="00AA0038">
        <w:t xml:space="preserve"> </w:t>
      </w:r>
      <w:r w:rsidR="00926111">
        <w:t>never</w:t>
      </w:r>
      <w:r w:rsidR="00AA0038">
        <w:t xml:space="preserve"> </w:t>
      </w:r>
      <w:r w:rsidR="00926111">
        <w:t>obeyed</w:t>
      </w:r>
      <w:r w:rsidR="00A02FC8">
        <w:t xml:space="preserve"> even though he</w:t>
      </w:r>
      <w:r w:rsidR="00AA0038">
        <w:t xml:space="preserve"> </w:t>
      </w:r>
      <w:r w:rsidR="00A02FC8">
        <w:t>had</w:t>
      </w:r>
      <w:r w:rsidR="00AA0038">
        <w:t xml:space="preserve"> </w:t>
      </w:r>
      <w:r w:rsidR="00A02FC8">
        <w:t>signed the deed</w:t>
      </w:r>
      <w:r w:rsidR="00AA0038">
        <w:t xml:space="preserve"> </w:t>
      </w:r>
      <w:r w:rsidR="00A02FC8">
        <w:t xml:space="preserve">freely and voluntarily. </w:t>
      </w:r>
      <w:r w:rsidR="006401D6">
        <w:t>His intentions to</w:t>
      </w:r>
      <w:r w:rsidR="00B16935">
        <w:t xml:space="preserve"> </w:t>
      </w:r>
      <w:r w:rsidR="006401D6">
        <w:t>fulfil</w:t>
      </w:r>
      <w:r w:rsidR="00B16935">
        <w:t xml:space="preserve"> </w:t>
      </w:r>
      <w:r w:rsidR="006401D6">
        <w:t>his side of the bargain remained</w:t>
      </w:r>
      <w:r w:rsidR="00B16935">
        <w:t xml:space="preserve"> </w:t>
      </w:r>
      <w:r w:rsidR="006401D6">
        <w:t>in practice suspect.</w:t>
      </w:r>
    </w:p>
    <w:p w:rsidR="00EF5169" w:rsidRPr="0093207C" w:rsidRDefault="00EF5169" w:rsidP="007907A3">
      <w:pPr>
        <w:spacing w:line="360" w:lineRule="auto"/>
        <w:jc w:val="both"/>
        <w:rPr>
          <w:b/>
          <w:u w:val="single"/>
        </w:rPr>
      </w:pPr>
      <w:r w:rsidRPr="0093207C">
        <w:rPr>
          <w:b/>
          <w:u w:val="single"/>
        </w:rPr>
        <w:t>Merits of the case</w:t>
      </w:r>
    </w:p>
    <w:p w:rsidR="0045246C" w:rsidRDefault="00EF5169" w:rsidP="00A911D6">
      <w:pPr>
        <w:spacing w:line="360" w:lineRule="auto"/>
        <w:ind w:firstLine="720"/>
        <w:jc w:val="both"/>
      </w:pPr>
      <w:r>
        <w:t xml:space="preserve">Finally, </w:t>
      </w:r>
      <w:r w:rsidR="00FC54D0">
        <w:t xml:space="preserve">the </w:t>
      </w:r>
      <w:r w:rsidR="00FC54D0" w:rsidRPr="00EF5169">
        <w:rPr>
          <w:i/>
        </w:rPr>
        <w:t>bona</w:t>
      </w:r>
      <w:r w:rsidRPr="00EF5169">
        <w:rPr>
          <w:i/>
        </w:rPr>
        <w:t xml:space="preserve"> </w:t>
      </w:r>
      <w:r w:rsidR="00FC54D0" w:rsidRPr="00EF5169">
        <w:rPr>
          <w:i/>
        </w:rPr>
        <w:t>fides</w:t>
      </w:r>
      <w:r w:rsidR="00942B86">
        <w:t xml:space="preserve"> </w:t>
      </w:r>
      <w:r w:rsidR="00FC54D0">
        <w:t>on the merits of the case</w:t>
      </w:r>
      <w:r w:rsidR="00B11FA5">
        <w:t xml:space="preserve"> must </w:t>
      </w:r>
      <w:r w:rsidR="0093207C">
        <w:t xml:space="preserve">also </w:t>
      </w:r>
      <w:r w:rsidR="00B11FA5">
        <w:t>be considered</w:t>
      </w:r>
      <w:r w:rsidR="00FC54D0">
        <w:t>.</w:t>
      </w:r>
      <w:r w:rsidR="00AA0038">
        <w:t xml:space="preserve"> </w:t>
      </w:r>
      <w:r w:rsidR="00B11FA5">
        <w:t>On the merits</w:t>
      </w:r>
      <w:r>
        <w:t xml:space="preserve"> of the case,</w:t>
      </w:r>
      <w:r w:rsidR="00B11FA5">
        <w:t xml:space="preserve"> the application </w:t>
      </w:r>
      <w:r w:rsidR="0093207C">
        <w:t>wa</w:t>
      </w:r>
      <w:r w:rsidR="00B11FA5">
        <w:t>s</w:t>
      </w:r>
      <w:r w:rsidR="00AA0038">
        <w:t xml:space="preserve"> </w:t>
      </w:r>
      <w:r w:rsidR="00B11FA5">
        <w:t>premised on the point</w:t>
      </w:r>
      <w:r w:rsidR="00AA0038">
        <w:t xml:space="preserve"> </w:t>
      </w:r>
      <w:r w:rsidR="00B11FA5">
        <w:t>that when the order registering the</w:t>
      </w:r>
      <w:r w:rsidR="00AA0038">
        <w:t xml:space="preserve"> </w:t>
      </w:r>
      <w:r w:rsidR="00B11FA5">
        <w:t>deed was granted,</w:t>
      </w:r>
      <w:r w:rsidR="00AA0038">
        <w:t xml:space="preserve"> </w:t>
      </w:r>
      <w:r w:rsidR="00B11FA5">
        <w:t xml:space="preserve">the deed </w:t>
      </w:r>
      <w:r w:rsidR="00140111">
        <w:t>of</w:t>
      </w:r>
      <w:r w:rsidR="00B11FA5">
        <w:t xml:space="preserve"> settlement</w:t>
      </w:r>
      <w:r w:rsidR="00AA0038">
        <w:t xml:space="preserve"> </w:t>
      </w:r>
      <w:r w:rsidR="00B11FA5">
        <w:t>was more than</w:t>
      </w:r>
      <w:r w:rsidR="00AA0038">
        <w:t xml:space="preserve"> </w:t>
      </w:r>
      <w:r w:rsidR="00B11FA5">
        <w:t>four</w:t>
      </w:r>
      <w:r w:rsidR="00AA0038">
        <w:t xml:space="preserve"> </w:t>
      </w:r>
      <w:r w:rsidR="00B11FA5">
        <w:t>years</w:t>
      </w:r>
      <w:r w:rsidR="00AA0038">
        <w:t xml:space="preserve"> </w:t>
      </w:r>
      <w:r w:rsidR="00B11FA5">
        <w:t xml:space="preserve">old. </w:t>
      </w:r>
      <w:r w:rsidR="00140111">
        <w:t>Furthermore</w:t>
      </w:r>
      <w:r w:rsidR="0093207C">
        <w:t>,</w:t>
      </w:r>
      <w:r w:rsidR="00B11FA5">
        <w:t xml:space="preserve"> the</w:t>
      </w:r>
      <w:r w:rsidR="00AA0038">
        <w:t xml:space="preserve"> </w:t>
      </w:r>
      <w:r w:rsidR="00B11FA5">
        <w:t>argument</w:t>
      </w:r>
      <w:r w:rsidR="00AA0038">
        <w:t xml:space="preserve"> </w:t>
      </w:r>
      <w:r w:rsidR="0093207C">
        <w:t>was</w:t>
      </w:r>
      <w:r w:rsidR="00140111">
        <w:t xml:space="preserve"> that the settle</w:t>
      </w:r>
      <w:r w:rsidR="00B11FA5">
        <w:t>ment</w:t>
      </w:r>
      <w:r w:rsidR="00AA0038">
        <w:t xml:space="preserve"> </w:t>
      </w:r>
      <w:r w:rsidR="00B11FA5">
        <w:t>reached in</w:t>
      </w:r>
      <w:r w:rsidR="00AA0038">
        <w:t xml:space="preserve"> </w:t>
      </w:r>
      <w:r w:rsidR="00B11FA5">
        <w:t>2008</w:t>
      </w:r>
      <w:r w:rsidR="00AA0038">
        <w:t xml:space="preserve"> </w:t>
      </w:r>
      <w:r w:rsidR="00B11FA5">
        <w:t>had</w:t>
      </w:r>
      <w:r w:rsidR="00AA0038">
        <w:t xml:space="preserve"> </w:t>
      </w:r>
      <w:r w:rsidR="00B11FA5">
        <w:t>become</w:t>
      </w:r>
      <w:r w:rsidR="00AA0038">
        <w:t xml:space="preserve"> </w:t>
      </w:r>
      <w:r w:rsidR="00B11FA5">
        <w:t>prescribed by the</w:t>
      </w:r>
      <w:r w:rsidR="00AA0038">
        <w:t xml:space="preserve"> </w:t>
      </w:r>
      <w:r w:rsidR="00B11FA5">
        <w:t>time</w:t>
      </w:r>
      <w:r w:rsidR="00AA0038">
        <w:t xml:space="preserve"> </w:t>
      </w:r>
      <w:r w:rsidR="00B11FA5">
        <w:t>the</w:t>
      </w:r>
      <w:r w:rsidR="00AA0038">
        <w:t xml:space="preserve"> </w:t>
      </w:r>
      <w:r w:rsidR="00B11FA5">
        <w:t>order was granted.</w:t>
      </w:r>
      <w:r w:rsidR="002B040A">
        <w:t xml:space="preserve"> </w:t>
      </w:r>
      <w:r w:rsidR="00CE23D1">
        <w:t xml:space="preserve">A deed of settlement </w:t>
      </w:r>
      <w:r w:rsidR="006401D6">
        <w:t>being</w:t>
      </w:r>
      <w:r w:rsidR="00CE23D1">
        <w:t xml:space="preserve"> an </w:t>
      </w:r>
      <w:r w:rsidR="00140111">
        <w:t>order</w:t>
      </w:r>
      <w:r w:rsidR="00AA0038">
        <w:t xml:space="preserve"> </w:t>
      </w:r>
      <w:r w:rsidR="00CE23D1">
        <w:t xml:space="preserve">between the </w:t>
      </w:r>
      <w:r w:rsidR="00140111">
        <w:t>parties</w:t>
      </w:r>
      <w:r w:rsidR="006401D6">
        <w:t xml:space="preserve">, </w:t>
      </w:r>
      <w:r w:rsidR="00CE23D1">
        <w:t xml:space="preserve">it </w:t>
      </w:r>
      <w:r w:rsidR="0093207C">
        <w:t xml:space="preserve">is </w:t>
      </w:r>
      <w:r w:rsidR="00CE23D1">
        <w:t>not an order of court</w:t>
      </w:r>
      <w:r w:rsidR="00AA0038">
        <w:t xml:space="preserve"> </w:t>
      </w:r>
      <w:r w:rsidR="00CE23D1">
        <w:t xml:space="preserve">unless </w:t>
      </w:r>
      <w:r w:rsidR="00140111">
        <w:t>registered</w:t>
      </w:r>
      <w:r w:rsidR="00CE23D1">
        <w:t xml:space="preserve"> as such. </w:t>
      </w:r>
    </w:p>
    <w:p w:rsidR="00B93862" w:rsidRDefault="00CE23D1" w:rsidP="00EF5169">
      <w:pPr>
        <w:spacing w:line="360" w:lineRule="auto"/>
        <w:ind w:firstLine="720"/>
        <w:jc w:val="both"/>
      </w:pPr>
      <w:r>
        <w:t>The respondent</w:t>
      </w:r>
      <w:r w:rsidR="00585065">
        <w:t xml:space="preserve"> had </w:t>
      </w:r>
      <w:r w:rsidR="00B93862">
        <w:t>two standpoints</w:t>
      </w:r>
      <w:r w:rsidR="00585065">
        <w:t xml:space="preserve"> </w:t>
      </w:r>
      <w:r w:rsidR="00B93862">
        <w:t>regarding prescription.</w:t>
      </w:r>
      <w:r w:rsidR="009748C0">
        <w:t xml:space="preserve"> The first, which was</w:t>
      </w:r>
      <w:r w:rsidR="00B93862">
        <w:t xml:space="preserve"> not persuasive</w:t>
      </w:r>
      <w:r w:rsidR="0093207C">
        <w:t>,</w:t>
      </w:r>
      <w:r w:rsidR="00B93862">
        <w:t xml:space="preserve"> </w:t>
      </w:r>
      <w:r w:rsidR="009748C0">
        <w:t>was</w:t>
      </w:r>
      <w:r w:rsidR="00B93862">
        <w:t xml:space="preserve"> that the deed automatically became</w:t>
      </w:r>
      <w:r w:rsidR="00585065">
        <w:t xml:space="preserve"> </w:t>
      </w:r>
      <w:r w:rsidR="00B93862">
        <w:t>an order of the</w:t>
      </w:r>
      <w:r w:rsidR="00585065">
        <w:t xml:space="preserve"> </w:t>
      </w:r>
      <w:r w:rsidR="00B93862">
        <w:t>cou</w:t>
      </w:r>
      <w:r w:rsidR="00585065">
        <w:t>r</w:t>
      </w:r>
      <w:r w:rsidR="00B93862">
        <w:t>t because</w:t>
      </w:r>
      <w:r w:rsidR="00585065">
        <w:t xml:space="preserve"> </w:t>
      </w:r>
      <w:r w:rsidR="00B93862">
        <w:t xml:space="preserve">the </w:t>
      </w:r>
      <w:r w:rsidR="0093207C">
        <w:t>J</w:t>
      </w:r>
      <w:r w:rsidR="00B93862">
        <w:t>udge</w:t>
      </w:r>
      <w:r w:rsidR="00585065">
        <w:t xml:space="preserve"> </w:t>
      </w:r>
      <w:r w:rsidR="00B93862">
        <w:t>at the</w:t>
      </w:r>
      <w:r w:rsidR="00585065">
        <w:t xml:space="preserve"> pre-trial</w:t>
      </w:r>
      <w:r w:rsidR="00B93862">
        <w:t xml:space="preserve"> endorsed the deed. The second </w:t>
      </w:r>
      <w:r w:rsidR="009748C0">
        <w:t>standpoint was</w:t>
      </w:r>
      <w:r w:rsidR="00B93862">
        <w:t xml:space="preserve"> that </w:t>
      </w:r>
      <w:r>
        <w:t>the</w:t>
      </w:r>
      <w:r w:rsidR="00AA0038">
        <w:t xml:space="preserve"> </w:t>
      </w:r>
      <w:r>
        <w:t>chamber application</w:t>
      </w:r>
      <w:r w:rsidR="00AA0038">
        <w:t xml:space="preserve"> </w:t>
      </w:r>
      <w:r>
        <w:t>to register the deed</w:t>
      </w:r>
      <w:r w:rsidR="00AA0038">
        <w:t xml:space="preserve"> </w:t>
      </w:r>
      <w:r>
        <w:t>was</w:t>
      </w:r>
      <w:r w:rsidR="00AA0038">
        <w:t xml:space="preserve"> </w:t>
      </w:r>
      <w:r w:rsidR="00140111">
        <w:t>mad</w:t>
      </w:r>
      <w:r>
        <w:t>e</w:t>
      </w:r>
      <w:r w:rsidR="00140111">
        <w:t xml:space="preserve"> </w:t>
      </w:r>
      <w:r>
        <w:t>in</w:t>
      </w:r>
      <w:r w:rsidR="00AA0038">
        <w:t xml:space="preserve"> </w:t>
      </w:r>
      <w:r>
        <w:t>2010</w:t>
      </w:r>
      <w:r w:rsidR="00AA0038">
        <w:t xml:space="preserve"> </w:t>
      </w:r>
      <w:r>
        <w:t>and</w:t>
      </w:r>
      <w:r w:rsidR="00AA0038">
        <w:t xml:space="preserve"> </w:t>
      </w:r>
      <w:r>
        <w:t>as such interrupted</w:t>
      </w:r>
      <w:r w:rsidR="00AA0038">
        <w:t xml:space="preserve"> </w:t>
      </w:r>
      <w:r w:rsidR="00140111">
        <w:t>prescription</w:t>
      </w:r>
      <w:r>
        <w:t xml:space="preserve"> even though the</w:t>
      </w:r>
      <w:r w:rsidR="00AA0038">
        <w:t xml:space="preserve"> </w:t>
      </w:r>
      <w:r>
        <w:t>application was</w:t>
      </w:r>
      <w:r w:rsidR="00AA0038">
        <w:t xml:space="preserve"> </w:t>
      </w:r>
      <w:r>
        <w:t>only</w:t>
      </w:r>
      <w:r w:rsidR="00AA0038">
        <w:t xml:space="preserve"> </w:t>
      </w:r>
      <w:r>
        <w:t>fina</w:t>
      </w:r>
      <w:r w:rsidR="004A4F2C">
        <w:t>l</w:t>
      </w:r>
      <w:r>
        <w:t>ly</w:t>
      </w:r>
      <w:r w:rsidR="00AA0038">
        <w:t xml:space="preserve"> </w:t>
      </w:r>
      <w:r>
        <w:t>granted in</w:t>
      </w:r>
      <w:r w:rsidR="00AA0038">
        <w:t xml:space="preserve"> </w:t>
      </w:r>
      <w:r>
        <w:t>2012.</w:t>
      </w:r>
      <w:r w:rsidR="00AA0038">
        <w:t xml:space="preserve"> </w:t>
      </w:r>
      <w:r w:rsidR="00B93862">
        <w:t>W</w:t>
      </w:r>
      <w:r w:rsidR="004A4F2C">
        <w:t>hy it took</w:t>
      </w:r>
      <w:r w:rsidR="00AA0038">
        <w:t xml:space="preserve"> </w:t>
      </w:r>
      <w:r w:rsidR="004A4F2C">
        <w:t>the</w:t>
      </w:r>
      <w:r w:rsidR="00AA0038">
        <w:t xml:space="preserve"> </w:t>
      </w:r>
      <w:r w:rsidR="004A4F2C">
        <w:t>chamber</w:t>
      </w:r>
      <w:r w:rsidR="00AA0038">
        <w:t xml:space="preserve"> </w:t>
      </w:r>
      <w:r w:rsidR="004A4F2C">
        <w:t>application</w:t>
      </w:r>
      <w:r w:rsidR="00AA0038">
        <w:t xml:space="preserve"> </w:t>
      </w:r>
      <w:r w:rsidR="00140111">
        <w:t>two</w:t>
      </w:r>
      <w:r w:rsidR="004A4F2C">
        <w:t xml:space="preserve"> years to be</w:t>
      </w:r>
      <w:r w:rsidR="00AA0038">
        <w:t xml:space="preserve"> </w:t>
      </w:r>
      <w:r w:rsidR="004A4F2C">
        <w:t>dealt</w:t>
      </w:r>
      <w:r w:rsidR="00AA0038">
        <w:t xml:space="preserve"> </w:t>
      </w:r>
      <w:r w:rsidR="004A4F2C">
        <w:t>with</w:t>
      </w:r>
      <w:r w:rsidR="00AA0038">
        <w:t xml:space="preserve"> </w:t>
      </w:r>
      <w:r w:rsidR="009748C0">
        <w:t>was</w:t>
      </w:r>
      <w:r w:rsidR="004A4F2C">
        <w:t xml:space="preserve"> not addressed.</w:t>
      </w:r>
      <w:r w:rsidR="00903AA8">
        <w:t xml:space="preserve"> </w:t>
      </w:r>
      <w:r w:rsidR="00B93862">
        <w:t xml:space="preserve">The fact that the order was registered when the time frames were known to judge who registered it, effectively insisting that </w:t>
      </w:r>
      <w:r w:rsidR="009748C0">
        <w:t>applicant</w:t>
      </w:r>
      <w:r w:rsidR="00B93862">
        <w:t xml:space="preserve"> honours his undertaking</w:t>
      </w:r>
      <w:r w:rsidR="006401D6">
        <w:t>,</w:t>
      </w:r>
      <w:r w:rsidR="00B93862">
        <w:t xml:space="preserve"> affects the </w:t>
      </w:r>
      <w:r w:rsidR="00B93862" w:rsidRPr="009748C0">
        <w:rPr>
          <w:i/>
        </w:rPr>
        <w:t>bona fides</w:t>
      </w:r>
      <w:r w:rsidR="00B93862">
        <w:t xml:space="preserve"> of the merits of the case. Applicant himself averred in his </w:t>
      </w:r>
      <w:r w:rsidR="00B93862">
        <w:lastRenderedPageBreak/>
        <w:t xml:space="preserve">answering affidavit that he had every intention of honouring the </w:t>
      </w:r>
      <w:r w:rsidR="006401D6">
        <w:t>deed of settlement</w:t>
      </w:r>
      <w:r w:rsidR="00B93862">
        <w:t xml:space="preserve"> even </w:t>
      </w:r>
      <w:r w:rsidR="006401D6">
        <w:t>through</w:t>
      </w:r>
      <w:r w:rsidR="00B93862">
        <w:t xml:space="preserve"> buying another property</w:t>
      </w:r>
      <w:r w:rsidR="00892B01">
        <w:t xml:space="preserve"> </w:t>
      </w:r>
      <w:r w:rsidR="009748C0">
        <w:t xml:space="preserve">for the respondent </w:t>
      </w:r>
      <w:r w:rsidR="00B93862">
        <w:t xml:space="preserve">since the </w:t>
      </w:r>
      <w:r w:rsidR="00EF5169">
        <w:t>O</w:t>
      </w:r>
      <w:r w:rsidR="00B93862">
        <w:t xml:space="preserve">ld </w:t>
      </w:r>
      <w:r w:rsidR="00EF5169">
        <w:t>M</w:t>
      </w:r>
      <w:r w:rsidR="00B93862">
        <w:t>utual</w:t>
      </w:r>
      <w:r w:rsidR="00EF5169">
        <w:t xml:space="preserve"> shares he was supposed to have bought for the respondent as per deed of settlement </w:t>
      </w:r>
      <w:r w:rsidR="00B93862">
        <w:t>had gone up</w:t>
      </w:r>
      <w:r w:rsidR="006401D6">
        <w:t xml:space="preserve"> in price</w:t>
      </w:r>
      <w:r w:rsidR="00B93862">
        <w:t xml:space="preserve">. The only thing that stood in his path was that </w:t>
      </w:r>
      <w:r w:rsidR="00EF5169">
        <w:t xml:space="preserve">he </w:t>
      </w:r>
      <w:r w:rsidR="00B93862">
        <w:t xml:space="preserve">lost contact with the respondent’s son. It boggles the mind how prescription then becomes </w:t>
      </w:r>
      <w:r w:rsidR="009748C0">
        <w:t>such a</w:t>
      </w:r>
      <w:r w:rsidR="00B93862">
        <w:t xml:space="preserve"> centre point to what he had agreed to do</w:t>
      </w:r>
      <w:r w:rsidR="00E838DA">
        <w:t xml:space="preserve"> and intended to do</w:t>
      </w:r>
      <w:r w:rsidR="00B93862">
        <w:t>.</w:t>
      </w:r>
    </w:p>
    <w:p w:rsidR="00CE23D1" w:rsidRDefault="00B93862" w:rsidP="00A911D6">
      <w:pPr>
        <w:spacing w:after="0" w:line="360" w:lineRule="auto"/>
        <w:ind w:firstLine="720"/>
        <w:jc w:val="both"/>
      </w:pPr>
      <w:r>
        <w:t>Furthermore</w:t>
      </w:r>
      <w:r w:rsidR="009748C0">
        <w:t>,</w:t>
      </w:r>
      <w:r>
        <w:t xml:space="preserve"> </w:t>
      </w:r>
      <w:r w:rsidR="00903AA8">
        <w:t>since in an application for</w:t>
      </w:r>
      <w:r w:rsidR="00AA0038">
        <w:t xml:space="preserve"> </w:t>
      </w:r>
      <w:r w:rsidR="00903AA8">
        <w:t>rescission it</w:t>
      </w:r>
      <w:r w:rsidR="00AA0038">
        <w:t xml:space="preserve"> </w:t>
      </w:r>
      <w:r w:rsidR="00903AA8">
        <w:t>is all the factors that must be</w:t>
      </w:r>
      <w:r w:rsidR="00AA0038">
        <w:t xml:space="preserve"> looke</w:t>
      </w:r>
      <w:r w:rsidR="00903AA8">
        <w:t xml:space="preserve">d at </w:t>
      </w:r>
      <w:r w:rsidR="00140111">
        <w:t>conjunctively</w:t>
      </w:r>
      <w:r w:rsidR="00903AA8">
        <w:t>,</w:t>
      </w:r>
      <w:r w:rsidR="00AA0038">
        <w:t xml:space="preserve"> </w:t>
      </w:r>
      <w:r w:rsidR="00903AA8">
        <w:t xml:space="preserve">it </w:t>
      </w:r>
      <w:r w:rsidR="009748C0">
        <w:t>was</w:t>
      </w:r>
      <w:r w:rsidR="00AA0038">
        <w:t xml:space="preserve"> </w:t>
      </w:r>
      <w:r w:rsidR="00903AA8">
        <w:t>this</w:t>
      </w:r>
      <w:r w:rsidR="00AA0038">
        <w:t xml:space="preserve"> </w:t>
      </w:r>
      <w:r w:rsidR="00585065">
        <w:t>court’s</w:t>
      </w:r>
      <w:r w:rsidR="00AA0038">
        <w:t xml:space="preserve"> </w:t>
      </w:r>
      <w:r w:rsidR="00903AA8">
        <w:t>finding</w:t>
      </w:r>
      <w:r w:rsidR="00AA0038">
        <w:t xml:space="preserve"> </w:t>
      </w:r>
      <w:r w:rsidR="00903AA8">
        <w:t>that the application</w:t>
      </w:r>
      <w:r w:rsidR="00AA0038">
        <w:t xml:space="preserve"> </w:t>
      </w:r>
      <w:r w:rsidR="00903AA8">
        <w:t>for</w:t>
      </w:r>
      <w:r w:rsidR="00AA0038">
        <w:t xml:space="preserve"> </w:t>
      </w:r>
      <w:r w:rsidR="00903AA8">
        <w:t>rescission</w:t>
      </w:r>
      <w:r w:rsidR="00AA0038">
        <w:t xml:space="preserve"> </w:t>
      </w:r>
      <w:r w:rsidR="00903AA8">
        <w:t>was not made in time and</w:t>
      </w:r>
      <w:r w:rsidR="00AA0038">
        <w:t xml:space="preserve"> </w:t>
      </w:r>
      <w:r w:rsidR="00903AA8">
        <w:t>condonation for</w:t>
      </w:r>
      <w:r w:rsidR="00AA0038">
        <w:t xml:space="preserve"> </w:t>
      </w:r>
      <w:r w:rsidR="00903AA8">
        <w:t>late</w:t>
      </w:r>
      <w:r w:rsidR="00AA0038">
        <w:t xml:space="preserve"> </w:t>
      </w:r>
      <w:r w:rsidR="00903AA8">
        <w:t>filing ought to</w:t>
      </w:r>
      <w:r w:rsidR="00AA0038">
        <w:t xml:space="preserve"> </w:t>
      </w:r>
      <w:r w:rsidR="00903AA8">
        <w:t xml:space="preserve">have been sought. Equally, the application </w:t>
      </w:r>
      <w:r w:rsidR="009748C0">
        <w:t>wa</w:t>
      </w:r>
      <w:r w:rsidR="00903AA8">
        <w:t>s</w:t>
      </w:r>
      <w:r w:rsidR="00AA0038">
        <w:t xml:space="preserve"> </w:t>
      </w:r>
      <w:r w:rsidR="00903AA8">
        <w:t>essentially lacking</w:t>
      </w:r>
      <w:r w:rsidR="00AA0038">
        <w:t xml:space="preserve"> </w:t>
      </w:r>
      <w:r w:rsidR="00903AA8">
        <w:t>in merit</w:t>
      </w:r>
      <w:r w:rsidR="00AA0038">
        <w:t xml:space="preserve"> </w:t>
      </w:r>
      <w:r w:rsidR="00903AA8">
        <w:t>not just</w:t>
      </w:r>
      <w:r w:rsidR="00AA0038">
        <w:t xml:space="preserve"> </w:t>
      </w:r>
      <w:r w:rsidR="00903AA8">
        <w:t xml:space="preserve">for the </w:t>
      </w:r>
      <w:r w:rsidR="00AA0038">
        <w:t>r</w:t>
      </w:r>
      <w:r w:rsidR="00903AA8">
        <w:t>easons I have outlined</w:t>
      </w:r>
      <w:r w:rsidR="00AA0038">
        <w:t xml:space="preserve"> </w:t>
      </w:r>
      <w:r w:rsidR="00903AA8">
        <w:t>herein</w:t>
      </w:r>
      <w:r w:rsidR="00AA0038">
        <w:t xml:space="preserve"> </w:t>
      </w:r>
      <w:r w:rsidR="00903AA8">
        <w:t>but also</w:t>
      </w:r>
      <w:r w:rsidR="00AA0038">
        <w:t xml:space="preserve"> </w:t>
      </w:r>
      <w:r w:rsidR="00903AA8">
        <w:t>those I captured in</w:t>
      </w:r>
      <w:r w:rsidR="00AA0038">
        <w:t xml:space="preserve"> </w:t>
      </w:r>
      <w:r w:rsidR="00903AA8">
        <w:t>HH 456/17</w:t>
      </w:r>
      <w:r w:rsidR="00595245">
        <w:t xml:space="preserve"> regarding settlement agreements</w:t>
      </w:r>
      <w:r w:rsidR="00903AA8">
        <w:t xml:space="preserve">. </w:t>
      </w:r>
    </w:p>
    <w:p w:rsidR="006D7B01" w:rsidRDefault="006D7B01" w:rsidP="00A911D6">
      <w:pPr>
        <w:spacing w:line="360" w:lineRule="auto"/>
        <w:ind w:firstLine="720"/>
        <w:jc w:val="both"/>
      </w:pPr>
      <w:r>
        <w:t>The</w:t>
      </w:r>
      <w:r w:rsidR="00AA0038">
        <w:t xml:space="preserve"> </w:t>
      </w:r>
      <w:r>
        <w:t>application</w:t>
      </w:r>
      <w:r w:rsidR="00AA0038">
        <w:t xml:space="preserve"> </w:t>
      </w:r>
      <w:r>
        <w:t>for rescission is accordingly dismissed with</w:t>
      </w:r>
      <w:r w:rsidR="00AA0038">
        <w:t xml:space="preserve"> </w:t>
      </w:r>
      <w:r>
        <w:t>cos</w:t>
      </w:r>
      <w:r w:rsidR="00903AA8">
        <w:t>t</w:t>
      </w:r>
      <w:r>
        <w:t>s.</w:t>
      </w:r>
    </w:p>
    <w:p w:rsidR="007907A3" w:rsidRDefault="007907A3" w:rsidP="007907A3">
      <w:pPr>
        <w:spacing w:line="360" w:lineRule="auto"/>
        <w:jc w:val="both"/>
      </w:pPr>
    </w:p>
    <w:p w:rsidR="00A911D6" w:rsidRDefault="00A911D6" w:rsidP="007907A3">
      <w:pPr>
        <w:spacing w:line="360" w:lineRule="auto"/>
        <w:jc w:val="both"/>
      </w:pPr>
    </w:p>
    <w:p w:rsidR="007907A3" w:rsidRPr="00A911D6" w:rsidRDefault="00A911D6" w:rsidP="00A911D6">
      <w:pPr>
        <w:spacing w:after="0" w:line="240" w:lineRule="auto"/>
      </w:pPr>
      <w:r>
        <w:rPr>
          <w:i/>
        </w:rPr>
        <w:t xml:space="preserve">Wintertons, </w:t>
      </w:r>
      <w:r w:rsidRPr="00A911D6">
        <w:t>applicant</w:t>
      </w:r>
      <w:r>
        <w:t>’</w:t>
      </w:r>
      <w:r w:rsidRPr="00A911D6">
        <w:t>s l</w:t>
      </w:r>
      <w:r w:rsidR="007907A3" w:rsidRPr="00A911D6">
        <w:t xml:space="preserve">egal </w:t>
      </w:r>
      <w:r w:rsidRPr="00A911D6">
        <w:t>practitioners</w:t>
      </w:r>
      <w:r>
        <w:rPr>
          <w:i/>
        </w:rPr>
        <w:br/>
        <w:t xml:space="preserve">Kantor &amp; Immerman, </w:t>
      </w:r>
      <w:r w:rsidRPr="00A911D6">
        <w:t>r</w:t>
      </w:r>
      <w:r w:rsidR="007907A3" w:rsidRPr="00A911D6">
        <w:t>espondent</w:t>
      </w:r>
      <w:r w:rsidR="00EF10B5">
        <w:t>’</w:t>
      </w:r>
      <w:r w:rsidR="007907A3" w:rsidRPr="00A911D6">
        <w:t>s</w:t>
      </w:r>
      <w:r w:rsidR="00585065" w:rsidRPr="00A911D6">
        <w:t xml:space="preserve"> </w:t>
      </w:r>
      <w:r w:rsidRPr="00A911D6">
        <w:t>legal p</w:t>
      </w:r>
      <w:r w:rsidR="007907A3" w:rsidRPr="00A911D6">
        <w:t>ractitioners</w:t>
      </w:r>
    </w:p>
    <w:sectPr w:rsidR="007907A3" w:rsidRPr="00A911D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DA8" w:rsidRDefault="007A2DA8" w:rsidP="00585065">
      <w:pPr>
        <w:spacing w:after="0" w:line="240" w:lineRule="auto"/>
      </w:pPr>
      <w:r>
        <w:separator/>
      </w:r>
    </w:p>
  </w:endnote>
  <w:endnote w:type="continuationSeparator" w:id="0">
    <w:p w:rsidR="007A2DA8" w:rsidRDefault="007A2DA8" w:rsidP="0058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065" w:rsidRDefault="00585065">
    <w:pPr>
      <w:pStyle w:val="Footer"/>
      <w:jc w:val="right"/>
    </w:pPr>
  </w:p>
  <w:p w:rsidR="00585065" w:rsidRDefault="00585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A8" w:rsidRDefault="007A2DA8" w:rsidP="00585065">
      <w:pPr>
        <w:spacing w:after="0" w:line="240" w:lineRule="auto"/>
      </w:pPr>
      <w:r>
        <w:separator/>
      </w:r>
    </w:p>
  </w:footnote>
  <w:footnote w:type="continuationSeparator" w:id="0">
    <w:p w:rsidR="007A2DA8" w:rsidRDefault="007A2DA8" w:rsidP="00585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9484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11D6" w:rsidRDefault="00A911D6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67D">
          <w:rPr>
            <w:noProof/>
          </w:rPr>
          <w:t>1</w:t>
        </w:r>
        <w:r>
          <w:rPr>
            <w:noProof/>
          </w:rPr>
          <w:fldChar w:fldCharType="end"/>
        </w:r>
      </w:p>
      <w:p w:rsidR="00A911D6" w:rsidRDefault="00A911D6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EF10B5">
          <w:rPr>
            <w:noProof/>
          </w:rPr>
          <w:t>-83-18</w:t>
        </w:r>
      </w:p>
      <w:p w:rsidR="004C7DE1" w:rsidRDefault="00A911D6">
        <w:pPr>
          <w:pStyle w:val="Header"/>
          <w:jc w:val="right"/>
          <w:rPr>
            <w:noProof/>
          </w:rPr>
        </w:pPr>
        <w:r>
          <w:rPr>
            <w:noProof/>
          </w:rPr>
          <w:t>HC 11586/15</w:t>
        </w:r>
      </w:p>
      <w:p w:rsidR="00A911D6" w:rsidRDefault="004C7DE1">
        <w:pPr>
          <w:pStyle w:val="Header"/>
          <w:jc w:val="right"/>
        </w:pPr>
        <w:r>
          <w:rPr>
            <w:noProof/>
          </w:rPr>
          <w:t>REF CASE HH 456/17</w:t>
        </w:r>
      </w:p>
    </w:sdtContent>
  </w:sdt>
  <w:p w:rsidR="00585065" w:rsidRDefault="00585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50C74"/>
    <w:multiLevelType w:val="hybridMultilevel"/>
    <w:tmpl w:val="0EE48C82"/>
    <w:lvl w:ilvl="0" w:tplc="3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9A"/>
    <w:rsid w:val="00005CDF"/>
    <w:rsid w:val="00035719"/>
    <w:rsid w:val="00055CB8"/>
    <w:rsid w:val="000641E7"/>
    <w:rsid w:val="0008127D"/>
    <w:rsid w:val="000E5293"/>
    <w:rsid w:val="00140111"/>
    <w:rsid w:val="00175372"/>
    <w:rsid w:val="00190015"/>
    <w:rsid w:val="001B62F5"/>
    <w:rsid w:val="001B7F0F"/>
    <w:rsid w:val="001C2BE9"/>
    <w:rsid w:val="001D0859"/>
    <w:rsid w:val="001E11E0"/>
    <w:rsid w:val="00213AB1"/>
    <w:rsid w:val="002226DE"/>
    <w:rsid w:val="002331F4"/>
    <w:rsid w:val="002347CB"/>
    <w:rsid w:val="0023506F"/>
    <w:rsid w:val="002445BB"/>
    <w:rsid w:val="00245264"/>
    <w:rsid w:val="00260C7C"/>
    <w:rsid w:val="002A2CAB"/>
    <w:rsid w:val="002B040A"/>
    <w:rsid w:val="002C7E69"/>
    <w:rsid w:val="002E5108"/>
    <w:rsid w:val="00397371"/>
    <w:rsid w:val="003D5B17"/>
    <w:rsid w:val="003D6CBB"/>
    <w:rsid w:val="003E21CE"/>
    <w:rsid w:val="003F3804"/>
    <w:rsid w:val="00414A85"/>
    <w:rsid w:val="00450095"/>
    <w:rsid w:val="0045246C"/>
    <w:rsid w:val="004600FC"/>
    <w:rsid w:val="004877A3"/>
    <w:rsid w:val="00497B88"/>
    <w:rsid w:val="004A4F2C"/>
    <w:rsid w:val="004B1D37"/>
    <w:rsid w:val="004B5EEC"/>
    <w:rsid w:val="004C7DE1"/>
    <w:rsid w:val="004D2068"/>
    <w:rsid w:val="0050286B"/>
    <w:rsid w:val="00533884"/>
    <w:rsid w:val="00571A4E"/>
    <w:rsid w:val="00585065"/>
    <w:rsid w:val="00595245"/>
    <w:rsid w:val="005B3B57"/>
    <w:rsid w:val="005C2162"/>
    <w:rsid w:val="005C549F"/>
    <w:rsid w:val="005C75A7"/>
    <w:rsid w:val="005D1DF1"/>
    <w:rsid w:val="005D72AA"/>
    <w:rsid w:val="005F77DD"/>
    <w:rsid w:val="006116C1"/>
    <w:rsid w:val="00613F4F"/>
    <w:rsid w:val="006401D6"/>
    <w:rsid w:val="006642DA"/>
    <w:rsid w:val="0069326B"/>
    <w:rsid w:val="006B1278"/>
    <w:rsid w:val="006C1768"/>
    <w:rsid w:val="006D72D7"/>
    <w:rsid w:val="006D7B01"/>
    <w:rsid w:val="006F513B"/>
    <w:rsid w:val="006F6733"/>
    <w:rsid w:val="0071020A"/>
    <w:rsid w:val="00740BB9"/>
    <w:rsid w:val="00747E78"/>
    <w:rsid w:val="00782651"/>
    <w:rsid w:val="007907A3"/>
    <w:rsid w:val="00796388"/>
    <w:rsid w:val="007A2DA8"/>
    <w:rsid w:val="007A55A6"/>
    <w:rsid w:val="007C37F8"/>
    <w:rsid w:val="007C67C7"/>
    <w:rsid w:val="007E437D"/>
    <w:rsid w:val="0080414B"/>
    <w:rsid w:val="00822667"/>
    <w:rsid w:val="00833652"/>
    <w:rsid w:val="00853193"/>
    <w:rsid w:val="008605C5"/>
    <w:rsid w:val="0086156D"/>
    <w:rsid w:val="00892B01"/>
    <w:rsid w:val="008B7699"/>
    <w:rsid w:val="00903AA8"/>
    <w:rsid w:val="00915CBA"/>
    <w:rsid w:val="00926111"/>
    <w:rsid w:val="0093207C"/>
    <w:rsid w:val="00942B86"/>
    <w:rsid w:val="00966D6D"/>
    <w:rsid w:val="009748C0"/>
    <w:rsid w:val="0098249F"/>
    <w:rsid w:val="00986ADB"/>
    <w:rsid w:val="009B4E94"/>
    <w:rsid w:val="009C7A88"/>
    <w:rsid w:val="00A02FC8"/>
    <w:rsid w:val="00A50126"/>
    <w:rsid w:val="00A52A54"/>
    <w:rsid w:val="00A911D6"/>
    <w:rsid w:val="00AA0038"/>
    <w:rsid w:val="00AD4CFF"/>
    <w:rsid w:val="00AD7400"/>
    <w:rsid w:val="00B05D5F"/>
    <w:rsid w:val="00B11FA5"/>
    <w:rsid w:val="00B16935"/>
    <w:rsid w:val="00B3067D"/>
    <w:rsid w:val="00B3346D"/>
    <w:rsid w:val="00B56756"/>
    <w:rsid w:val="00B8502A"/>
    <w:rsid w:val="00B910A1"/>
    <w:rsid w:val="00B93862"/>
    <w:rsid w:val="00BB6C23"/>
    <w:rsid w:val="00BF5342"/>
    <w:rsid w:val="00BF7DA9"/>
    <w:rsid w:val="00C347D2"/>
    <w:rsid w:val="00C407C5"/>
    <w:rsid w:val="00C71411"/>
    <w:rsid w:val="00C92E9A"/>
    <w:rsid w:val="00CE23D1"/>
    <w:rsid w:val="00D104E3"/>
    <w:rsid w:val="00DD6002"/>
    <w:rsid w:val="00DD6FE2"/>
    <w:rsid w:val="00DF6850"/>
    <w:rsid w:val="00E11349"/>
    <w:rsid w:val="00E1739F"/>
    <w:rsid w:val="00E2609A"/>
    <w:rsid w:val="00E41343"/>
    <w:rsid w:val="00E478E1"/>
    <w:rsid w:val="00E51AA7"/>
    <w:rsid w:val="00E72133"/>
    <w:rsid w:val="00E73261"/>
    <w:rsid w:val="00E82668"/>
    <w:rsid w:val="00E838DA"/>
    <w:rsid w:val="00E83E54"/>
    <w:rsid w:val="00E93830"/>
    <w:rsid w:val="00ED4671"/>
    <w:rsid w:val="00EE604D"/>
    <w:rsid w:val="00EF10B5"/>
    <w:rsid w:val="00EF5169"/>
    <w:rsid w:val="00EF74CD"/>
    <w:rsid w:val="00F079BD"/>
    <w:rsid w:val="00F50D5C"/>
    <w:rsid w:val="00FB5C30"/>
    <w:rsid w:val="00FC3831"/>
    <w:rsid w:val="00FC54D0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B7D4D6-E0E7-4289-BC03-1A005150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A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065"/>
  </w:style>
  <w:style w:type="paragraph" w:styleId="Footer">
    <w:name w:val="footer"/>
    <w:basedOn w:val="Normal"/>
    <w:link w:val="FooterChar"/>
    <w:uiPriority w:val="99"/>
    <w:unhideWhenUsed/>
    <w:rsid w:val="00585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065"/>
  </w:style>
  <w:style w:type="paragraph" w:styleId="BalloonText">
    <w:name w:val="Balloon Text"/>
    <w:basedOn w:val="Normal"/>
    <w:link w:val="BalloonTextChar"/>
    <w:uiPriority w:val="99"/>
    <w:semiHidden/>
    <w:unhideWhenUsed/>
    <w:rsid w:val="007C6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JSC</cp:lastModifiedBy>
  <cp:revision>2</cp:revision>
  <cp:lastPrinted>2018-02-14T06:35:00Z</cp:lastPrinted>
  <dcterms:created xsi:type="dcterms:W3CDTF">2018-02-19T06:56:00Z</dcterms:created>
  <dcterms:modified xsi:type="dcterms:W3CDTF">2018-02-19T06:56:00Z</dcterms:modified>
</cp:coreProperties>
</file>