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3A322" w14:textId="77777777" w:rsidR="00743640" w:rsidRPr="00C5377E" w:rsidRDefault="00743640">
      <w:pPr>
        <w:rPr>
          <w:rFonts w:ascii="Times New Roman" w:hAnsi="Times New Roman" w:cs="Times New Roman"/>
          <w:sz w:val="24"/>
          <w:szCs w:val="24"/>
        </w:rPr>
      </w:pPr>
      <w:bookmarkStart w:id="0" w:name="_GoBack"/>
      <w:bookmarkEnd w:id="0"/>
    </w:p>
    <w:p w14:paraId="115989FA" w14:textId="2F0A9151" w:rsidR="00C5377E" w:rsidRPr="00C5377E" w:rsidRDefault="00C5377E" w:rsidP="00F47F14">
      <w:pPr>
        <w:pStyle w:val="NoSpacing"/>
        <w:spacing w:line="360" w:lineRule="auto"/>
        <w:rPr>
          <w:rFonts w:ascii="Times New Roman" w:hAnsi="Times New Roman" w:cs="Times New Roman"/>
          <w:sz w:val="24"/>
          <w:szCs w:val="24"/>
        </w:rPr>
      </w:pPr>
      <w:r w:rsidRPr="00C5377E">
        <w:rPr>
          <w:rFonts w:ascii="Times New Roman" w:hAnsi="Times New Roman" w:cs="Times New Roman"/>
          <w:sz w:val="24"/>
          <w:szCs w:val="24"/>
        </w:rPr>
        <w:t>PEOPLE`S OWN SAVINGS BANK</w:t>
      </w:r>
    </w:p>
    <w:p w14:paraId="14AA1D86" w14:textId="58EEA132" w:rsidR="00C5377E" w:rsidRPr="00C5377E" w:rsidRDefault="00C5377E" w:rsidP="00F47F14">
      <w:pPr>
        <w:pStyle w:val="NoSpacing"/>
        <w:spacing w:line="360" w:lineRule="auto"/>
        <w:rPr>
          <w:rFonts w:ascii="Times New Roman" w:hAnsi="Times New Roman" w:cs="Times New Roman"/>
          <w:sz w:val="24"/>
          <w:szCs w:val="24"/>
        </w:rPr>
      </w:pPr>
      <w:r w:rsidRPr="00C5377E">
        <w:rPr>
          <w:rFonts w:ascii="Times New Roman" w:hAnsi="Times New Roman" w:cs="Times New Roman"/>
          <w:sz w:val="24"/>
          <w:szCs w:val="24"/>
        </w:rPr>
        <w:t>Versus</w:t>
      </w:r>
    </w:p>
    <w:p w14:paraId="17EDBFB1" w14:textId="559192FB" w:rsidR="00C5377E" w:rsidRPr="00C5377E" w:rsidRDefault="00C5377E" w:rsidP="00F47F14">
      <w:pPr>
        <w:pStyle w:val="NoSpacing"/>
        <w:spacing w:line="360" w:lineRule="auto"/>
        <w:rPr>
          <w:rFonts w:ascii="Times New Roman" w:hAnsi="Times New Roman" w:cs="Times New Roman"/>
          <w:sz w:val="24"/>
          <w:szCs w:val="24"/>
        </w:rPr>
      </w:pPr>
      <w:r w:rsidRPr="00C5377E">
        <w:rPr>
          <w:rFonts w:ascii="Times New Roman" w:hAnsi="Times New Roman" w:cs="Times New Roman"/>
          <w:sz w:val="24"/>
          <w:szCs w:val="24"/>
        </w:rPr>
        <w:t>CHARTER PROPERTIES (PVT) LTD</w:t>
      </w:r>
    </w:p>
    <w:p w14:paraId="14166755" w14:textId="77777777" w:rsidR="00C5377E" w:rsidRPr="00C5377E" w:rsidRDefault="00C5377E" w:rsidP="00F47F14">
      <w:pPr>
        <w:spacing w:line="360" w:lineRule="auto"/>
        <w:rPr>
          <w:rFonts w:ascii="Times New Roman" w:hAnsi="Times New Roman" w:cs="Times New Roman"/>
          <w:sz w:val="24"/>
          <w:szCs w:val="24"/>
        </w:rPr>
      </w:pPr>
    </w:p>
    <w:p w14:paraId="639CB817" w14:textId="3FD785F6"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sz w:val="24"/>
          <w:szCs w:val="24"/>
        </w:rPr>
        <w:t>HIGH COURT OF ZIMBABWE</w:t>
      </w:r>
    </w:p>
    <w:p w14:paraId="57D032BE" w14:textId="6E069F34"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sz w:val="24"/>
          <w:szCs w:val="24"/>
        </w:rPr>
        <w:t xml:space="preserve">COMMERCIAL DIVISION </w:t>
      </w:r>
    </w:p>
    <w:p w14:paraId="6C1465F8" w14:textId="424F3FC3"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sz w:val="24"/>
          <w:szCs w:val="24"/>
        </w:rPr>
        <w:t>CHILIMBE J</w:t>
      </w:r>
    </w:p>
    <w:p w14:paraId="4D3B2A56" w14:textId="39D3360E"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sz w:val="24"/>
          <w:szCs w:val="24"/>
        </w:rPr>
        <w:t>19 July 2023 and 2</w:t>
      </w:r>
      <w:r w:rsidR="004D72E7">
        <w:rPr>
          <w:rFonts w:ascii="Times New Roman" w:hAnsi="Times New Roman" w:cs="Times New Roman"/>
          <w:sz w:val="24"/>
          <w:szCs w:val="24"/>
        </w:rPr>
        <w:t>8</w:t>
      </w:r>
      <w:r w:rsidRPr="00C5377E">
        <w:rPr>
          <w:rFonts w:ascii="Times New Roman" w:hAnsi="Times New Roman" w:cs="Times New Roman"/>
          <w:sz w:val="24"/>
          <w:szCs w:val="24"/>
        </w:rPr>
        <w:t xml:space="preserve"> February 2024</w:t>
      </w:r>
    </w:p>
    <w:p w14:paraId="2544C396" w14:textId="77777777" w:rsidR="00C5377E" w:rsidRPr="00C5377E" w:rsidRDefault="00C5377E">
      <w:pPr>
        <w:rPr>
          <w:rFonts w:ascii="Times New Roman" w:hAnsi="Times New Roman" w:cs="Times New Roman"/>
          <w:sz w:val="24"/>
          <w:szCs w:val="24"/>
        </w:rPr>
      </w:pPr>
    </w:p>
    <w:p w14:paraId="33C96DB3" w14:textId="6E9B5C80"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i/>
          <w:iCs/>
          <w:sz w:val="24"/>
          <w:szCs w:val="24"/>
        </w:rPr>
        <w:t>N.</w:t>
      </w:r>
      <w:r w:rsidRPr="00C5377E">
        <w:rPr>
          <w:rFonts w:ascii="Times New Roman" w:hAnsi="Times New Roman" w:cs="Times New Roman"/>
          <w:sz w:val="24"/>
          <w:szCs w:val="24"/>
        </w:rPr>
        <w:t xml:space="preserve"> </w:t>
      </w:r>
      <w:r w:rsidRPr="00C5377E">
        <w:rPr>
          <w:rFonts w:ascii="Times New Roman" w:hAnsi="Times New Roman" w:cs="Times New Roman"/>
          <w:i/>
          <w:iCs/>
          <w:sz w:val="24"/>
          <w:szCs w:val="24"/>
        </w:rPr>
        <w:t>Chidembo</w:t>
      </w:r>
      <w:r w:rsidRPr="00C5377E">
        <w:rPr>
          <w:rFonts w:ascii="Times New Roman" w:hAnsi="Times New Roman" w:cs="Times New Roman"/>
          <w:sz w:val="24"/>
          <w:szCs w:val="24"/>
        </w:rPr>
        <w:t xml:space="preserve"> for applicant</w:t>
      </w:r>
    </w:p>
    <w:p w14:paraId="57E10277" w14:textId="77777777"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i/>
          <w:iCs/>
          <w:sz w:val="24"/>
          <w:szCs w:val="24"/>
        </w:rPr>
        <w:t>N.</w:t>
      </w:r>
      <w:r w:rsidRPr="00C5377E">
        <w:rPr>
          <w:rFonts w:ascii="Times New Roman" w:hAnsi="Times New Roman" w:cs="Times New Roman"/>
          <w:sz w:val="24"/>
          <w:szCs w:val="24"/>
        </w:rPr>
        <w:t xml:space="preserve"> </w:t>
      </w:r>
      <w:r w:rsidRPr="00C5377E">
        <w:rPr>
          <w:rFonts w:ascii="Times New Roman" w:hAnsi="Times New Roman" w:cs="Times New Roman"/>
          <w:i/>
          <w:iCs/>
          <w:sz w:val="24"/>
          <w:szCs w:val="24"/>
        </w:rPr>
        <w:t>Musengwa</w:t>
      </w:r>
      <w:r w:rsidRPr="00C5377E">
        <w:rPr>
          <w:rFonts w:ascii="Times New Roman" w:hAnsi="Times New Roman" w:cs="Times New Roman"/>
          <w:sz w:val="24"/>
          <w:szCs w:val="24"/>
        </w:rPr>
        <w:t xml:space="preserve"> with </w:t>
      </w:r>
      <w:r w:rsidRPr="00C5377E">
        <w:rPr>
          <w:rFonts w:ascii="Times New Roman" w:hAnsi="Times New Roman" w:cs="Times New Roman"/>
          <w:i/>
          <w:iCs/>
          <w:sz w:val="24"/>
          <w:szCs w:val="24"/>
        </w:rPr>
        <w:t>W. Musikadi</w:t>
      </w:r>
      <w:r w:rsidRPr="00C5377E">
        <w:rPr>
          <w:rFonts w:ascii="Times New Roman" w:hAnsi="Times New Roman" w:cs="Times New Roman"/>
          <w:sz w:val="24"/>
          <w:szCs w:val="24"/>
        </w:rPr>
        <w:t xml:space="preserve"> for respondent</w:t>
      </w:r>
    </w:p>
    <w:p w14:paraId="1F25AB48" w14:textId="77777777" w:rsidR="00C5377E" w:rsidRPr="00C5377E" w:rsidRDefault="00C5377E" w:rsidP="00C5377E">
      <w:pPr>
        <w:pStyle w:val="NoSpacing"/>
        <w:rPr>
          <w:rFonts w:ascii="Times New Roman" w:hAnsi="Times New Roman" w:cs="Times New Roman"/>
          <w:sz w:val="24"/>
          <w:szCs w:val="24"/>
        </w:rPr>
      </w:pPr>
    </w:p>
    <w:p w14:paraId="6DF2ED4A" w14:textId="77777777" w:rsidR="00C5377E" w:rsidRPr="00F47F14" w:rsidRDefault="00C5377E" w:rsidP="00C5377E">
      <w:pPr>
        <w:pStyle w:val="NoSpacing"/>
        <w:rPr>
          <w:rFonts w:ascii="Times New Roman" w:hAnsi="Times New Roman" w:cs="Times New Roman"/>
          <w:b/>
          <w:bCs/>
          <w:sz w:val="24"/>
          <w:szCs w:val="24"/>
        </w:rPr>
      </w:pPr>
      <w:r w:rsidRPr="00F47F14">
        <w:rPr>
          <w:rFonts w:ascii="Times New Roman" w:hAnsi="Times New Roman" w:cs="Times New Roman"/>
          <w:b/>
          <w:bCs/>
          <w:sz w:val="24"/>
          <w:szCs w:val="24"/>
        </w:rPr>
        <w:t>Opposed application</w:t>
      </w:r>
    </w:p>
    <w:p w14:paraId="04713F05" w14:textId="77777777" w:rsidR="00C5377E" w:rsidRPr="00C5377E" w:rsidRDefault="00C5377E" w:rsidP="00C5377E">
      <w:pPr>
        <w:pStyle w:val="NoSpacing"/>
        <w:rPr>
          <w:rFonts w:ascii="Times New Roman" w:hAnsi="Times New Roman" w:cs="Times New Roman"/>
          <w:sz w:val="24"/>
          <w:szCs w:val="24"/>
        </w:rPr>
      </w:pPr>
    </w:p>
    <w:p w14:paraId="7EA9297E" w14:textId="77777777"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sz w:val="24"/>
          <w:szCs w:val="24"/>
        </w:rPr>
        <w:t>CHILIMBE J</w:t>
      </w:r>
    </w:p>
    <w:p w14:paraId="1DEFDA65" w14:textId="77777777" w:rsidR="00C5377E" w:rsidRPr="00C5377E" w:rsidRDefault="00C5377E" w:rsidP="00C5377E">
      <w:pPr>
        <w:pStyle w:val="NoSpacing"/>
        <w:rPr>
          <w:rFonts w:ascii="Times New Roman" w:hAnsi="Times New Roman" w:cs="Times New Roman"/>
          <w:sz w:val="24"/>
          <w:szCs w:val="24"/>
        </w:rPr>
      </w:pPr>
    </w:p>
    <w:p w14:paraId="65C0ADB3" w14:textId="77777777" w:rsidR="00C5377E" w:rsidRPr="00C5377E" w:rsidRDefault="00C5377E" w:rsidP="00C5377E">
      <w:pPr>
        <w:pStyle w:val="NoSpacing"/>
        <w:rPr>
          <w:rFonts w:ascii="Times New Roman" w:hAnsi="Times New Roman" w:cs="Times New Roman"/>
          <w:sz w:val="24"/>
          <w:szCs w:val="24"/>
        </w:rPr>
      </w:pPr>
      <w:r w:rsidRPr="00C5377E">
        <w:rPr>
          <w:rFonts w:ascii="Times New Roman" w:hAnsi="Times New Roman" w:cs="Times New Roman"/>
          <w:sz w:val="24"/>
          <w:szCs w:val="24"/>
        </w:rPr>
        <w:t>BACKGROUND</w:t>
      </w:r>
    </w:p>
    <w:p w14:paraId="16989F5D" w14:textId="77777777" w:rsidR="00C5377E" w:rsidRPr="00C5377E" w:rsidRDefault="00C5377E" w:rsidP="00C5377E">
      <w:pPr>
        <w:pStyle w:val="NoSpacing"/>
        <w:rPr>
          <w:rFonts w:ascii="Times New Roman" w:hAnsi="Times New Roman" w:cs="Times New Roman"/>
          <w:sz w:val="24"/>
          <w:szCs w:val="24"/>
        </w:rPr>
      </w:pPr>
    </w:p>
    <w:p w14:paraId="69B8E605" w14:textId="1CD063E6" w:rsidR="00B757D8" w:rsidRDefault="00C5377E" w:rsidP="00B757D8">
      <w:pPr>
        <w:pStyle w:val="NoSpacing"/>
        <w:spacing w:line="360" w:lineRule="auto"/>
        <w:jc w:val="both"/>
        <w:rPr>
          <w:rFonts w:ascii="Times New Roman" w:hAnsi="Times New Roman" w:cs="Times New Roman"/>
          <w:sz w:val="24"/>
          <w:szCs w:val="24"/>
        </w:rPr>
      </w:pPr>
      <w:r w:rsidRPr="00B757D8">
        <w:rPr>
          <w:rFonts w:ascii="Times New Roman" w:hAnsi="Times New Roman" w:cs="Times New Roman"/>
          <w:sz w:val="24"/>
          <w:szCs w:val="24"/>
        </w:rPr>
        <w:t>[ 1</w:t>
      </w:r>
      <w:r w:rsidR="00195FF0" w:rsidRPr="00B757D8">
        <w:rPr>
          <w:rFonts w:ascii="Times New Roman" w:hAnsi="Times New Roman" w:cs="Times New Roman"/>
          <w:sz w:val="24"/>
          <w:szCs w:val="24"/>
        </w:rPr>
        <w:t>] The applicant (“POSB”) prays for an order in the following terms; -</w:t>
      </w:r>
    </w:p>
    <w:p w14:paraId="743C5393" w14:textId="77777777" w:rsidR="000673E0" w:rsidRPr="00B757D8" w:rsidRDefault="000673E0" w:rsidP="00B757D8">
      <w:pPr>
        <w:pStyle w:val="NoSpacing"/>
        <w:spacing w:line="360" w:lineRule="auto"/>
        <w:jc w:val="both"/>
        <w:rPr>
          <w:rFonts w:ascii="Times New Roman" w:hAnsi="Times New Roman" w:cs="Times New Roman"/>
          <w:sz w:val="24"/>
          <w:szCs w:val="24"/>
        </w:rPr>
      </w:pPr>
    </w:p>
    <w:p w14:paraId="63860250" w14:textId="176CDA09" w:rsidR="000673E0" w:rsidRPr="000673E0" w:rsidRDefault="00F47F14" w:rsidP="000673E0">
      <w:pPr>
        <w:pStyle w:val="NoSpacing"/>
        <w:numPr>
          <w:ilvl w:val="0"/>
          <w:numId w:val="1"/>
        </w:numPr>
        <w:spacing w:line="360" w:lineRule="auto"/>
        <w:ind w:left="1134"/>
        <w:jc w:val="both"/>
        <w:rPr>
          <w:rFonts w:ascii="Times New Roman" w:hAnsi="Times New Roman" w:cs="Times New Roman"/>
          <w:sz w:val="24"/>
          <w:szCs w:val="24"/>
        </w:rPr>
      </w:pPr>
      <w:r w:rsidRPr="000673E0">
        <w:rPr>
          <w:rFonts w:ascii="Times New Roman" w:hAnsi="Times New Roman" w:cs="Times New Roman"/>
          <w:sz w:val="24"/>
          <w:szCs w:val="24"/>
        </w:rPr>
        <w:t>“</w:t>
      </w:r>
      <w:r w:rsidR="00195FF0" w:rsidRPr="000673E0">
        <w:rPr>
          <w:rFonts w:ascii="Times New Roman" w:hAnsi="Times New Roman" w:cs="Times New Roman"/>
          <w:sz w:val="24"/>
          <w:szCs w:val="24"/>
        </w:rPr>
        <w:t>Condonation of the late filing of an application for rescission of a default judgment entered into on 27 January 2023 under HCHC 485/22 (“application for condonation”); and</w:t>
      </w:r>
    </w:p>
    <w:p w14:paraId="232EC601" w14:textId="2A305F9A" w:rsidR="00195FF0" w:rsidRDefault="00F47F14" w:rsidP="00B757D8">
      <w:pPr>
        <w:pStyle w:val="NoSpacing"/>
        <w:numPr>
          <w:ilvl w:val="0"/>
          <w:numId w:val="1"/>
        </w:numPr>
        <w:spacing w:line="360" w:lineRule="auto"/>
        <w:ind w:left="1134"/>
        <w:jc w:val="both"/>
        <w:rPr>
          <w:rFonts w:ascii="Times New Roman" w:hAnsi="Times New Roman" w:cs="Times New Roman"/>
          <w:sz w:val="24"/>
          <w:szCs w:val="24"/>
        </w:rPr>
      </w:pPr>
      <w:r w:rsidRPr="004B07C5">
        <w:rPr>
          <w:rFonts w:ascii="Times New Roman" w:hAnsi="Times New Roman" w:cs="Times New Roman"/>
          <w:sz w:val="24"/>
          <w:szCs w:val="24"/>
        </w:rPr>
        <w:t>The rescission of the said default judgment under HCHC 485/22 (“application for rescission”).</w:t>
      </w:r>
    </w:p>
    <w:p w14:paraId="6C2FFA29" w14:textId="77777777" w:rsidR="000673E0" w:rsidRPr="004B07C5" w:rsidRDefault="000673E0" w:rsidP="000673E0">
      <w:pPr>
        <w:pStyle w:val="NoSpacing"/>
        <w:spacing w:line="360" w:lineRule="auto"/>
        <w:ind w:left="1134"/>
        <w:jc w:val="both"/>
        <w:rPr>
          <w:rFonts w:ascii="Times New Roman" w:hAnsi="Times New Roman" w:cs="Times New Roman"/>
          <w:sz w:val="24"/>
          <w:szCs w:val="24"/>
        </w:rPr>
      </w:pPr>
    </w:p>
    <w:p w14:paraId="4ECB18FC" w14:textId="522C333C" w:rsidR="00641761" w:rsidRDefault="00F47F14" w:rsidP="00B757D8">
      <w:pPr>
        <w:pStyle w:val="NoSpacing"/>
        <w:spacing w:line="360" w:lineRule="auto"/>
        <w:jc w:val="both"/>
        <w:rPr>
          <w:rFonts w:ascii="Times New Roman" w:hAnsi="Times New Roman" w:cs="Times New Roman"/>
          <w:sz w:val="24"/>
          <w:szCs w:val="24"/>
        </w:rPr>
      </w:pPr>
      <w:r w:rsidRPr="00B757D8">
        <w:rPr>
          <w:rFonts w:ascii="Times New Roman" w:hAnsi="Times New Roman" w:cs="Times New Roman"/>
          <w:sz w:val="24"/>
          <w:szCs w:val="24"/>
        </w:rPr>
        <w:t xml:space="preserve">[ </w:t>
      </w:r>
      <w:r w:rsidR="00E21971" w:rsidRPr="00B757D8">
        <w:rPr>
          <w:rFonts w:ascii="Times New Roman" w:hAnsi="Times New Roman" w:cs="Times New Roman"/>
          <w:sz w:val="24"/>
          <w:szCs w:val="24"/>
        </w:rPr>
        <w:t>2]</w:t>
      </w:r>
      <w:r w:rsidRPr="00B757D8">
        <w:rPr>
          <w:rFonts w:ascii="Times New Roman" w:hAnsi="Times New Roman" w:cs="Times New Roman"/>
          <w:sz w:val="24"/>
          <w:szCs w:val="24"/>
        </w:rPr>
        <w:t xml:space="preserve"> </w:t>
      </w:r>
      <w:r w:rsidR="00315A0C">
        <w:rPr>
          <w:rFonts w:ascii="Times New Roman" w:hAnsi="Times New Roman" w:cs="Times New Roman"/>
          <w:sz w:val="24"/>
          <w:szCs w:val="24"/>
        </w:rPr>
        <w:t xml:space="preserve">At the heart of the </w:t>
      </w:r>
      <w:r w:rsidR="004B07C5">
        <w:rPr>
          <w:rFonts w:ascii="Times New Roman" w:hAnsi="Times New Roman" w:cs="Times New Roman"/>
          <w:sz w:val="24"/>
          <w:szCs w:val="24"/>
        </w:rPr>
        <w:t xml:space="preserve">dispute </w:t>
      </w:r>
      <w:r w:rsidR="00315A0C">
        <w:rPr>
          <w:rFonts w:ascii="Times New Roman" w:hAnsi="Times New Roman" w:cs="Times New Roman"/>
          <w:sz w:val="24"/>
          <w:szCs w:val="24"/>
        </w:rPr>
        <w:t>is a landlord (</w:t>
      </w:r>
      <w:r w:rsidR="004D72E7">
        <w:rPr>
          <w:rFonts w:ascii="Times New Roman" w:hAnsi="Times New Roman" w:cs="Times New Roman"/>
          <w:sz w:val="24"/>
          <w:szCs w:val="24"/>
        </w:rPr>
        <w:t>respondent or “</w:t>
      </w:r>
      <w:r w:rsidR="00315A0C">
        <w:rPr>
          <w:rFonts w:ascii="Times New Roman" w:hAnsi="Times New Roman" w:cs="Times New Roman"/>
          <w:sz w:val="24"/>
          <w:szCs w:val="24"/>
        </w:rPr>
        <w:t>Charter Properties</w:t>
      </w:r>
      <w:r w:rsidR="004D72E7">
        <w:rPr>
          <w:rFonts w:ascii="Times New Roman" w:hAnsi="Times New Roman" w:cs="Times New Roman"/>
          <w:sz w:val="24"/>
          <w:szCs w:val="24"/>
        </w:rPr>
        <w:t>”</w:t>
      </w:r>
      <w:r w:rsidR="00315A0C">
        <w:rPr>
          <w:rFonts w:ascii="Times New Roman" w:hAnsi="Times New Roman" w:cs="Times New Roman"/>
          <w:sz w:val="24"/>
          <w:szCs w:val="24"/>
        </w:rPr>
        <w:t xml:space="preserve">) and tenant (POSB) relationship. POSB is a registered commercial bank. The parties entered into a lease agreement sometime in </w:t>
      </w:r>
      <w:r w:rsidR="00641761">
        <w:rPr>
          <w:rFonts w:ascii="Times New Roman" w:hAnsi="Times New Roman" w:cs="Times New Roman"/>
          <w:sz w:val="24"/>
          <w:szCs w:val="24"/>
        </w:rPr>
        <w:t>2018. By</w:t>
      </w:r>
      <w:r w:rsidR="004B07C5">
        <w:rPr>
          <w:rFonts w:ascii="Times New Roman" w:hAnsi="Times New Roman" w:cs="Times New Roman"/>
          <w:sz w:val="24"/>
          <w:szCs w:val="24"/>
        </w:rPr>
        <w:t xml:space="preserve"> such agreement,</w:t>
      </w:r>
      <w:r w:rsidR="00315A0C">
        <w:rPr>
          <w:rFonts w:ascii="Times New Roman" w:hAnsi="Times New Roman" w:cs="Times New Roman"/>
          <w:sz w:val="24"/>
          <w:szCs w:val="24"/>
        </w:rPr>
        <w:t xml:space="preserve"> POSB leased premises described as Shop 18, Chiyedza House, Kwame Nkrumah Avenue in Harare</w:t>
      </w:r>
      <w:r w:rsidR="004B07C5">
        <w:rPr>
          <w:rFonts w:ascii="Times New Roman" w:hAnsi="Times New Roman" w:cs="Times New Roman"/>
          <w:sz w:val="24"/>
          <w:szCs w:val="24"/>
        </w:rPr>
        <w:t xml:space="preserve"> to operate a branch of its banking business</w:t>
      </w:r>
      <w:r w:rsidR="00315A0C">
        <w:rPr>
          <w:rFonts w:ascii="Times New Roman" w:hAnsi="Times New Roman" w:cs="Times New Roman"/>
          <w:sz w:val="24"/>
          <w:szCs w:val="24"/>
        </w:rPr>
        <w:t xml:space="preserve">. </w:t>
      </w:r>
    </w:p>
    <w:p w14:paraId="2942288A" w14:textId="77777777" w:rsidR="000673E0" w:rsidRDefault="000673E0" w:rsidP="00B757D8">
      <w:pPr>
        <w:pStyle w:val="NoSpacing"/>
        <w:spacing w:line="360" w:lineRule="auto"/>
        <w:jc w:val="both"/>
        <w:rPr>
          <w:rFonts w:ascii="Times New Roman" w:hAnsi="Times New Roman" w:cs="Times New Roman"/>
          <w:sz w:val="24"/>
          <w:szCs w:val="24"/>
        </w:rPr>
      </w:pPr>
    </w:p>
    <w:p w14:paraId="061CC3E6" w14:textId="59D5E208" w:rsidR="00FE35D8" w:rsidRDefault="00315A0C" w:rsidP="00B757D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FE35D8">
        <w:rPr>
          <w:rFonts w:ascii="Times New Roman" w:hAnsi="Times New Roman" w:cs="Times New Roman"/>
          <w:sz w:val="24"/>
          <w:szCs w:val="24"/>
        </w:rPr>
        <w:t xml:space="preserve">In its claim before the court, </w:t>
      </w:r>
      <w:r>
        <w:rPr>
          <w:rFonts w:ascii="Times New Roman" w:hAnsi="Times New Roman" w:cs="Times New Roman"/>
          <w:sz w:val="24"/>
          <w:szCs w:val="24"/>
        </w:rPr>
        <w:t xml:space="preserve">Charter Properties alleged breach of the agreement in that POSB failed to settle, despite notice, its rental and operating cost </w:t>
      </w:r>
      <w:r w:rsidR="00590D90">
        <w:rPr>
          <w:rFonts w:ascii="Times New Roman" w:hAnsi="Times New Roman" w:cs="Times New Roman"/>
          <w:sz w:val="24"/>
          <w:szCs w:val="24"/>
        </w:rPr>
        <w:t>obligations. Charter Properties issued s</w:t>
      </w:r>
      <w:r>
        <w:rPr>
          <w:rFonts w:ascii="Times New Roman" w:hAnsi="Times New Roman" w:cs="Times New Roman"/>
          <w:sz w:val="24"/>
          <w:szCs w:val="24"/>
        </w:rPr>
        <w:t>ummons on 30 November 2022.The</w:t>
      </w:r>
      <w:r w:rsidR="00590D90">
        <w:rPr>
          <w:rFonts w:ascii="Times New Roman" w:hAnsi="Times New Roman" w:cs="Times New Roman"/>
          <w:sz w:val="24"/>
          <w:szCs w:val="24"/>
        </w:rPr>
        <w:t xml:space="preserve"> summons </w:t>
      </w:r>
      <w:r>
        <w:rPr>
          <w:rFonts w:ascii="Times New Roman" w:hAnsi="Times New Roman" w:cs="Times New Roman"/>
          <w:sz w:val="24"/>
          <w:szCs w:val="24"/>
        </w:rPr>
        <w:t xml:space="preserve">were served on </w:t>
      </w:r>
      <w:r w:rsidR="00FE35D8">
        <w:rPr>
          <w:rFonts w:ascii="Times New Roman" w:hAnsi="Times New Roman" w:cs="Times New Roman"/>
          <w:sz w:val="24"/>
          <w:szCs w:val="24"/>
        </w:rPr>
        <w:t xml:space="preserve">POSB on </w:t>
      </w:r>
      <w:r>
        <w:rPr>
          <w:rFonts w:ascii="Times New Roman" w:hAnsi="Times New Roman" w:cs="Times New Roman"/>
          <w:sz w:val="24"/>
          <w:szCs w:val="24"/>
        </w:rPr>
        <w:t xml:space="preserve">5 December </w:t>
      </w:r>
      <w:r w:rsidR="00FE35D8">
        <w:rPr>
          <w:rFonts w:ascii="Times New Roman" w:hAnsi="Times New Roman" w:cs="Times New Roman"/>
          <w:sz w:val="24"/>
          <w:szCs w:val="24"/>
        </w:rPr>
        <w:t>2022</w:t>
      </w:r>
      <w:r w:rsidR="004D72E7">
        <w:rPr>
          <w:rFonts w:ascii="Times New Roman" w:hAnsi="Times New Roman" w:cs="Times New Roman"/>
          <w:sz w:val="24"/>
          <w:szCs w:val="24"/>
        </w:rPr>
        <w:t>.D</w:t>
      </w:r>
      <w:r>
        <w:rPr>
          <w:rFonts w:ascii="Times New Roman" w:hAnsi="Times New Roman" w:cs="Times New Roman"/>
          <w:sz w:val="24"/>
          <w:szCs w:val="24"/>
        </w:rPr>
        <w:t xml:space="preserve">efault </w:t>
      </w:r>
      <w:r w:rsidR="009075F7">
        <w:rPr>
          <w:rFonts w:ascii="Times New Roman" w:hAnsi="Times New Roman" w:cs="Times New Roman"/>
          <w:sz w:val="24"/>
          <w:szCs w:val="24"/>
        </w:rPr>
        <w:t>judgment was</w:t>
      </w:r>
      <w:r w:rsidR="004D72E7">
        <w:rPr>
          <w:rFonts w:ascii="Times New Roman" w:hAnsi="Times New Roman" w:cs="Times New Roman"/>
          <w:sz w:val="24"/>
          <w:szCs w:val="24"/>
        </w:rPr>
        <w:t xml:space="preserve"> then </w:t>
      </w:r>
      <w:r>
        <w:rPr>
          <w:rFonts w:ascii="Times New Roman" w:hAnsi="Times New Roman" w:cs="Times New Roman"/>
          <w:sz w:val="24"/>
          <w:szCs w:val="24"/>
        </w:rPr>
        <w:t xml:space="preserve">obtained </w:t>
      </w:r>
      <w:r w:rsidR="00FE35D8">
        <w:rPr>
          <w:rFonts w:ascii="Times New Roman" w:hAnsi="Times New Roman" w:cs="Times New Roman"/>
          <w:sz w:val="24"/>
          <w:szCs w:val="24"/>
        </w:rPr>
        <w:t xml:space="preserve">on 27 January 2023 and served on </w:t>
      </w:r>
      <w:r w:rsidR="004D72E7">
        <w:rPr>
          <w:rFonts w:ascii="Times New Roman" w:hAnsi="Times New Roman" w:cs="Times New Roman"/>
          <w:sz w:val="24"/>
          <w:szCs w:val="24"/>
        </w:rPr>
        <w:t xml:space="preserve">POSB </w:t>
      </w:r>
      <w:r w:rsidR="00FE35D8">
        <w:rPr>
          <w:rFonts w:ascii="Times New Roman" w:hAnsi="Times New Roman" w:cs="Times New Roman"/>
          <w:sz w:val="24"/>
          <w:szCs w:val="24"/>
        </w:rPr>
        <w:lastRenderedPageBreak/>
        <w:t>2 February 2023.The default order granted</w:t>
      </w:r>
      <w:r w:rsidR="004D72E7">
        <w:rPr>
          <w:rFonts w:ascii="Times New Roman" w:hAnsi="Times New Roman" w:cs="Times New Roman"/>
          <w:sz w:val="24"/>
          <w:szCs w:val="24"/>
        </w:rPr>
        <w:t xml:space="preserve"> Charter Properties</w:t>
      </w:r>
      <w:r w:rsidR="009075F7">
        <w:rPr>
          <w:rFonts w:ascii="Times New Roman" w:hAnsi="Times New Roman" w:cs="Times New Roman"/>
          <w:sz w:val="24"/>
          <w:szCs w:val="24"/>
        </w:rPr>
        <w:t>` prayers</w:t>
      </w:r>
      <w:r w:rsidR="00FE35D8">
        <w:rPr>
          <w:rFonts w:ascii="Times New Roman" w:hAnsi="Times New Roman" w:cs="Times New Roman"/>
          <w:sz w:val="24"/>
          <w:szCs w:val="24"/>
        </w:rPr>
        <w:t xml:space="preserve"> for (a) confirmation of cancellation of the lease agreement, (b) ejectment of POSB, (c) payment of arrear rentals (d) payment of holding over damages, and (e) costs of suit.</w:t>
      </w:r>
    </w:p>
    <w:p w14:paraId="04FD73F8" w14:textId="77777777" w:rsidR="000673E0" w:rsidRDefault="000673E0" w:rsidP="00B757D8">
      <w:pPr>
        <w:pStyle w:val="NoSpacing"/>
        <w:spacing w:line="360" w:lineRule="auto"/>
        <w:jc w:val="both"/>
        <w:rPr>
          <w:rFonts w:ascii="Times New Roman" w:hAnsi="Times New Roman" w:cs="Times New Roman"/>
          <w:sz w:val="24"/>
          <w:szCs w:val="24"/>
        </w:rPr>
      </w:pPr>
    </w:p>
    <w:p w14:paraId="4728BE20" w14:textId="31F81685" w:rsidR="005C3742" w:rsidRDefault="00FE35D8" w:rsidP="00B757D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[ 4] A writ was taken out in this court on 10 February 2023</w:t>
      </w:r>
      <w:r w:rsidR="004D72E7">
        <w:rPr>
          <w:rFonts w:ascii="Times New Roman" w:hAnsi="Times New Roman" w:cs="Times New Roman"/>
          <w:sz w:val="24"/>
          <w:szCs w:val="24"/>
        </w:rPr>
        <w:t xml:space="preserve">.It was </w:t>
      </w:r>
      <w:r>
        <w:rPr>
          <w:rFonts w:ascii="Times New Roman" w:hAnsi="Times New Roman" w:cs="Times New Roman"/>
          <w:sz w:val="24"/>
          <w:szCs w:val="24"/>
        </w:rPr>
        <w:t xml:space="preserve">served on </w:t>
      </w:r>
      <w:r w:rsidR="004D72E7">
        <w:rPr>
          <w:rFonts w:ascii="Times New Roman" w:hAnsi="Times New Roman" w:cs="Times New Roman"/>
          <w:sz w:val="24"/>
          <w:szCs w:val="24"/>
        </w:rPr>
        <w:t xml:space="preserve">POSB on </w:t>
      </w:r>
      <w:r>
        <w:rPr>
          <w:rFonts w:ascii="Times New Roman" w:hAnsi="Times New Roman" w:cs="Times New Roman"/>
          <w:sz w:val="24"/>
          <w:szCs w:val="24"/>
        </w:rPr>
        <w:t>13 February 2023</w:t>
      </w:r>
      <w:r w:rsidR="005C3742">
        <w:rPr>
          <w:rFonts w:ascii="Times New Roman" w:hAnsi="Times New Roman" w:cs="Times New Roman"/>
          <w:sz w:val="24"/>
          <w:szCs w:val="24"/>
        </w:rPr>
        <w:t>.Despite protestations, the writ was executed with POSB being ejected from the premises. In paragraph 8.20 of Mr. Johnson Masango, the Projects and Administration Manager, POSB set out the purpose of the present application as follows; -</w:t>
      </w:r>
    </w:p>
    <w:p w14:paraId="5295E4A5" w14:textId="77777777" w:rsidR="00071C6A" w:rsidRDefault="00071C6A" w:rsidP="00B757D8">
      <w:pPr>
        <w:pStyle w:val="NoSpacing"/>
        <w:spacing w:line="360" w:lineRule="auto"/>
        <w:jc w:val="both"/>
        <w:rPr>
          <w:rFonts w:ascii="Times New Roman" w:hAnsi="Times New Roman" w:cs="Times New Roman"/>
          <w:sz w:val="24"/>
          <w:szCs w:val="24"/>
        </w:rPr>
      </w:pPr>
    </w:p>
    <w:p w14:paraId="77FDBA35" w14:textId="1EF918C3" w:rsidR="00063852" w:rsidRDefault="005C3742" w:rsidP="00071C6A">
      <w:pPr>
        <w:pStyle w:val="NoSpacing"/>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“Aggrieved by the Respondent`s conduct (of pursuing litigation when the cause had been resolved and a settlement been deliberated), the Applicant has approached this Honourable Court seeking that the default judgment under HCHC 485/22 be set aside” </w:t>
      </w:r>
    </w:p>
    <w:p w14:paraId="1D2F4933" w14:textId="77777777" w:rsidR="004D72E7" w:rsidRDefault="004D72E7" w:rsidP="00071C6A">
      <w:pPr>
        <w:pStyle w:val="NoSpacing"/>
        <w:spacing w:line="360" w:lineRule="auto"/>
        <w:ind w:left="1134"/>
        <w:jc w:val="both"/>
        <w:rPr>
          <w:rFonts w:ascii="Times New Roman" w:hAnsi="Times New Roman" w:cs="Times New Roman"/>
          <w:sz w:val="24"/>
          <w:szCs w:val="24"/>
        </w:rPr>
      </w:pPr>
    </w:p>
    <w:p w14:paraId="066DA0CF" w14:textId="40504419" w:rsidR="00071C6A" w:rsidRDefault="00071C6A" w:rsidP="00071C6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In addition, POSB had an even more compelling reason. Paragraph 8.21 of the founding affidavit expressed it as follows; -  </w:t>
      </w:r>
    </w:p>
    <w:p w14:paraId="36BED980" w14:textId="77777777" w:rsidR="00071C6A" w:rsidRDefault="00071C6A" w:rsidP="00071C6A">
      <w:pPr>
        <w:pStyle w:val="NoSpacing"/>
        <w:spacing w:line="360" w:lineRule="auto"/>
        <w:jc w:val="both"/>
        <w:rPr>
          <w:rFonts w:ascii="Times New Roman" w:hAnsi="Times New Roman" w:cs="Times New Roman"/>
          <w:sz w:val="24"/>
          <w:szCs w:val="24"/>
        </w:rPr>
      </w:pPr>
    </w:p>
    <w:p w14:paraId="2C8CA874" w14:textId="4178A41B" w:rsidR="00071C6A" w:rsidRDefault="00071C6A" w:rsidP="000673E0">
      <w:pPr>
        <w:pStyle w:val="NoSpacing"/>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“As a financial institution and statutory body, the default judgment under HCHC 485/22 has significant repercussions on the Applicant including its credit records, ability to attract lines of credit, and its reputation. The present application is therefore not moot, academic, or an abuse of court process. It is of great importance to the Applicant and its overall business operations.”</w:t>
      </w:r>
    </w:p>
    <w:p w14:paraId="5595C758" w14:textId="77777777" w:rsidR="00071C6A" w:rsidRDefault="00071C6A" w:rsidP="00071C6A">
      <w:pPr>
        <w:pStyle w:val="NoSpacing"/>
        <w:spacing w:line="360" w:lineRule="auto"/>
        <w:ind w:left="1134"/>
        <w:jc w:val="both"/>
        <w:rPr>
          <w:rFonts w:ascii="Times New Roman" w:hAnsi="Times New Roman" w:cs="Times New Roman"/>
          <w:sz w:val="24"/>
          <w:szCs w:val="24"/>
        </w:rPr>
      </w:pPr>
    </w:p>
    <w:p w14:paraId="43B2A312" w14:textId="6175A3D2" w:rsidR="003D59AE" w:rsidRDefault="005C3742" w:rsidP="00B757D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1C6A">
        <w:rPr>
          <w:rFonts w:ascii="Times New Roman" w:hAnsi="Times New Roman" w:cs="Times New Roman"/>
          <w:sz w:val="24"/>
          <w:szCs w:val="24"/>
        </w:rPr>
        <w:t>6]</w:t>
      </w:r>
      <w:r>
        <w:rPr>
          <w:rFonts w:ascii="Times New Roman" w:hAnsi="Times New Roman" w:cs="Times New Roman"/>
          <w:sz w:val="24"/>
          <w:szCs w:val="24"/>
        </w:rPr>
        <w:t xml:space="preserve"> </w:t>
      </w:r>
      <w:r w:rsidR="00590D90">
        <w:rPr>
          <w:rFonts w:ascii="Times New Roman" w:hAnsi="Times New Roman" w:cs="Times New Roman"/>
          <w:sz w:val="24"/>
          <w:szCs w:val="24"/>
        </w:rPr>
        <w:t>In pursuit of th</w:t>
      </w:r>
      <w:r w:rsidR="00071C6A">
        <w:rPr>
          <w:rFonts w:ascii="Times New Roman" w:hAnsi="Times New Roman" w:cs="Times New Roman"/>
          <w:sz w:val="24"/>
          <w:szCs w:val="24"/>
        </w:rPr>
        <w:t xml:space="preserve">at </w:t>
      </w:r>
      <w:r w:rsidR="00590D90">
        <w:rPr>
          <w:rFonts w:ascii="Times New Roman" w:hAnsi="Times New Roman" w:cs="Times New Roman"/>
          <w:sz w:val="24"/>
          <w:szCs w:val="24"/>
        </w:rPr>
        <w:t>objective,</w:t>
      </w:r>
      <w:r w:rsidR="00590D90" w:rsidRPr="00B757D8">
        <w:rPr>
          <w:rFonts w:ascii="Times New Roman" w:hAnsi="Times New Roman" w:cs="Times New Roman"/>
          <w:sz w:val="24"/>
          <w:szCs w:val="24"/>
        </w:rPr>
        <w:t xml:space="preserve"> POSB</w:t>
      </w:r>
      <w:r w:rsidR="00D435E5" w:rsidRPr="00B757D8">
        <w:rPr>
          <w:rFonts w:ascii="Times New Roman" w:hAnsi="Times New Roman" w:cs="Times New Roman"/>
          <w:sz w:val="24"/>
          <w:szCs w:val="24"/>
        </w:rPr>
        <w:t xml:space="preserve"> </w:t>
      </w:r>
      <w:r w:rsidR="00590D90">
        <w:rPr>
          <w:rFonts w:ascii="Times New Roman" w:hAnsi="Times New Roman" w:cs="Times New Roman"/>
          <w:sz w:val="24"/>
          <w:szCs w:val="24"/>
        </w:rPr>
        <w:t xml:space="preserve">thus </w:t>
      </w:r>
      <w:r w:rsidR="00D435E5" w:rsidRPr="00B757D8">
        <w:rPr>
          <w:rFonts w:ascii="Times New Roman" w:hAnsi="Times New Roman" w:cs="Times New Roman"/>
          <w:sz w:val="24"/>
          <w:szCs w:val="24"/>
        </w:rPr>
        <w:t>seeks condonation</w:t>
      </w:r>
      <w:r w:rsidR="00590D90">
        <w:rPr>
          <w:rFonts w:ascii="Times New Roman" w:hAnsi="Times New Roman" w:cs="Times New Roman"/>
          <w:sz w:val="24"/>
          <w:szCs w:val="24"/>
        </w:rPr>
        <w:t xml:space="preserve"> </w:t>
      </w:r>
      <w:r w:rsidR="00D435E5" w:rsidRPr="00B757D8">
        <w:rPr>
          <w:rFonts w:ascii="Times New Roman" w:hAnsi="Times New Roman" w:cs="Times New Roman"/>
          <w:sz w:val="24"/>
          <w:szCs w:val="24"/>
        </w:rPr>
        <w:t xml:space="preserve">for failure to file its application for rescission of judgment within the ten (10) day period prescribed by r 15 (1) of the </w:t>
      </w:r>
      <w:r w:rsidR="003706D3" w:rsidRPr="00B757D8">
        <w:rPr>
          <w:rFonts w:ascii="Times New Roman" w:hAnsi="Times New Roman" w:cs="Times New Roman"/>
          <w:sz w:val="24"/>
          <w:szCs w:val="24"/>
        </w:rPr>
        <w:t>High Court (</w:t>
      </w:r>
      <w:r w:rsidR="00D435E5" w:rsidRPr="00B757D8">
        <w:rPr>
          <w:rFonts w:ascii="Times New Roman" w:hAnsi="Times New Roman" w:cs="Times New Roman"/>
          <w:sz w:val="24"/>
          <w:szCs w:val="24"/>
        </w:rPr>
        <w:t xml:space="preserve">Commercial </w:t>
      </w:r>
      <w:r w:rsidR="003706D3" w:rsidRPr="00B757D8">
        <w:rPr>
          <w:rFonts w:ascii="Times New Roman" w:hAnsi="Times New Roman" w:cs="Times New Roman"/>
          <w:sz w:val="24"/>
          <w:szCs w:val="24"/>
        </w:rPr>
        <w:t>Division) Rules</w:t>
      </w:r>
      <w:r w:rsidR="00D435E5" w:rsidRPr="00B757D8">
        <w:rPr>
          <w:rFonts w:ascii="Times New Roman" w:hAnsi="Times New Roman" w:cs="Times New Roman"/>
          <w:sz w:val="24"/>
          <w:szCs w:val="24"/>
        </w:rPr>
        <w:t xml:space="preserve"> SI </w:t>
      </w:r>
      <w:r w:rsidR="003706D3" w:rsidRPr="00B757D8">
        <w:rPr>
          <w:rFonts w:ascii="Times New Roman" w:hAnsi="Times New Roman" w:cs="Times New Roman"/>
          <w:sz w:val="24"/>
          <w:szCs w:val="24"/>
        </w:rPr>
        <w:t>323/20 (the “Commercial Court Rules”</w:t>
      </w:r>
      <w:r w:rsidRPr="00B757D8">
        <w:rPr>
          <w:rFonts w:ascii="Times New Roman" w:hAnsi="Times New Roman" w:cs="Times New Roman"/>
          <w:sz w:val="24"/>
          <w:szCs w:val="24"/>
        </w:rPr>
        <w:t>).</w:t>
      </w:r>
      <w:r>
        <w:rPr>
          <w:rFonts w:ascii="Times New Roman" w:hAnsi="Times New Roman" w:cs="Times New Roman"/>
          <w:sz w:val="24"/>
          <w:szCs w:val="24"/>
        </w:rPr>
        <w:t xml:space="preserve"> The grant of such condonation w</w:t>
      </w:r>
      <w:r w:rsidR="00590D90">
        <w:rPr>
          <w:rFonts w:ascii="Times New Roman" w:hAnsi="Times New Roman" w:cs="Times New Roman"/>
          <w:sz w:val="24"/>
          <w:szCs w:val="24"/>
        </w:rPr>
        <w:t xml:space="preserve">ill </w:t>
      </w:r>
      <w:r>
        <w:rPr>
          <w:rFonts w:ascii="Times New Roman" w:hAnsi="Times New Roman" w:cs="Times New Roman"/>
          <w:sz w:val="24"/>
          <w:szCs w:val="24"/>
        </w:rPr>
        <w:t xml:space="preserve">enable </w:t>
      </w:r>
      <w:r w:rsidR="00590D90">
        <w:rPr>
          <w:rFonts w:ascii="Times New Roman" w:hAnsi="Times New Roman" w:cs="Times New Roman"/>
          <w:sz w:val="24"/>
          <w:szCs w:val="24"/>
        </w:rPr>
        <w:t xml:space="preserve">POSB </w:t>
      </w:r>
      <w:r>
        <w:rPr>
          <w:rFonts w:ascii="Times New Roman" w:hAnsi="Times New Roman" w:cs="Times New Roman"/>
          <w:sz w:val="24"/>
          <w:szCs w:val="24"/>
        </w:rPr>
        <w:t>to move its application to have the default judgment set aside. And with the judgment set aside, POSB will then be able to defend t</w:t>
      </w:r>
      <w:r w:rsidR="00590D90">
        <w:rPr>
          <w:rFonts w:ascii="Times New Roman" w:hAnsi="Times New Roman" w:cs="Times New Roman"/>
          <w:sz w:val="24"/>
          <w:szCs w:val="24"/>
        </w:rPr>
        <w:t xml:space="preserve">he </w:t>
      </w:r>
      <w:r>
        <w:rPr>
          <w:rFonts w:ascii="Times New Roman" w:hAnsi="Times New Roman" w:cs="Times New Roman"/>
          <w:sz w:val="24"/>
          <w:szCs w:val="24"/>
        </w:rPr>
        <w:t xml:space="preserve">suit brought against it by its former </w:t>
      </w:r>
      <w:r w:rsidR="00D32611">
        <w:rPr>
          <w:rFonts w:ascii="Times New Roman" w:hAnsi="Times New Roman" w:cs="Times New Roman"/>
          <w:sz w:val="24"/>
          <w:szCs w:val="24"/>
        </w:rPr>
        <w:t>landlord. The</w:t>
      </w:r>
      <w:r w:rsidR="00590D90">
        <w:rPr>
          <w:rFonts w:ascii="Times New Roman" w:hAnsi="Times New Roman" w:cs="Times New Roman"/>
          <w:sz w:val="24"/>
          <w:szCs w:val="24"/>
        </w:rPr>
        <w:t xml:space="preserve"> suit seeking </w:t>
      </w:r>
      <w:r w:rsidR="00D32611">
        <w:rPr>
          <w:rFonts w:ascii="Times New Roman" w:hAnsi="Times New Roman" w:cs="Times New Roman"/>
          <w:sz w:val="24"/>
          <w:szCs w:val="24"/>
        </w:rPr>
        <w:t>cancellation, ejectment, arrear</w:t>
      </w:r>
      <w:r w:rsidR="00590D90">
        <w:rPr>
          <w:rFonts w:ascii="Times New Roman" w:hAnsi="Times New Roman" w:cs="Times New Roman"/>
          <w:sz w:val="24"/>
          <w:szCs w:val="24"/>
        </w:rPr>
        <w:t xml:space="preserve"> </w:t>
      </w:r>
      <w:r w:rsidR="00D32611">
        <w:rPr>
          <w:rFonts w:ascii="Times New Roman" w:hAnsi="Times New Roman" w:cs="Times New Roman"/>
          <w:sz w:val="24"/>
          <w:szCs w:val="24"/>
        </w:rPr>
        <w:t>rentals, holding over damages and costs. All of which have effectively been settled or addressed</w:t>
      </w:r>
      <w:r>
        <w:rPr>
          <w:rFonts w:ascii="Times New Roman" w:hAnsi="Times New Roman" w:cs="Times New Roman"/>
          <w:sz w:val="24"/>
          <w:szCs w:val="24"/>
        </w:rPr>
        <w:t xml:space="preserve">. </w:t>
      </w:r>
    </w:p>
    <w:p w14:paraId="142F6B5B" w14:textId="77777777" w:rsidR="00063852" w:rsidRDefault="00063852" w:rsidP="00B757D8">
      <w:pPr>
        <w:pStyle w:val="NoSpacing"/>
        <w:spacing w:line="360" w:lineRule="auto"/>
        <w:jc w:val="both"/>
        <w:rPr>
          <w:rFonts w:ascii="Times New Roman" w:hAnsi="Times New Roman" w:cs="Times New Roman"/>
          <w:sz w:val="24"/>
          <w:szCs w:val="24"/>
        </w:rPr>
      </w:pPr>
    </w:p>
    <w:p w14:paraId="4F38EA91" w14:textId="409D4741" w:rsidR="00071C6A" w:rsidRDefault="003D59AE" w:rsidP="00B757D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71C6A">
        <w:rPr>
          <w:rFonts w:ascii="Times New Roman" w:hAnsi="Times New Roman" w:cs="Times New Roman"/>
          <w:sz w:val="24"/>
          <w:szCs w:val="24"/>
        </w:rPr>
        <w:t>7] The</w:t>
      </w:r>
      <w:r>
        <w:rPr>
          <w:rFonts w:ascii="Times New Roman" w:hAnsi="Times New Roman" w:cs="Times New Roman"/>
          <w:sz w:val="24"/>
          <w:szCs w:val="24"/>
        </w:rPr>
        <w:t xml:space="preserve"> </w:t>
      </w:r>
      <w:r w:rsidR="00590D90">
        <w:rPr>
          <w:rFonts w:ascii="Times New Roman" w:hAnsi="Times New Roman" w:cs="Times New Roman"/>
          <w:sz w:val="24"/>
          <w:szCs w:val="24"/>
        </w:rPr>
        <w:t xml:space="preserve">relief sought is opposed by Charter Properties. Its main argument is that the controversy between the parties has </w:t>
      </w:r>
      <w:r w:rsidR="00D32611">
        <w:rPr>
          <w:rFonts w:ascii="Times New Roman" w:hAnsi="Times New Roman" w:cs="Times New Roman"/>
          <w:sz w:val="24"/>
          <w:szCs w:val="24"/>
        </w:rPr>
        <w:t>dissipated</w:t>
      </w:r>
      <w:r w:rsidR="00590D90">
        <w:rPr>
          <w:rFonts w:ascii="Times New Roman" w:hAnsi="Times New Roman" w:cs="Times New Roman"/>
          <w:sz w:val="24"/>
          <w:szCs w:val="24"/>
        </w:rPr>
        <w:t xml:space="preserve">. The original contract of tenancy </w:t>
      </w:r>
      <w:r w:rsidR="00D32611">
        <w:rPr>
          <w:rFonts w:ascii="Times New Roman" w:hAnsi="Times New Roman" w:cs="Times New Roman"/>
          <w:sz w:val="24"/>
          <w:szCs w:val="24"/>
        </w:rPr>
        <w:t xml:space="preserve">and consequences thereof </w:t>
      </w:r>
      <w:r w:rsidR="00590D90">
        <w:rPr>
          <w:rFonts w:ascii="Times New Roman" w:hAnsi="Times New Roman" w:cs="Times New Roman"/>
          <w:sz w:val="24"/>
          <w:szCs w:val="24"/>
        </w:rPr>
        <w:lastRenderedPageBreak/>
        <w:t>ha</w:t>
      </w:r>
      <w:r w:rsidR="00D32611">
        <w:rPr>
          <w:rFonts w:ascii="Times New Roman" w:hAnsi="Times New Roman" w:cs="Times New Roman"/>
          <w:sz w:val="24"/>
          <w:szCs w:val="24"/>
        </w:rPr>
        <w:t xml:space="preserve">ve </w:t>
      </w:r>
      <w:r w:rsidR="00590D90">
        <w:rPr>
          <w:rFonts w:ascii="Times New Roman" w:hAnsi="Times New Roman" w:cs="Times New Roman"/>
          <w:sz w:val="24"/>
          <w:szCs w:val="24"/>
        </w:rPr>
        <w:t xml:space="preserve">effectively been put to rest. The tenant settled the outstanding amounts and has also relinquished its occupancy. </w:t>
      </w:r>
      <w:r w:rsidR="00D32611">
        <w:rPr>
          <w:rFonts w:ascii="Times New Roman" w:hAnsi="Times New Roman" w:cs="Times New Roman"/>
          <w:sz w:val="24"/>
          <w:szCs w:val="24"/>
        </w:rPr>
        <w:t xml:space="preserve"> On that basis, Mr</w:t>
      </w:r>
      <w:r w:rsidR="00590D90">
        <w:rPr>
          <w:rFonts w:ascii="Times New Roman" w:hAnsi="Times New Roman" w:cs="Times New Roman"/>
          <w:sz w:val="24"/>
          <w:szCs w:val="24"/>
        </w:rPr>
        <w:t xml:space="preserve">. </w:t>
      </w:r>
      <w:r w:rsidR="00590D90" w:rsidRPr="00D32611">
        <w:rPr>
          <w:rFonts w:ascii="Times New Roman" w:hAnsi="Times New Roman" w:cs="Times New Roman"/>
          <w:i/>
          <w:iCs/>
          <w:sz w:val="24"/>
          <w:szCs w:val="24"/>
        </w:rPr>
        <w:t xml:space="preserve">Musengwa </w:t>
      </w:r>
      <w:r w:rsidR="00590D90">
        <w:rPr>
          <w:rFonts w:ascii="Times New Roman" w:hAnsi="Times New Roman" w:cs="Times New Roman"/>
          <w:sz w:val="24"/>
          <w:szCs w:val="24"/>
        </w:rPr>
        <w:t xml:space="preserve">for Charter Properties then raised as a preliminary </w:t>
      </w:r>
      <w:r w:rsidR="00D32611">
        <w:rPr>
          <w:rFonts w:ascii="Times New Roman" w:hAnsi="Times New Roman" w:cs="Times New Roman"/>
          <w:sz w:val="24"/>
          <w:szCs w:val="24"/>
        </w:rPr>
        <w:t>issue. H</w:t>
      </w:r>
      <w:r w:rsidR="004D72E7">
        <w:rPr>
          <w:rFonts w:ascii="Times New Roman" w:hAnsi="Times New Roman" w:cs="Times New Roman"/>
          <w:sz w:val="24"/>
          <w:szCs w:val="24"/>
        </w:rPr>
        <w:t xml:space="preserve">e contended that </w:t>
      </w:r>
      <w:r w:rsidR="00590D90">
        <w:rPr>
          <w:rFonts w:ascii="Times New Roman" w:hAnsi="Times New Roman" w:cs="Times New Roman"/>
          <w:sz w:val="24"/>
          <w:szCs w:val="24"/>
        </w:rPr>
        <w:t xml:space="preserve">execution </w:t>
      </w:r>
      <w:r w:rsidR="004D72E7">
        <w:rPr>
          <w:rFonts w:ascii="Times New Roman" w:hAnsi="Times New Roman" w:cs="Times New Roman"/>
          <w:sz w:val="24"/>
          <w:szCs w:val="24"/>
        </w:rPr>
        <w:t xml:space="preserve">of the default judgment </w:t>
      </w:r>
      <w:r w:rsidR="00590D90">
        <w:rPr>
          <w:rFonts w:ascii="Times New Roman" w:hAnsi="Times New Roman" w:cs="Times New Roman"/>
          <w:sz w:val="24"/>
          <w:szCs w:val="24"/>
        </w:rPr>
        <w:t xml:space="preserve">had rendered the matter moot. </w:t>
      </w:r>
      <w:r w:rsidR="00071C6A">
        <w:rPr>
          <w:rFonts w:ascii="Times New Roman" w:hAnsi="Times New Roman" w:cs="Times New Roman"/>
          <w:sz w:val="24"/>
          <w:szCs w:val="24"/>
        </w:rPr>
        <w:t xml:space="preserve">I invited the parties to argue the point together with the merits and deferred my ruling. </w:t>
      </w:r>
    </w:p>
    <w:p w14:paraId="5385D902" w14:textId="77777777" w:rsidR="00641761" w:rsidRPr="00B757D8" w:rsidRDefault="00641761" w:rsidP="00B757D8">
      <w:pPr>
        <w:pStyle w:val="NoSpacing"/>
        <w:spacing w:line="360" w:lineRule="auto"/>
        <w:jc w:val="both"/>
        <w:rPr>
          <w:rFonts w:ascii="Times New Roman" w:hAnsi="Times New Roman" w:cs="Times New Roman"/>
          <w:sz w:val="24"/>
          <w:szCs w:val="24"/>
        </w:rPr>
      </w:pPr>
    </w:p>
    <w:p w14:paraId="305147BE" w14:textId="50E2F918" w:rsidR="003706D3" w:rsidRDefault="003706D3" w:rsidP="00B757D8">
      <w:pPr>
        <w:pStyle w:val="NoSpacing"/>
        <w:spacing w:line="360" w:lineRule="auto"/>
        <w:jc w:val="both"/>
        <w:rPr>
          <w:rFonts w:ascii="Times New Roman" w:hAnsi="Times New Roman" w:cs="Times New Roman"/>
          <w:sz w:val="24"/>
          <w:szCs w:val="24"/>
        </w:rPr>
      </w:pPr>
      <w:r w:rsidRPr="00B757D8">
        <w:rPr>
          <w:rFonts w:ascii="Times New Roman" w:hAnsi="Times New Roman" w:cs="Times New Roman"/>
          <w:sz w:val="24"/>
          <w:szCs w:val="24"/>
        </w:rPr>
        <w:t>THE APPLICATION FOR CONDONATION</w:t>
      </w:r>
    </w:p>
    <w:p w14:paraId="60E76F19" w14:textId="77777777" w:rsidR="00071C6A" w:rsidRPr="00B757D8" w:rsidRDefault="00071C6A" w:rsidP="00B757D8">
      <w:pPr>
        <w:pStyle w:val="NoSpacing"/>
        <w:spacing w:line="360" w:lineRule="auto"/>
        <w:jc w:val="both"/>
        <w:rPr>
          <w:rFonts w:ascii="Times New Roman" w:hAnsi="Times New Roman" w:cs="Times New Roman"/>
          <w:sz w:val="24"/>
          <w:szCs w:val="24"/>
        </w:rPr>
      </w:pPr>
    </w:p>
    <w:p w14:paraId="11D33C47" w14:textId="718FE2FA" w:rsidR="003D59AE" w:rsidRDefault="003706D3" w:rsidP="00B757D8">
      <w:pPr>
        <w:autoSpaceDE w:val="0"/>
        <w:autoSpaceDN w:val="0"/>
        <w:adjustRightInd w:val="0"/>
        <w:spacing w:after="0" w:line="360" w:lineRule="auto"/>
        <w:jc w:val="both"/>
        <w:rPr>
          <w:rFonts w:ascii="Times New Roman" w:hAnsi="Times New Roman" w:cs="Times New Roman"/>
          <w:sz w:val="24"/>
          <w:szCs w:val="24"/>
        </w:rPr>
      </w:pPr>
      <w:r w:rsidRPr="00B757D8">
        <w:rPr>
          <w:rFonts w:ascii="Times New Roman" w:hAnsi="Times New Roman" w:cs="Times New Roman"/>
          <w:sz w:val="24"/>
          <w:szCs w:val="24"/>
        </w:rPr>
        <w:t xml:space="preserve">[ </w:t>
      </w:r>
      <w:r w:rsidR="00D32611">
        <w:rPr>
          <w:rFonts w:ascii="Times New Roman" w:hAnsi="Times New Roman" w:cs="Times New Roman"/>
          <w:sz w:val="24"/>
          <w:szCs w:val="24"/>
        </w:rPr>
        <w:t>8]</w:t>
      </w:r>
      <w:r w:rsidRPr="00B757D8">
        <w:rPr>
          <w:rFonts w:ascii="Times New Roman" w:hAnsi="Times New Roman" w:cs="Times New Roman"/>
          <w:sz w:val="24"/>
          <w:szCs w:val="24"/>
        </w:rPr>
        <w:t xml:space="preserve"> It is an established position that a party in breach of the rules of court must seek the court`s indulgence via an application for </w:t>
      </w:r>
      <w:r w:rsidR="004D72E7" w:rsidRPr="00B757D8">
        <w:rPr>
          <w:rFonts w:ascii="Times New Roman" w:hAnsi="Times New Roman" w:cs="Times New Roman"/>
          <w:sz w:val="24"/>
          <w:szCs w:val="24"/>
        </w:rPr>
        <w:t>condonation.</w:t>
      </w:r>
      <w:r w:rsidR="004D72E7">
        <w:rPr>
          <w:rFonts w:ascii="Times New Roman" w:hAnsi="Times New Roman" w:cs="Times New Roman"/>
          <w:sz w:val="24"/>
          <w:szCs w:val="24"/>
        </w:rPr>
        <w:t xml:space="preserve"> In order to move the court and earn its reprieve, quest, an applicant must meet certain requirements.</w:t>
      </w:r>
      <w:r w:rsidRPr="00B757D8">
        <w:rPr>
          <w:rFonts w:ascii="Times New Roman" w:hAnsi="Times New Roman" w:cs="Times New Roman"/>
          <w:sz w:val="24"/>
          <w:szCs w:val="24"/>
        </w:rPr>
        <w:t xml:space="preserve"> Such an application is not </w:t>
      </w:r>
      <w:r w:rsidR="00B757D8" w:rsidRPr="00B757D8">
        <w:rPr>
          <w:rFonts w:ascii="Times New Roman" w:hAnsi="Times New Roman" w:cs="Times New Roman"/>
          <w:sz w:val="24"/>
          <w:szCs w:val="24"/>
        </w:rPr>
        <w:t xml:space="preserve">granted as </w:t>
      </w:r>
      <w:r w:rsidRPr="00B757D8">
        <w:rPr>
          <w:rFonts w:ascii="Times New Roman" w:hAnsi="Times New Roman" w:cs="Times New Roman"/>
          <w:sz w:val="24"/>
          <w:szCs w:val="24"/>
        </w:rPr>
        <w:t xml:space="preserve">a matter of routine. </w:t>
      </w:r>
    </w:p>
    <w:p w14:paraId="5497D4F2" w14:textId="77777777" w:rsidR="002054D6" w:rsidRDefault="002054D6" w:rsidP="00B757D8">
      <w:pPr>
        <w:autoSpaceDE w:val="0"/>
        <w:autoSpaceDN w:val="0"/>
        <w:adjustRightInd w:val="0"/>
        <w:spacing w:after="0" w:line="360" w:lineRule="auto"/>
        <w:jc w:val="both"/>
        <w:rPr>
          <w:rFonts w:ascii="Times New Roman" w:hAnsi="Times New Roman" w:cs="Times New Roman"/>
          <w:sz w:val="24"/>
          <w:szCs w:val="24"/>
        </w:rPr>
      </w:pPr>
    </w:p>
    <w:p w14:paraId="73A16AF3" w14:textId="2E8BACEB" w:rsidR="002054D6" w:rsidRDefault="002054D6" w:rsidP="00B757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2611">
        <w:rPr>
          <w:rFonts w:ascii="Times New Roman" w:hAnsi="Times New Roman" w:cs="Times New Roman"/>
          <w:sz w:val="24"/>
          <w:szCs w:val="24"/>
        </w:rPr>
        <w:t>9]</w:t>
      </w:r>
      <w:r>
        <w:rPr>
          <w:rFonts w:ascii="Times New Roman" w:hAnsi="Times New Roman" w:cs="Times New Roman"/>
          <w:sz w:val="24"/>
          <w:szCs w:val="24"/>
        </w:rPr>
        <w:t xml:space="preserve"> I may observe in passing that the parties agreed that both applications (for condonation and rescission) be concomitantly </w:t>
      </w:r>
      <w:r w:rsidR="00CC0E1C">
        <w:rPr>
          <w:rFonts w:ascii="Times New Roman" w:hAnsi="Times New Roman" w:cs="Times New Roman"/>
          <w:sz w:val="24"/>
          <w:szCs w:val="24"/>
        </w:rPr>
        <w:t>argued. Counsel</w:t>
      </w:r>
      <w:r>
        <w:rPr>
          <w:rFonts w:ascii="Times New Roman" w:hAnsi="Times New Roman" w:cs="Times New Roman"/>
          <w:sz w:val="24"/>
          <w:szCs w:val="24"/>
        </w:rPr>
        <w:t xml:space="preserve"> </w:t>
      </w:r>
      <w:r w:rsidR="00641761">
        <w:rPr>
          <w:rFonts w:ascii="Times New Roman" w:hAnsi="Times New Roman" w:cs="Times New Roman"/>
          <w:sz w:val="24"/>
          <w:szCs w:val="24"/>
        </w:rPr>
        <w:t xml:space="preserve">drew solace for their consensus </w:t>
      </w:r>
      <w:r w:rsidR="00CC0E1C">
        <w:rPr>
          <w:rFonts w:ascii="Times New Roman" w:hAnsi="Times New Roman" w:cs="Times New Roman"/>
          <w:sz w:val="24"/>
          <w:szCs w:val="24"/>
        </w:rPr>
        <w:t xml:space="preserve">from </w:t>
      </w:r>
      <w:r w:rsidR="00641761">
        <w:rPr>
          <w:rFonts w:ascii="Times New Roman" w:hAnsi="Times New Roman" w:cs="Times New Roman"/>
          <w:sz w:val="24"/>
          <w:szCs w:val="24"/>
        </w:rPr>
        <w:t>th</w:t>
      </w:r>
      <w:r w:rsidR="00F87BDF">
        <w:rPr>
          <w:rFonts w:ascii="Times New Roman" w:hAnsi="Times New Roman" w:cs="Times New Roman"/>
          <w:sz w:val="24"/>
          <w:szCs w:val="24"/>
        </w:rPr>
        <w:t xml:space="preserve">is court`s decision </w:t>
      </w:r>
      <w:r w:rsidR="00071C6A">
        <w:rPr>
          <w:rFonts w:ascii="Times New Roman" w:hAnsi="Times New Roman" w:cs="Times New Roman"/>
          <w:sz w:val="24"/>
          <w:szCs w:val="24"/>
        </w:rPr>
        <w:t xml:space="preserve">of </w:t>
      </w:r>
      <w:r w:rsidR="00071C6A" w:rsidRPr="00071C6A">
        <w:rPr>
          <w:rFonts w:ascii="Times New Roman" w:hAnsi="Times New Roman" w:cs="Times New Roman"/>
          <w:i/>
          <w:iCs/>
          <w:sz w:val="24"/>
          <w:szCs w:val="24"/>
        </w:rPr>
        <w:t>Tenke</w:t>
      </w:r>
      <w:r w:rsidR="00F87BDF" w:rsidRPr="00071C6A">
        <w:rPr>
          <w:rFonts w:ascii="Times New Roman" w:hAnsi="Times New Roman" w:cs="Times New Roman"/>
          <w:i/>
          <w:iCs/>
          <w:sz w:val="24"/>
          <w:szCs w:val="24"/>
        </w:rPr>
        <w:t xml:space="preserve"> F</w:t>
      </w:r>
      <w:r w:rsidR="00F87BDF" w:rsidRPr="00D32611">
        <w:rPr>
          <w:rFonts w:ascii="Times New Roman" w:hAnsi="Times New Roman" w:cs="Times New Roman"/>
          <w:i/>
          <w:iCs/>
          <w:sz w:val="24"/>
          <w:szCs w:val="24"/>
        </w:rPr>
        <w:t>ungurume Mining SA v Bruno Enterprises (Pvt) Ltd</w:t>
      </w:r>
      <w:r w:rsidR="00F87BDF">
        <w:rPr>
          <w:rFonts w:ascii="Times New Roman" w:hAnsi="Times New Roman" w:cs="Times New Roman"/>
          <w:sz w:val="24"/>
          <w:szCs w:val="24"/>
        </w:rPr>
        <w:t xml:space="preserve"> HH 478-19. The court </w:t>
      </w:r>
      <w:r w:rsidR="00CC0E1C">
        <w:rPr>
          <w:rFonts w:ascii="Times New Roman" w:hAnsi="Times New Roman" w:cs="Times New Roman"/>
          <w:sz w:val="24"/>
          <w:szCs w:val="24"/>
        </w:rPr>
        <w:t xml:space="preserve">in that matter, </w:t>
      </w:r>
      <w:r w:rsidR="00F87BDF">
        <w:rPr>
          <w:rFonts w:ascii="Times New Roman" w:hAnsi="Times New Roman" w:cs="Times New Roman"/>
          <w:sz w:val="24"/>
          <w:szCs w:val="24"/>
        </w:rPr>
        <w:t xml:space="preserve">adopted </w:t>
      </w:r>
      <w:r w:rsidR="00CC0E1C">
        <w:rPr>
          <w:rFonts w:ascii="Times New Roman" w:hAnsi="Times New Roman" w:cs="Times New Roman"/>
          <w:sz w:val="24"/>
          <w:szCs w:val="24"/>
        </w:rPr>
        <w:t xml:space="preserve">what has been termed as </w:t>
      </w:r>
      <w:r w:rsidR="00F87BDF">
        <w:rPr>
          <w:rFonts w:ascii="Times New Roman" w:hAnsi="Times New Roman" w:cs="Times New Roman"/>
          <w:sz w:val="24"/>
          <w:szCs w:val="24"/>
        </w:rPr>
        <w:t xml:space="preserve">the “hybrid” or “rolled up </w:t>
      </w:r>
      <w:r w:rsidR="00CC0E1C">
        <w:rPr>
          <w:rFonts w:ascii="Times New Roman" w:hAnsi="Times New Roman" w:cs="Times New Roman"/>
          <w:sz w:val="24"/>
          <w:szCs w:val="24"/>
        </w:rPr>
        <w:t>approach”. It simultaneously heard the condonation</w:t>
      </w:r>
      <w:r w:rsidR="00F87BDF">
        <w:rPr>
          <w:rFonts w:ascii="Times New Roman" w:hAnsi="Times New Roman" w:cs="Times New Roman"/>
          <w:sz w:val="24"/>
          <w:szCs w:val="24"/>
        </w:rPr>
        <w:t xml:space="preserve"> and rescission application</w:t>
      </w:r>
      <w:r w:rsidR="00CC0E1C">
        <w:rPr>
          <w:rFonts w:ascii="Times New Roman" w:hAnsi="Times New Roman" w:cs="Times New Roman"/>
          <w:sz w:val="24"/>
          <w:szCs w:val="24"/>
        </w:rPr>
        <w:t>s</w:t>
      </w:r>
      <w:r w:rsidR="00F87BDF">
        <w:rPr>
          <w:rFonts w:ascii="Times New Roman" w:hAnsi="Times New Roman" w:cs="Times New Roman"/>
          <w:sz w:val="24"/>
          <w:szCs w:val="24"/>
        </w:rPr>
        <w:t xml:space="preserve"> </w:t>
      </w:r>
      <w:r w:rsidR="00CC0E1C">
        <w:rPr>
          <w:rFonts w:ascii="Times New Roman" w:hAnsi="Times New Roman" w:cs="Times New Roman"/>
          <w:sz w:val="24"/>
          <w:szCs w:val="24"/>
        </w:rPr>
        <w:t>placed before it</w:t>
      </w:r>
      <w:r w:rsidR="00F87BDF">
        <w:rPr>
          <w:rFonts w:ascii="Times New Roman" w:hAnsi="Times New Roman" w:cs="Times New Roman"/>
          <w:sz w:val="24"/>
          <w:szCs w:val="24"/>
        </w:rPr>
        <w:t xml:space="preserve">. TAGU J </w:t>
      </w:r>
      <w:r w:rsidR="00CC0E1C">
        <w:rPr>
          <w:rFonts w:ascii="Times New Roman" w:hAnsi="Times New Roman" w:cs="Times New Roman"/>
          <w:sz w:val="24"/>
          <w:szCs w:val="24"/>
        </w:rPr>
        <w:t xml:space="preserve">also </w:t>
      </w:r>
      <w:r w:rsidR="00F87BDF">
        <w:rPr>
          <w:rFonts w:ascii="Times New Roman" w:hAnsi="Times New Roman" w:cs="Times New Roman"/>
          <w:sz w:val="24"/>
          <w:szCs w:val="24"/>
        </w:rPr>
        <w:t xml:space="preserve">made a survey of the authorities utilising that dual </w:t>
      </w:r>
      <w:r w:rsidR="00981349">
        <w:rPr>
          <w:rFonts w:ascii="Times New Roman" w:hAnsi="Times New Roman" w:cs="Times New Roman"/>
          <w:sz w:val="24"/>
          <w:szCs w:val="24"/>
        </w:rPr>
        <w:t xml:space="preserve">facility </w:t>
      </w:r>
      <w:r w:rsidR="00F87BDF">
        <w:rPr>
          <w:rFonts w:ascii="Times New Roman" w:hAnsi="Times New Roman" w:cs="Times New Roman"/>
          <w:sz w:val="24"/>
          <w:szCs w:val="24"/>
        </w:rPr>
        <w:t xml:space="preserve">in </w:t>
      </w:r>
      <w:r w:rsidR="00F87BDF" w:rsidRPr="00D028DC">
        <w:rPr>
          <w:rFonts w:ascii="Times New Roman" w:hAnsi="Times New Roman" w:cs="Times New Roman"/>
          <w:i/>
          <w:iCs/>
          <w:sz w:val="24"/>
          <w:szCs w:val="24"/>
        </w:rPr>
        <w:t xml:space="preserve">Rutendo Housing Cooperative v Aaron Kumanja &amp; </w:t>
      </w:r>
      <w:r w:rsidR="00981349" w:rsidRPr="00D028DC">
        <w:rPr>
          <w:rFonts w:ascii="Times New Roman" w:hAnsi="Times New Roman" w:cs="Times New Roman"/>
          <w:i/>
          <w:iCs/>
          <w:sz w:val="24"/>
          <w:szCs w:val="24"/>
        </w:rPr>
        <w:t>10 Ors</w:t>
      </w:r>
      <w:r w:rsidR="00981349">
        <w:rPr>
          <w:rFonts w:ascii="Times New Roman" w:hAnsi="Times New Roman" w:cs="Times New Roman"/>
          <w:sz w:val="24"/>
          <w:szCs w:val="24"/>
        </w:rPr>
        <w:t xml:space="preserve"> HH 835-22</w:t>
      </w:r>
      <w:r w:rsidR="00981349">
        <w:rPr>
          <w:rStyle w:val="FootnoteReference"/>
          <w:rFonts w:ascii="Times New Roman" w:hAnsi="Times New Roman" w:cs="Times New Roman"/>
          <w:sz w:val="24"/>
          <w:szCs w:val="24"/>
        </w:rPr>
        <w:footnoteReference w:id="1"/>
      </w:r>
      <w:r w:rsidR="00981349">
        <w:rPr>
          <w:rFonts w:ascii="Times New Roman" w:hAnsi="Times New Roman" w:cs="Times New Roman"/>
          <w:sz w:val="24"/>
          <w:szCs w:val="24"/>
        </w:rPr>
        <w:t>.</w:t>
      </w:r>
    </w:p>
    <w:p w14:paraId="2905F809" w14:textId="77777777" w:rsidR="00981349" w:rsidRDefault="00981349" w:rsidP="00B757D8">
      <w:pPr>
        <w:autoSpaceDE w:val="0"/>
        <w:autoSpaceDN w:val="0"/>
        <w:adjustRightInd w:val="0"/>
        <w:spacing w:after="0" w:line="360" w:lineRule="auto"/>
        <w:jc w:val="both"/>
        <w:rPr>
          <w:rFonts w:ascii="Times New Roman" w:hAnsi="Times New Roman" w:cs="Times New Roman"/>
          <w:sz w:val="24"/>
          <w:szCs w:val="24"/>
        </w:rPr>
      </w:pPr>
    </w:p>
    <w:p w14:paraId="425E3EBC" w14:textId="5344C2E5" w:rsidR="00D028DC" w:rsidRDefault="00981349" w:rsidP="00B757D8">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 xml:space="preserve">[ </w:t>
      </w:r>
      <w:r w:rsidR="00D32611">
        <w:rPr>
          <w:rFonts w:ascii="Times New Roman" w:hAnsi="Times New Roman" w:cs="Times New Roman"/>
          <w:sz w:val="24"/>
          <w:szCs w:val="24"/>
        </w:rPr>
        <w:t>10]</w:t>
      </w:r>
      <w:r>
        <w:rPr>
          <w:rFonts w:ascii="Times New Roman" w:hAnsi="Times New Roman" w:cs="Times New Roman"/>
          <w:sz w:val="24"/>
          <w:szCs w:val="24"/>
        </w:rPr>
        <w:t xml:space="preserve"> </w:t>
      </w:r>
      <w:r w:rsidR="009075F7">
        <w:rPr>
          <w:rFonts w:ascii="Times New Roman" w:hAnsi="Times New Roman" w:cs="Times New Roman"/>
          <w:sz w:val="24"/>
          <w:szCs w:val="24"/>
        </w:rPr>
        <w:t>Similarly, in</w:t>
      </w:r>
      <w:r w:rsidR="00641761">
        <w:rPr>
          <w:rFonts w:ascii="Times New Roman" w:hAnsi="Times New Roman" w:cs="Times New Roman"/>
          <w:sz w:val="24"/>
          <w:szCs w:val="24"/>
        </w:rPr>
        <w:t xml:space="preserve"> </w:t>
      </w:r>
      <w:r w:rsidR="00641761" w:rsidRPr="00981349">
        <w:rPr>
          <w:rFonts w:ascii="Times New Roman" w:hAnsi="Times New Roman" w:cs="Times New Roman"/>
          <w:i/>
          <w:iCs/>
          <w:kern w:val="0"/>
          <w:sz w:val="24"/>
          <w:szCs w:val="24"/>
        </w:rPr>
        <w:t>Read</w:t>
      </w:r>
      <w:r w:rsidRPr="00981349">
        <w:rPr>
          <w:rFonts w:ascii="Times New Roman" w:hAnsi="Times New Roman" w:cs="Times New Roman"/>
          <w:i/>
          <w:iCs/>
          <w:kern w:val="0"/>
          <w:sz w:val="24"/>
          <w:szCs w:val="24"/>
        </w:rPr>
        <w:t xml:space="preserve"> v Gardiner &amp; Anor</w:t>
      </w:r>
      <w:r w:rsidRPr="00B757D8">
        <w:rPr>
          <w:rFonts w:ascii="Times New Roman" w:hAnsi="Times New Roman" w:cs="Times New Roman"/>
          <w:kern w:val="0"/>
          <w:sz w:val="24"/>
          <w:szCs w:val="24"/>
        </w:rPr>
        <w:t xml:space="preserve"> SC 70-</w:t>
      </w:r>
      <w:r>
        <w:rPr>
          <w:rFonts w:ascii="Times New Roman" w:hAnsi="Times New Roman" w:cs="Times New Roman"/>
          <w:kern w:val="0"/>
          <w:sz w:val="24"/>
          <w:szCs w:val="24"/>
        </w:rPr>
        <w:t>19</w:t>
      </w:r>
      <w:r w:rsidR="00641761">
        <w:rPr>
          <w:rFonts w:ascii="Times New Roman" w:hAnsi="Times New Roman" w:cs="Times New Roman"/>
          <w:kern w:val="0"/>
          <w:sz w:val="24"/>
          <w:szCs w:val="24"/>
        </w:rPr>
        <w:t>,</w:t>
      </w:r>
      <w:r>
        <w:rPr>
          <w:rFonts w:ascii="Times New Roman" w:hAnsi="Times New Roman" w:cs="Times New Roman"/>
          <w:kern w:val="0"/>
          <w:sz w:val="24"/>
          <w:szCs w:val="24"/>
        </w:rPr>
        <w:t xml:space="preserve"> the Supreme Court opined on that combination and held</w:t>
      </w:r>
      <w:r w:rsidR="00D028DC">
        <w:rPr>
          <w:rFonts w:ascii="Times New Roman" w:hAnsi="Times New Roman" w:cs="Times New Roman"/>
          <w:kern w:val="0"/>
          <w:sz w:val="24"/>
          <w:szCs w:val="24"/>
        </w:rPr>
        <w:t xml:space="preserve"> at page 11 that;</w:t>
      </w:r>
      <w:r>
        <w:rPr>
          <w:rFonts w:ascii="Times New Roman" w:hAnsi="Times New Roman" w:cs="Times New Roman"/>
          <w:kern w:val="0"/>
          <w:sz w:val="24"/>
          <w:szCs w:val="24"/>
        </w:rPr>
        <w:t xml:space="preserve"> -</w:t>
      </w:r>
    </w:p>
    <w:p w14:paraId="52485D9D" w14:textId="6028DCAC" w:rsidR="00981349" w:rsidRDefault="00D028DC" w:rsidP="00641761">
      <w:pPr>
        <w:autoSpaceDE w:val="0"/>
        <w:autoSpaceDN w:val="0"/>
        <w:adjustRightInd w:val="0"/>
        <w:spacing w:after="0" w:line="360" w:lineRule="auto"/>
        <w:ind w:left="1134"/>
        <w:jc w:val="both"/>
        <w:rPr>
          <w:rFonts w:ascii="Times New Roman" w:hAnsi="Times New Roman" w:cs="Times New Roman"/>
          <w:kern w:val="0"/>
          <w:sz w:val="24"/>
          <w:szCs w:val="24"/>
        </w:rPr>
      </w:pPr>
      <w:r>
        <w:rPr>
          <w:rFonts w:ascii="Times New Roman" w:eastAsia="Times New Roman" w:hAnsi="Times New Roman" w:cs="Times New Roman"/>
          <w:kern w:val="0"/>
          <w:sz w:val="24"/>
          <w:szCs w:val="24"/>
          <w:lang w:val="en-GB"/>
          <w14:ligatures w14:val="none"/>
        </w:rPr>
        <w:t>“</w:t>
      </w:r>
      <w:r w:rsidRPr="00D028DC">
        <w:rPr>
          <w:rFonts w:ascii="Times New Roman" w:eastAsia="Times New Roman" w:hAnsi="Times New Roman" w:cs="Times New Roman"/>
          <w:kern w:val="0"/>
          <w:sz w:val="24"/>
          <w:szCs w:val="24"/>
          <w:lang w:val="en-GB"/>
          <w14:ligatures w14:val="none"/>
        </w:rPr>
        <w:t>Furthermore, it also seems expedient, in order to expedite the finalisation of the matter, that the application for rescission be adjudicated at the same time as the application for condonation. In my view, there is nothing in principle to preclude the composite adjudication of the two applications together, especially as the considerations to be applied in the determination of both applications are virtually identical.</w:t>
      </w:r>
      <w:r>
        <w:rPr>
          <w:rFonts w:ascii="Times New Roman" w:eastAsia="Times New Roman" w:hAnsi="Times New Roman" w:cs="Times New Roman"/>
          <w:kern w:val="0"/>
          <w:sz w:val="24"/>
          <w:szCs w:val="24"/>
          <w:lang w:val="en-GB"/>
          <w14:ligatures w14:val="none"/>
        </w:rPr>
        <w:t>”</w:t>
      </w:r>
    </w:p>
    <w:p w14:paraId="018A3C6C" w14:textId="627403EC" w:rsidR="00EC1839" w:rsidRDefault="00D028DC" w:rsidP="00B757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07C5">
        <w:rPr>
          <w:rFonts w:ascii="Times New Roman" w:hAnsi="Times New Roman" w:cs="Times New Roman"/>
          <w:sz w:val="24"/>
          <w:szCs w:val="24"/>
        </w:rPr>
        <w:t>11</w:t>
      </w:r>
      <w:r>
        <w:rPr>
          <w:rFonts w:ascii="Times New Roman" w:hAnsi="Times New Roman" w:cs="Times New Roman"/>
          <w:sz w:val="24"/>
          <w:szCs w:val="24"/>
        </w:rPr>
        <w:t xml:space="preserve">] </w:t>
      </w:r>
      <w:r w:rsidR="00D32611">
        <w:rPr>
          <w:rFonts w:ascii="Times New Roman" w:hAnsi="Times New Roman" w:cs="Times New Roman"/>
          <w:sz w:val="24"/>
          <w:szCs w:val="24"/>
        </w:rPr>
        <w:t>T</w:t>
      </w:r>
      <w:r w:rsidR="00EC1839">
        <w:rPr>
          <w:rFonts w:ascii="Times New Roman" w:hAnsi="Times New Roman" w:cs="Times New Roman"/>
          <w:sz w:val="24"/>
          <w:szCs w:val="24"/>
        </w:rPr>
        <w:t xml:space="preserve">he final order </w:t>
      </w:r>
      <w:r w:rsidR="00D32611">
        <w:rPr>
          <w:rFonts w:ascii="Times New Roman" w:hAnsi="Times New Roman" w:cs="Times New Roman"/>
          <w:sz w:val="24"/>
          <w:szCs w:val="24"/>
        </w:rPr>
        <w:t xml:space="preserve">issued by the Supreme Court in that decision </w:t>
      </w:r>
      <w:r w:rsidR="00EC1839">
        <w:rPr>
          <w:rFonts w:ascii="Times New Roman" w:hAnsi="Times New Roman" w:cs="Times New Roman"/>
          <w:sz w:val="24"/>
          <w:szCs w:val="24"/>
        </w:rPr>
        <w:t xml:space="preserve">is instructive. The appellate court directed the court </w:t>
      </w:r>
      <w:r w:rsidR="00EC1839" w:rsidRPr="00D32611">
        <w:rPr>
          <w:rFonts w:ascii="Times New Roman" w:hAnsi="Times New Roman" w:cs="Times New Roman"/>
          <w:i/>
          <w:iCs/>
          <w:sz w:val="24"/>
          <w:szCs w:val="24"/>
        </w:rPr>
        <w:t>a</w:t>
      </w:r>
      <w:r w:rsidR="00D32611" w:rsidRPr="00D32611">
        <w:rPr>
          <w:rFonts w:ascii="Times New Roman" w:hAnsi="Times New Roman" w:cs="Times New Roman"/>
          <w:i/>
          <w:iCs/>
          <w:sz w:val="24"/>
          <w:szCs w:val="24"/>
        </w:rPr>
        <w:t xml:space="preserve"> </w:t>
      </w:r>
      <w:r w:rsidR="00EC1839" w:rsidRPr="00D32611">
        <w:rPr>
          <w:rFonts w:ascii="Times New Roman" w:hAnsi="Times New Roman" w:cs="Times New Roman"/>
          <w:i/>
          <w:iCs/>
          <w:sz w:val="24"/>
          <w:szCs w:val="24"/>
        </w:rPr>
        <w:t>quo</w:t>
      </w:r>
      <w:r w:rsidR="00EC1839">
        <w:rPr>
          <w:rFonts w:ascii="Times New Roman" w:hAnsi="Times New Roman" w:cs="Times New Roman"/>
          <w:sz w:val="24"/>
          <w:szCs w:val="24"/>
        </w:rPr>
        <w:t xml:space="preserve"> to hear and determine the condonation application first before dealing with the rescission application. In t</w:t>
      </w:r>
      <w:r>
        <w:rPr>
          <w:rFonts w:ascii="Times New Roman" w:hAnsi="Times New Roman" w:cs="Times New Roman"/>
          <w:sz w:val="24"/>
          <w:szCs w:val="24"/>
        </w:rPr>
        <w:t xml:space="preserve">he same vein, regard must </w:t>
      </w:r>
      <w:r w:rsidR="004B07C5">
        <w:rPr>
          <w:rFonts w:ascii="Times New Roman" w:hAnsi="Times New Roman" w:cs="Times New Roman"/>
          <w:sz w:val="24"/>
          <w:szCs w:val="24"/>
        </w:rPr>
        <w:t>also be</w:t>
      </w:r>
      <w:r w:rsidR="00D32611">
        <w:rPr>
          <w:rFonts w:ascii="Times New Roman" w:hAnsi="Times New Roman" w:cs="Times New Roman"/>
          <w:sz w:val="24"/>
          <w:szCs w:val="24"/>
        </w:rPr>
        <w:t xml:space="preserve"> </w:t>
      </w:r>
      <w:r>
        <w:rPr>
          <w:rFonts w:ascii="Times New Roman" w:hAnsi="Times New Roman" w:cs="Times New Roman"/>
          <w:sz w:val="24"/>
          <w:szCs w:val="24"/>
        </w:rPr>
        <w:t xml:space="preserve">had to decisions such as </w:t>
      </w:r>
      <w:r w:rsidRPr="006D4DCA">
        <w:rPr>
          <w:rFonts w:ascii="Times New Roman" w:hAnsi="Times New Roman" w:cs="Times New Roman"/>
          <w:i/>
          <w:iCs/>
          <w:sz w:val="24"/>
          <w:szCs w:val="24"/>
        </w:rPr>
        <w:t>Charles Victor Gurupira &amp; Anor v The Sheriff of Zimbabwe NO and 2 Ors</w:t>
      </w:r>
      <w:r>
        <w:rPr>
          <w:rFonts w:ascii="Times New Roman" w:hAnsi="Times New Roman" w:cs="Times New Roman"/>
          <w:sz w:val="24"/>
          <w:szCs w:val="24"/>
        </w:rPr>
        <w:t xml:space="preserve"> HH 80-08 and </w:t>
      </w:r>
      <w:r w:rsidR="006D4DCA" w:rsidRPr="00EC1839">
        <w:rPr>
          <w:rFonts w:ascii="Times New Roman" w:hAnsi="Times New Roman" w:cs="Times New Roman"/>
          <w:i/>
          <w:iCs/>
          <w:sz w:val="24"/>
          <w:szCs w:val="24"/>
        </w:rPr>
        <w:t>Treviglo Services v Emmerson Gwatidzo</w:t>
      </w:r>
      <w:r w:rsidR="006D4DCA">
        <w:rPr>
          <w:rFonts w:ascii="Times New Roman" w:hAnsi="Times New Roman" w:cs="Times New Roman"/>
          <w:sz w:val="24"/>
          <w:szCs w:val="24"/>
        </w:rPr>
        <w:t xml:space="preserve"> HH 272-</w:t>
      </w:r>
      <w:r w:rsidR="00EC1839">
        <w:rPr>
          <w:rFonts w:ascii="Times New Roman" w:hAnsi="Times New Roman" w:cs="Times New Roman"/>
          <w:sz w:val="24"/>
          <w:szCs w:val="24"/>
        </w:rPr>
        <w:t xml:space="preserve">14. </w:t>
      </w:r>
      <w:r w:rsidR="00D32611">
        <w:rPr>
          <w:rFonts w:ascii="Times New Roman" w:hAnsi="Times New Roman" w:cs="Times New Roman"/>
          <w:sz w:val="24"/>
          <w:szCs w:val="24"/>
        </w:rPr>
        <w:t xml:space="preserve">Therein, this court proposed what I consider a stricter approach to rolled-up applications for condonation and rescission. </w:t>
      </w:r>
    </w:p>
    <w:p w14:paraId="460FED67" w14:textId="77777777" w:rsidR="00EC1839" w:rsidRDefault="00EC1839" w:rsidP="00B757D8">
      <w:pPr>
        <w:autoSpaceDE w:val="0"/>
        <w:autoSpaceDN w:val="0"/>
        <w:adjustRightInd w:val="0"/>
        <w:spacing w:after="0" w:line="360" w:lineRule="auto"/>
        <w:jc w:val="both"/>
        <w:rPr>
          <w:rFonts w:ascii="Times New Roman" w:hAnsi="Times New Roman" w:cs="Times New Roman"/>
          <w:sz w:val="24"/>
          <w:szCs w:val="24"/>
        </w:rPr>
      </w:pPr>
    </w:p>
    <w:p w14:paraId="1C3C3C5E" w14:textId="35FF35A0" w:rsidR="002054D6" w:rsidRDefault="00EC1839" w:rsidP="00B757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07C5">
        <w:rPr>
          <w:rFonts w:ascii="Times New Roman" w:hAnsi="Times New Roman" w:cs="Times New Roman"/>
          <w:sz w:val="24"/>
          <w:szCs w:val="24"/>
        </w:rPr>
        <w:t>12]</w:t>
      </w:r>
      <w:r w:rsidR="00641761">
        <w:rPr>
          <w:rFonts w:ascii="Times New Roman" w:hAnsi="Times New Roman" w:cs="Times New Roman"/>
          <w:sz w:val="24"/>
          <w:szCs w:val="24"/>
        </w:rPr>
        <w:t xml:space="preserve"> The above decisions traversed </w:t>
      </w:r>
      <w:r w:rsidR="00641761" w:rsidRPr="00641761">
        <w:rPr>
          <w:rFonts w:ascii="Times New Roman" w:hAnsi="Times New Roman" w:cs="Times New Roman"/>
          <w:i/>
          <w:iCs/>
          <w:sz w:val="24"/>
          <w:szCs w:val="24"/>
        </w:rPr>
        <w:t>en passant</w:t>
      </w:r>
      <w:r w:rsidR="00641761">
        <w:rPr>
          <w:rFonts w:ascii="Times New Roman" w:hAnsi="Times New Roman" w:cs="Times New Roman"/>
          <w:sz w:val="24"/>
          <w:szCs w:val="24"/>
        </w:rPr>
        <w:t xml:space="preserve"> basically </w:t>
      </w:r>
      <w:r>
        <w:rPr>
          <w:rFonts w:ascii="Times New Roman" w:hAnsi="Times New Roman" w:cs="Times New Roman"/>
          <w:sz w:val="24"/>
          <w:szCs w:val="24"/>
        </w:rPr>
        <w:t xml:space="preserve">point to one constant. </w:t>
      </w:r>
      <w:r w:rsidR="00E938B9">
        <w:rPr>
          <w:rFonts w:ascii="Times New Roman" w:hAnsi="Times New Roman" w:cs="Times New Roman"/>
          <w:sz w:val="24"/>
          <w:szCs w:val="24"/>
        </w:rPr>
        <w:t xml:space="preserve">A </w:t>
      </w:r>
      <w:r>
        <w:rPr>
          <w:rFonts w:ascii="Times New Roman" w:hAnsi="Times New Roman" w:cs="Times New Roman"/>
          <w:sz w:val="24"/>
          <w:szCs w:val="24"/>
        </w:rPr>
        <w:t>br</w:t>
      </w:r>
      <w:r w:rsidR="006D4DCA">
        <w:rPr>
          <w:rFonts w:ascii="Times New Roman" w:hAnsi="Times New Roman" w:cs="Times New Roman"/>
          <w:sz w:val="24"/>
          <w:szCs w:val="24"/>
        </w:rPr>
        <w:t xml:space="preserve">each of the rules of </w:t>
      </w:r>
      <w:r>
        <w:rPr>
          <w:rFonts w:ascii="Times New Roman" w:hAnsi="Times New Roman" w:cs="Times New Roman"/>
          <w:sz w:val="24"/>
          <w:szCs w:val="24"/>
        </w:rPr>
        <w:t xml:space="preserve">court will </w:t>
      </w:r>
      <w:r w:rsidR="006D4DCA">
        <w:rPr>
          <w:rFonts w:ascii="Times New Roman" w:hAnsi="Times New Roman" w:cs="Times New Roman"/>
          <w:sz w:val="24"/>
          <w:szCs w:val="24"/>
        </w:rPr>
        <w:t xml:space="preserve">stall the guilty` party`s suit. </w:t>
      </w:r>
      <w:r>
        <w:rPr>
          <w:rFonts w:ascii="Times New Roman" w:hAnsi="Times New Roman" w:cs="Times New Roman"/>
          <w:sz w:val="24"/>
          <w:szCs w:val="24"/>
        </w:rPr>
        <w:t xml:space="preserve">Such party </w:t>
      </w:r>
      <w:r w:rsidR="006D4DCA">
        <w:rPr>
          <w:rFonts w:ascii="Times New Roman" w:hAnsi="Times New Roman" w:cs="Times New Roman"/>
          <w:sz w:val="24"/>
          <w:szCs w:val="24"/>
        </w:rPr>
        <w:t xml:space="preserve">ought to secure the court`s clemency before the </w:t>
      </w:r>
      <w:r>
        <w:rPr>
          <w:rFonts w:ascii="Times New Roman" w:hAnsi="Times New Roman" w:cs="Times New Roman"/>
          <w:sz w:val="24"/>
          <w:szCs w:val="24"/>
        </w:rPr>
        <w:t>prosecution or defence of rights can</w:t>
      </w:r>
      <w:r w:rsidR="006D4DCA">
        <w:rPr>
          <w:rFonts w:ascii="Times New Roman" w:hAnsi="Times New Roman" w:cs="Times New Roman"/>
          <w:sz w:val="24"/>
          <w:szCs w:val="24"/>
        </w:rPr>
        <w:t xml:space="preserve"> </w:t>
      </w:r>
      <w:r w:rsidR="00E938B9">
        <w:rPr>
          <w:rFonts w:ascii="Times New Roman" w:hAnsi="Times New Roman" w:cs="Times New Roman"/>
          <w:sz w:val="24"/>
          <w:szCs w:val="24"/>
        </w:rPr>
        <w:t xml:space="preserve">progress. </w:t>
      </w:r>
      <w:r w:rsidR="00641761">
        <w:rPr>
          <w:rFonts w:ascii="Times New Roman" w:hAnsi="Times New Roman" w:cs="Times New Roman"/>
          <w:sz w:val="24"/>
          <w:szCs w:val="24"/>
        </w:rPr>
        <w:t xml:space="preserve">And the court`s indulgence will only be granted </w:t>
      </w:r>
      <w:r w:rsidR="00E938B9">
        <w:rPr>
          <w:rFonts w:ascii="Times New Roman" w:hAnsi="Times New Roman" w:cs="Times New Roman"/>
          <w:sz w:val="24"/>
          <w:szCs w:val="24"/>
        </w:rPr>
        <w:t xml:space="preserve">if he satisfies </w:t>
      </w:r>
      <w:r w:rsidR="00641761">
        <w:rPr>
          <w:rFonts w:ascii="Times New Roman" w:hAnsi="Times New Roman" w:cs="Times New Roman"/>
          <w:sz w:val="24"/>
          <w:szCs w:val="24"/>
        </w:rPr>
        <w:t xml:space="preserve">a </w:t>
      </w:r>
      <w:r w:rsidR="00E938B9">
        <w:rPr>
          <w:rFonts w:ascii="Times New Roman" w:hAnsi="Times New Roman" w:cs="Times New Roman"/>
          <w:sz w:val="24"/>
          <w:szCs w:val="24"/>
        </w:rPr>
        <w:t>set of well-established requirements.</w:t>
      </w:r>
    </w:p>
    <w:p w14:paraId="208D9523" w14:textId="77777777" w:rsidR="003D59AE" w:rsidRDefault="003D59AE" w:rsidP="00B757D8">
      <w:pPr>
        <w:autoSpaceDE w:val="0"/>
        <w:autoSpaceDN w:val="0"/>
        <w:adjustRightInd w:val="0"/>
        <w:spacing w:after="0" w:line="360" w:lineRule="auto"/>
        <w:jc w:val="both"/>
        <w:rPr>
          <w:rFonts w:ascii="Times New Roman" w:hAnsi="Times New Roman" w:cs="Times New Roman"/>
          <w:sz w:val="24"/>
          <w:szCs w:val="24"/>
        </w:rPr>
      </w:pPr>
    </w:p>
    <w:p w14:paraId="04193A88" w14:textId="30E9A496" w:rsidR="003D59AE" w:rsidRDefault="003D59AE" w:rsidP="005D57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07C5">
        <w:rPr>
          <w:rFonts w:ascii="Times New Roman" w:hAnsi="Times New Roman" w:cs="Times New Roman"/>
          <w:sz w:val="24"/>
          <w:szCs w:val="24"/>
        </w:rPr>
        <w:t>13</w:t>
      </w:r>
      <w:r>
        <w:rPr>
          <w:rFonts w:ascii="Times New Roman" w:hAnsi="Times New Roman" w:cs="Times New Roman"/>
          <w:sz w:val="24"/>
          <w:szCs w:val="24"/>
        </w:rPr>
        <w:t xml:space="preserve">] </w:t>
      </w:r>
      <w:r w:rsidR="00EC1839">
        <w:rPr>
          <w:rFonts w:ascii="Times New Roman" w:hAnsi="Times New Roman" w:cs="Times New Roman"/>
          <w:sz w:val="24"/>
          <w:szCs w:val="24"/>
        </w:rPr>
        <w:t xml:space="preserve">Condonation </w:t>
      </w:r>
      <w:r w:rsidR="003706D3" w:rsidRPr="00B757D8">
        <w:rPr>
          <w:rFonts w:ascii="Times New Roman" w:hAnsi="Times New Roman" w:cs="Times New Roman"/>
          <w:sz w:val="24"/>
          <w:szCs w:val="24"/>
        </w:rPr>
        <w:t xml:space="preserve">is not one to be had, as the authorities say, for the mere asking. </w:t>
      </w:r>
      <w:r w:rsidR="00B757D8" w:rsidRPr="00B757D8">
        <w:rPr>
          <w:rFonts w:ascii="Times New Roman" w:hAnsi="Times New Roman" w:cs="Times New Roman"/>
          <w:sz w:val="24"/>
          <w:szCs w:val="24"/>
        </w:rPr>
        <w:t>(See</w:t>
      </w:r>
      <w:r w:rsidR="003706D3" w:rsidRPr="00B757D8">
        <w:rPr>
          <w:rFonts w:ascii="Times New Roman" w:hAnsi="Times New Roman" w:cs="Times New Roman"/>
          <w:sz w:val="24"/>
          <w:szCs w:val="24"/>
        </w:rPr>
        <w:t xml:space="preserve"> </w:t>
      </w:r>
      <w:r w:rsidR="00B757D8" w:rsidRPr="00B757D8">
        <w:rPr>
          <w:rFonts w:ascii="Times New Roman" w:hAnsi="Times New Roman" w:cs="Times New Roman"/>
          <w:i/>
          <w:iCs/>
          <w:kern w:val="0"/>
          <w:sz w:val="24"/>
          <w:szCs w:val="24"/>
        </w:rPr>
        <w:t xml:space="preserve">Kombayi </w:t>
      </w:r>
      <w:r w:rsidR="00B757D8" w:rsidRPr="00B757D8">
        <w:rPr>
          <w:rFonts w:ascii="Times New Roman" w:hAnsi="Times New Roman" w:cs="Times New Roman"/>
          <w:kern w:val="0"/>
          <w:sz w:val="24"/>
          <w:szCs w:val="24"/>
        </w:rPr>
        <w:t xml:space="preserve">v </w:t>
      </w:r>
      <w:r w:rsidR="00B757D8" w:rsidRPr="00B757D8">
        <w:rPr>
          <w:rFonts w:ascii="Times New Roman" w:hAnsi="Times New Roman" w:cs="Times New Roman"/>
          <w:i/>
          <w:iCs/>
          <w:kern w:val="0"/>
          <w:sz w:val="24"/>
          <w:szCs w:val="24"/>
        </w:rPr>
        <w:t xml:space="preserve">Berkhout </w:t>
      </w:r>
      <w:r w:rsidR="00B757D8" w:rsidRPr="00B757D8">
        <w:rPr>
          <w:rFonts w:ascii="Times New Roman" w:hAnsi="Times New Roman" w:cs="Times New Roman"/>
          <w:kern w:val="0"/>
          <w:sz w:val="24"/>
          <w:szCs w:val="24"/>
        </w:rPr>
        <w:t xml:space="preserve">1988 (1) ZLR 53 (S) 57G-58A; </w:t>
      </w:r>
      <w:r w:rsidR="00B757D8" w:rsidRPr="00B757D8">
        <w:rPr>
          <w:rFonts w:ascii="Times New Roman" w:hAnsi="Times New Roman" w:cs="Times New Roman"/>
          <w:i/>
          <w:iCs/>
          <w:sz w:val="24"/>
          <w:szCs w:val="24"/>
        </w:rPr>
        <w:t xml:space="preserve">Kodzwa v Secretary for Health &amp; Another </w:t>
      </w:r>
      <w:r w:rsidR="00B757D8" w:rsidRPr="00B757D8">
        <w:rPr>
          <w:rFonts w:ascii="Times New Roman" w:hAnsi="Times New Roman" w:cs="Times New Roman"/>
          <w:sz w:val="24"/>
          <w:szCs w:val="24"/>
        </w:rPr>
        <w:t>1999(1) ZLR 313 (S);</w:t>
      </w:r>
      <w:r w:rsidR="00B757D8" w:rsidRPr="00B757D8">
        <w:rPr>
          <w:rFonts w:ascii="Times New Roman" w:hAnsi="Times New Roman" w:cs="Times New Roman"/>
          <w:i/>
          <w:iCs/>
          <w:kern w:val="0"/>
          <w:sz w:val="24"/>
          <w:szCs w:val="24"/>
        </w:rPr>
        <w:t xml:space="preserve"> Sibanda v Ntini </w:t>
      </w:r>
      <w:r w:rsidR="00B757D8" w:rsidRPr="00B757D8">
        <w:rPr>
          <w:rFonts w:ascii="Times New Roman" w:hAnsi="Times New Roman" w:cs="Times New Roman"/>
          <w:kern w:val="0"/>
          <w:sz w:val="24"/>
          <w:szCs w:val="24"/>
        </w:rPr>
        <w:t>2002(1) ZLR 264;</w:t>
      </w:r>
      <w:r w:rsidR="00B757D8" w:rsidRPr="00B757D8">
        <w:rPr>
          <w:rFonts w:ascii="Times New Roman" w:hAnsi="Times New Roman" w:cs="Times New Roman"/>
          <w:i/>
          <w:iCs/>
          <w:kern w:val="0"/>
          <w:sz w:val="24"/>
          <w:szCs w:val="24"/>
        </w:rPr>
        <w:t xml:space="preserve"> Zimslate Quartzite (Pvt) Ltd &amp; Ors </w:t>
      </w:r>
      <w:r w:rsidR="00B757D8" w:rsidRPr="00B757D8">
        <w:rPr>
          <w:rFonts w:ascii="Times New Roman" w:hAnsi="Times New Roman" w:cs="Times New Roman"/>
          <w:kern w:val="0"/>
          <w:sz w:val="24"/>
          <w:szCs w:val="24"/>
        </w:rPr>
        <w:t xml:space="preserve">v </w:t>
      </w:r>
      <w:r w:rsidR="00B757D8" w:rsidRPr="00B757D8">
        <w:rPr>
          <w:rFonts w:ascii="Times New Roman" w:hAnsi="Times New Roman" w:cs="Times New Roman"/>
          <w:i/>
          <w:iCs/>
          <w:kern w:val="0"/>
          <w:sz w:val="24"/>
          <w:szCs w:val="24"/>
        </w:rPr>
        <w:t xml:space="preserve">Central African Building Society </w:t>
      </w:r>
      <w:r w:rsidR="00B757D8" w:rsidRPr="00B757D8">
        <w:rPr>
          <w:rFonts w:ascii="Times New Roman" w:hAnsi="Times New Roman" w:cs="Times New Roman"/>
          <w:kern w:val="0"/>
          <w:sz w:val="24"/>
          <w:szCs w:val="24"/>
        </w:rPr>
        <w:t xml:space="preserve">SC 34-17; </w:t>
      </w:r>
      <w:r w:rsidR="00B757D8" w:rsidRPr="00981349">
        <w:rPr>
          <w:rFonts w:ascii="Times New Roman" w:hAnsi="Times New Roman" w:cs="Times New Roman"/>
          <w:i/>
          <w:iCs/>
          <w:kern w:val="0"/>
          <w:sz w:val="24"/>
          <w:szCs w:val="24"/>
        </w:rPr>
        <w:t>Read v Gardiner &amp; Anor</w:t>
      </w:r>
      <w:r w:rsidR="00B757D8" w:rsidRPr="00B757D8">
        <w:rPr>
          <w:rFonts w:ascii="Times New Roman" w:hAnsi="Times New Roman" w:cs="Times New Roman"/>
          <w:kern w:val="0"/>
          <w:sz w:val="24"/>
          <w:szCs w:val="24"/>
        </w:rPr>
        <w:t xml:space="preserve"> SC 70-19).</w:t>
      </w:r>
      <w:r>
        <w:rPr>
          <w:rFonts w:ascii="Times New Roman" w:hAnsi="Times New Roman" w:cs="Times New Roman"/>
          <w:kern w:val="0"/>
          <w:sz w:val="24"/>
          <w:szCs w:val="24"/>
        </w:rPr>
        <w:t xml:space="preserve"> </w:t>
      </w:r>
      <w:r>
        <w:rPr>
          <w:rFonts w:ascii="Times New Roman" w:hAnsi="Times New Roman" w:cs="Times New Roman"/>
          <w:sz w:val="24"/>
          <w:szCs w:val="24"/>
        </w:rPr>
        <w:t xml:space="preserve"> The requirements were listed in </w:t>
      </w:r>
      <w:r w:rsidRPr="003D59AE">
        <w:rPr>
          <w:rFonts w:ascii="Times New Roman" w:hAnsi="Times New Roman" w:cs="Times New Roman"/>
          <w:i/>
          <w:iCs/>
          <w:sz w:val="24"/>
          <w:szCs w:val="24"/>
        </w:rPr>
        <w:t>Read v Gardiner &amp; Anor</w:t>
      </w:r>
      <w:r>
        <w:rPr>
          <w:rFonts w:ascii="Times New Roman" w:hAnsi="Times New Roman" w:cs="Times New Roman"/>
          <w:sz w:val="24"/>
          <w:szCs w:val="24"/>
        </w:rPr>
        <w:t xml:space="preserve"> as follows </w:t>
      </w:r>
    </w:p>
    <w:p w14:paraId="0EBDC383" w14:textId="74660522"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bookmarkStart w:id="1" w:name="_Hlk159764112"/>
      <w:r w:rsidRPr="003D59AE">
        <w:rPr>
          <w:rFonts w:ascii="Times New Roman" w:eastAsia="Times New Roman" w:hAnsi="Times New Roman" w:cs="Times New Roman"/>
          <w:kern w:val="0"/>
          <w:sz w:val="24"/>
          <w:szCs w:val="24"/>
          <w:lang w:val="en-GB"/>
          <w14:ligatures w14:val="none"/>
        </w:rPr>
        <w:t>The extent of the delay involved or non-compliance in question.</w:t>
      </w:r>
    </w:p>
    <w:bookmarkEnd w:id="1"/>
    <w:p w14:paraId="21022F97" w14:textId="77777777"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3D59AE">
        <w:rPr>
          <w:rFonts w:ascii="Times New Roman" w:eastAsia="Times New Roman" w:hAnsi="Times New Roman" w:cs="Times New Roman"/>
          <w:kern w:val="0"/>
          <w:sz w:val="24"/>
          <w:szCs w:val="24"/>
          <w:lang w:val="en-GB"/>
          <w14:ligatures w14:val="none"/>
        </w:rPr>
        <w:t>The reasonableness of the explanation for the delay or non-compliance.</w:t>
      </w:r>
    </w:p>
    <w:p w14:paraId="6BE873C4" w14:textId="77777777"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3D59AE">
        <w:rPr>
          <w:rFonts w:ascii="Times New Roman" w:eastAsia="Times New Roman" w:hAnsi="Times New Roman" w:cs="Times New Roman"/>
          <w:kern w:val="0"/>
          <w:sz w:val="24"/>
          <w:szCs w:val="24"/>
          <w:lang w:val="en-GB"/>
          <w14:ligatures w14:val="none"/>
        </w:rPr>
        <w:t>The prospects of success should the application be granted.</w:t>
      </w:r>
    </w:p>
    <w:p w14:paraId="4FAE2415" w14:textId="77777777"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3D59AE">
        <w:rPr>
          <w:rFonts w:ascii="Times New Roman" w:eastAsia="Times New Roman" w:hAnsi="Times New Roman" w:cs="Times New Roman"/>
          <w:kern w:val="0"/>
          <w:sz w:val="24"/>
          <w:szCs w:val="24"/>
          <w:lang w:val="en-GB"/>
          <w14:ligatures w14:val="none"/>
        </w:rPr>
        <w:t>The possible prejudice to the other party.</w:t>
      </w:r>
    </w:p>
    <w:p w14:paraId="66AB1976" w14:textId="77777777"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3D59AE">
        <w:rPr>
          <w:rFonts w:ascii="Times New Roman" w:eastAsia="Times New Roman" w:hAnsi="Times New Roman" w:cs="Times New Roman"/>
          <w:kern w:val="0"/>
          <w:sz w:val="24"/>
          <w:szCs w:val="24"/>
          <w:lang w:val="en-GB"/>
          <w14:ligatures w14:val="none"/>
        </w:rPr>
        <w:t>The need for finality in litigation.</w:t>
      </w:r>
    </w:p>
    <w:p w14:paraId="4CFCA9EB" w14:textId="77777777"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3D59AE">
        <w:rPr>
          <w:rFonts w:ascii="Times New Roman" w:eastAsia="Times New Roman" w:hAnsi="Times New Roman" w:cs="Times New Roman"/>
          <w:kern w:val="0"/>
          <w:sz w:val="24"/>
          <w:szCs w:val="24"/>
          <w:lang w:val="en-GB"/>
          <w14:ligatures w14:val="none"/>
        </w:rPr>
        <w:t>The importance of the case.</w:t>
      </w:r>
    </w:p>
    <w:p w14:paraId="140F8559" w14:textId="77777777" w:rsidR="003D59AE" w:rsidRPr="003D59AE" w:rsidRDefault="003D59AE" w:rsidP="00641761">
      <w:pPr>
        <w:pStyle w:val="ListParagraph"/>
        <w:numPr>
          <w:ilvl w:val="0"/>
          <w:numId w:val="5"/>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3D59AE">
        <w:rPr>
          <w:rFonts w:ascii="Times New Roman" w:eastAsia="Times New Roman" w:hAnsi="Times New Roman" w:cs="Times New Roman"/>
          <w:kern w:val="0"/>
          <w:sz w:val="24"/>
          <w:szCs w:val="24"/>
          <w:lang w:val="en-GB"/>
          <w14:ligatures w14:val="none"/>
        </w:rPr>
        <w:t>The convenience of the court.</w:t>
      </w:r>
    </w:p>
    <w:p w14:paraId="0611A54E" w14:textId="2887BE46" w:rsidR="00DC5446" w:rsidRPr="000673E0" w:rsidRDefault="003D59AE" w:rsidP="00641761">
      <w:pPr>
        <w:pStyle w:val="ListParagraph"/>
        <w:numPr>
          <w:ilvl w:val="0"/>
          <w:numId w:val="5"/>
        </w:numPr>
        <w:spacing w:after="0" w:line="360" w:lineRule="auto"/>
        <w:ind w:left="1491" w:hanging="357"/>
        <w:jc w:val="both"/>
        <w:rPr>
          <w:rFonts w:ascii="Times New Roman" w:hAnsi="Times New Roman" w:cs="Times New Roman"/>
          <w:sz w:val="24"/>
          <w:szCs w:val="24"/>
        </w:rPr>
      </w:pPr>
      <w:r w:rsidRPr="00641761">
        <w:rPr>
          <w:rFonts w:ascii="Times New Roman" w:eastAsia="Times New Roman" w:hAnsi="Times New Roman" w:cs="Times New Roman"/>
          <w:kern w:val="0"/>
          <w:sz w:val="24"/>
          <w:szCs w:val="24"/>
          <w:lang w:val="en-GB"/>
          <w14:ligatures w14:val="none"/>
        </w:rPr>
        <w:t>The avoidance of unnecessary delays in the administration of justice.</w:t>
      </w:r>
    </w:p>
    <w:p w14:paraId="69552B9D" w14:textId="77777777" w:rsidR="000673E0" w:rsidRPr="00641761" w:rsidRDefault="000673E0" w:rsidP="000673E0">
      <w:pPr>
        <w:pStyle w:val="ListParagraph"/>
        <w:spacing w:after="0" w:line="360" w:lineRule="auto"/>
        <w:ind w:left="1491"/>
        <w:jc w:val="both"/>
        <w:rPr>
          <w:rFonts w:ascii="Times New Roman" w:hAnsi="Times New Roman" w:cs="Times New Roman"/>
          <w:sz w:val="24"/>
          <w:szCs w:val="24"/>
        </w:rPr>
      </w:pPr>
    </w:p>
    <w:p w14:paraId="6E3AA156" w14:textId="60EC6D9F" w:rsidR="00DC5446" w:rsidRDefault="00DC5446" w:rsidP="00641761">
      <w:pPr>
        <w:spacing w:after="0" w:line="360" w:lineRule="auto"/>
        <w:jc w:val="both"/>
        <w:rPr>
          <w:rFonts w:ascii="Times New Roman" w:eastAsia="Times New Roman" w:hAnsi="Times New Roman" w:cs="Times New Roman"/>
          <w:kern w:val="0"/>
          <w:sz w:val="24"/>
          <w:szCs w:val="24"/>
          <w:lang w:val="en-GB"/>
          <w14:ligatures w14:val="none"/>
        </w:rPr>
      </w:pPr>
      <w:r w:rsidRPr="00DC5446">
        <w:rPr>
          <w:rFonts w:ascii="Times New Roman" w:hAnsi="Times New Roman" w:cs="Times New Roman"/>
          <w:sz w:val="24"/>
          <w:szCs w:val="24"/>
        </w:rPr>
        <w:t xml:space="preserve">[ </w:t>
      </w:r>
      <w:r w:rsidR="00641761">
        <w:rPr>
          <w:rFonts w:ascii="Times New Roman" w:hAnsi="Times New Roman" w:cs="Times New Roman"/>
          <w:sz w:val="24"/>
          <w:szCs w:val="24"/>
        </w:rPr>
        <w:t>14]</w:t>
      </w:r>
      <w:r w:rsidRPr="00DC5446">
        <w:rPr>
          <w:rFonts w:ascii="Times New Roman" w:hAnsi="Times New Roman" w:cs="Times New Roman"/>
          <w:sz w:val="24"/>
          <w:szCs w:val="24"/>
        </w:rPr>
        <w:t xml:space="preserve"> </w:t>
      </w:r>
      <w:r w:rsidR="00641761">
        <w:rPr>
          <w:rFonts w:ascii="Times New Roman" w:hAnsi="Times New Roman" w:cs="Times New Roman"/>
          <w:sz w:val="24"/>
          <w:szCs w:val="24"/>
        </w:rPr>
        <w:t>The above considerations must be balanced and considered cumulatively. This is the approach recommended by this court in</w:t>
      </w:r>
      <w:r w:rsidRPr="00DC5446">
        <w:rPr>
          <w:rFonts w:ascii="Times New Roman" w:hAnsi="Times New Roman" w:cs="Times New Roman"/>
          <w:sz w:val="24"/>
          <w:szCs w:val="24"/>
        </w:rPr>
        <w:t xml:space="preserve"> </w:t>
      </w:r>
      <w:r w:rsidRPr="00DC5446">
        <w:rPr>
          <w:rFonts w:ascii="Times New Roman" w:eastAsia="Times New Roman" w:hAnsi="Times New Roman" w:cs="Times New Roman"/>
          <w:i/>
          <w:kern w:val="0"/>
          <w:sz w:val="24"/>
          <w:szCs w:val="24"/>
          <w:lang w:val="en-GB"/>
          <w14:ligatures w14:val="none"/>
        </w:rPr>
        <w:t>Chiweza &amp; Anor</w:t>
      </w:r>
      <w:r w:rsidRPr="00DC5446">
        <w:rPr>
          <w:rFonts w:ascii="Times New Roman" w:eastAsia="Times New Roman" w:hAnsi="Times New Roman" w:cs="Times New Roman"/>
          <w:kern w:val="0"/>
          <w:sz w:val="24"/>
          <w:szCs w:val="24"/>
          <w:lang w:val="en-GB"/>
          <w14:ligatures w14:val="none"/>
        </w:rPr>
        <w:t xml:space="preserve"> v </w:t>
      </w:r>
      <w:r w:rsidRPr="00DC5446">
        <w:rPr>
          <w:rFonts w:ascii="Times New Roman" w:eastAsia="Times New Roman" w:hAnsi="Times New Roman" w:cs="Times New Roman"/>
          <w:i/>
          <w:kern w:val="0"/>
          <w:sz w:val="24"/>
          <w:szCs w:val="24"/>
          <w:lang w:val="en-GB"/>
          <w14:ligatures w14:val="none"/>
        </w:rPr>
        <w:t>Mangwana &amp; Ors</w:t>
      </w:r>
      <w:r w:rsidRPr="00DC5446">
        <w:rPr>
          <w:rFonts w:ascii="Times New Roman" w:eastAsia="Times New Roman" w:hAnsi="Times New Roman" w:cs="Times New Roman"/>
          <w:kern w:val="0"/>
          <w:sz w:val="24"/>
          <w:szCs w:val="24"/>
          <w:lang w:val="en-GB"/>
          <w14:ligatures w14:val="none"/>
        </w:rPr>
        <w:t xml:space="preserve"> HH 186-17</w:t>
      </w:r>
      <w:r w:rsidR="00641761">
        <w:rPr>
          <w:rStyle w:val="FootnoteReference"/>
          <w:rFonts w:ascii="Times New Roman" w:eastAsia="Times New Roman" w:hAnsi="Times New Roman" w:cs="Times New Roman"/>
          <w:kern w:val="0"/>
          <w:sz w:val="24"/>
          <w:szCs w:val="24"/>
          <w:lang w:val="en-GB"/>
          <w14:ligatures w14:val="none"/>
        </w:rPr>
        <w:footnoteReference w:id="2"/>
      </w:r>
      <w:r w:rsidRPr="00DC5446">
        <w:rPr>
          <w:rFonts w:ascii="Times New Roman" w:eastAsia="Times New Roman" w:hAnsi="Times New Roman" w:cs="Times New Roman"/>
          <w:kern w:val="0"/>
          <w:sz w:val="24"/>
          <w:szCs w:val="24"/>
          <w:lang w:val="en-GB"/>
          <w14:ligatures w14:val="none"/>
        </w:rPr>
        <w:t xml:space="preserve">, </w:t>
      </w:r>
      <w:r w:rsidRPr="00DC5446">
        <w:rPr>
          <w:rFonts w:ascii="Times New Roman" w:eastAsia="Times New Roman" w:hAnsi="Times New Roman" w:cs="Times New Roman"/>
          <w:i/>
          <w:kern w:val="0"/>
          <w:sz w:val="24"/>
          <w:szCs w:val="24"/>
          <w:lang w:val="en-GB"/>
          <w14:ligatures w14:val="none"/>
        </w:rPr>
        <w:t>per</w:t>
      </w:r>
      <w:r w:rsidRPr="00DC5446">
        <w:rPr>
          <w:rFonts w:ascii="Times New Roman" w:eastAsia="Times New Roman" w:hAnsi="Times New Roman" w:cs="Times New Roman"/>
          <w:kern w:val="0"/>
          <w:sz w:val="24"/>
          <w:szCs w:val="24"/>
          <w:lang w:val="en-GB"/>
          <w14:ligatures w14:val="none"/>
        </w:rPr>
        <w:t xml:space="preserve"> Dube J </w:t>
      </w:r>
      <w:r w:rsidR="004B1D78">
        <w:rPr>
          <w:rFonts w:ascii="Times New Roman" w:eastAsia="Times New Roman" w:hAnsi="Times New Roman" w:cs="Times New Roman"/>
          <w:kern w:val="0"/>
          <w:sz w:val="24"/>
          <w:szCs w:val="24"/>
          <w:lang w:val="en-GB"/>
          <w14:ligatures w14:val="none"/>
        </w:rPr>
        <w:t xml:space="preserve">[ as she then </w:t>
      </w:r>
      <w:r w:rsidR="00641761">
        <w:rPr>
          <w:rFonts w:ascii="Times New Roman" w:eastAsia="Times New Roman" w:hAnsi="Times New Roman" w:cs="Times New Roman"/>
          <w:kern w:val="0"/>
          <w:sz w:val="24"/>
          <w:szCs w:val="24"/>
          <w:lang w:val="en-GB"/>
          <w14:ligatures w14:val="none"/>
        </w:rPr>
        <w:t>was]</w:t>
      </w:r>
      <w:r w:rsidR="004B1D78">
        <w:rPr>
          <w:rFonts w:ascii="Times New Roman" w:eastAsia="Times New Roman" w:hAnsi="Times New Roman" w:cs="Times New Roman"/>
          <w:kern w:val="0"/>
          <w:sz w:val="24"/>
          <w:szCs w:val="24"/>
          <w:lang w:val="en-GB"/>
          <w14:ligatures w14:val="none"/>
        </w:rPr>
        <w:t xml:space="preserve"> </w:t>
      </w:r>
      <w:r w:rsidRPr="00DC5446">
        <w:rPr>
          <w:rFonts w:ascii="Times New Roman" w:eastAsia="Times New Roman" w:hAnsi="Times New Roman" w:cs="Times New Roman"/>
          <w:kern w:val="0"/>
          <w:sz w:val="24"/>
          <w:szCs w:val="24"/>
          <w:lang w:val="en-GB"/>
          <w14:ligatures w14:val="none"/>
        </w:rPr>
        <w:t>at p.4, as follows:</w:t>
      </w:r>
    </w:p>
    <w:p w14:paraId="0B468C3B" w14:textId="77777777" w:rsidR="000673E0" w:rsidRPr="00DC5446" w:rsidRDefault="000673E0" w:rsidP="00641761">
      <w:pPr>
        <w:spacing w:after="0" w:line="360" w:lineRule="auto"/>
        <w:jc w:val="both"/>
        <w:rPr>
          <w:rFonts w:ascii="Times New Roman" w:eastAsia="Times New Roman" w:hAnsi="Times New Roman" w:cs="Times New Roman"/>
          <w:kern w:val="0"/>
          <w:sz w:val="24"/>
          <w:szCs w:val="24"/>
          <w:lang w:val="en-GB"/>
          <w14:ligatures w14:val="none"/>
        </w:rPr>
      </w:pPr>
    </w:p>
    <w:p w14:paraId="5A4C6277" w14:textId="39031EED" w:rsidR="00DC5446" w:rsidRPr="00DC5446" w:rsidRDefault="00DC5446" w:rsidP="00DC5446">
      <w:pPr>
        <w:spacing w:after="0" w:line="360" w:lineRule="auto"/>
        <w:ind w:left="720"/>
        <w:jc w:val="both"/>
        <w:rPr>
          <w:rFonts w:ascii="Times New Roman" w:eastAsia="Times New Roman" w:hAnsi="Times New Roman" w:cs="Times New Roman"/>
          <w:kern w:val="0"/>
          <w:sz w:val="24"/>
          <w:szCs w:val="24"/>
          <w:lang w:val="en-GB"/>
          <w14:ligatures w14:val="none"/>
        </w:rPr>
      </w:pPr>
      <w:r w:rsidRPr="00DC5446">
        <w:rPr>
          <w:rFonts w:ascii="Times New Roman" w:eastAsia="Times New Roman" w:hAnsi="Times New Roman" w:cs="Times New Roman"/>
          <w:kern w:val="0"/>
          <w:sz w:val="24"/>
          <w:szCs w:val="24"/>
          <w:lang w:val="en-GB"/>
          <w14:ligatures w14:val="none"/>
        </w:rPr>
        <w:lastRenderedPageBreak/>
        <w:t>“The court is required to consider the requirements for an application for condonation cumulatively and weigh them against each other. The application for condonation is not decided on one exclusive factor. The existence of strong prospects of success may compensate for any inadequate explanation given for the delay. Where the applicant proffers a good explanation for the delay this may serve to compensate for weak prospects of success in the main matter. Good prospects of success and a short delay, albeit with an unsatisfactory explanation, may lead to granting of the application. The court dealing with the application has a wide discretion which it must exercise judicially after considering all the circumstances of the case. The factors are not to be individually considered, but cumulatively considered with the strong making up for the weak. The court should endeavour [</w:t>
      </w:r>
      <w:r w:rsidRPr="00DC5446">
        <w:rPr>
          <w:rFonts w:ascii="Times New Roman" w:eastAsia="Times New Roman" w:hAnsi="Times New Roman" w:cs="Times New Roman"/>
          <w:i/>
          <w:kern w:val="0"/>
          <w:sz w:val="24"/>
          <w:szCs w:val="24"/>
          <w:lang w:val="en-GB"/>
          <w14:ligatures w14:val="none"/>
        </w:rPr>
        <w:t>sic</w:t>
      </w:r>
      <w:r w:rsidRPr="00DC5446">
        <w:rPr>
          <w:rFonts w:ascii="Times New Roman" w:eastAsia="Times New Roman" w:hAnsi="Times New Roman" w:cs="Times New Roman"/>
          <w:kern w:val="0"/>
          <w:sz w:val="24"/>
          <w:szCs w:val="24"/>
          <w:lang w:val="en-GB"/>
          <w14:ligatures w14:val="none"/>
        </w:rPr>
        <w:t>] to be fair to all the parties involved.”</w:t>
      </w:r>
    </w:p>
    <w:p w14:paraId="7A6FD8EE" w14:textId="3F6A63BF" w:rsidR="003D59AE" w:rsidRDefault="003D59AE" w:rsidP="00DC5446">
      <w:pPr>
        <w:pStyle w:val="NoSpacing"/>
        <w:spacing w:line="360" w:lineRule="auto"/>
        <w:jc w:val="both"/>
        <w:rPr>
          <w:rFonts w:ascii="Times New Roman" w:hAnsi="Times New Roman" w:cs="Times New Roman"/>
          <w:sz w:val="24"/>
          <w:szCs w:val="24"/>
        </w:rPr>
      </w:pPr>
    </w:p>
    <w:p w14:paraId="47D1C93F" w14:textId="2B6376DE" w:rsidR="004B07C5" w:rsidRDefault="002054D6" w:rsidP="00DC54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07C5">
        <w:rPr>
          <w:rFonts w:ascii="Times New Roman" w:hAnsi="Times New Roman" w:cs="Times New Roman"/>
          <w:sz w:val="24"/>
          <w:szCs w:val="24"/>
        </w:rPr>
        <w:t>15]</w:t>
      </w:r>
      <w:r>
        <w:rPr>
          <w:rFonts w:ascii="Times New Roman" w:hAnsi="Times New Roman" w:cs="Times New Roman"/>
          <w:sz w:val="24"/>
          <w:szCs w:val="24"/>
        </w:rPr>
        <w:t xml:space="preserve"> </w:t>
      </w:r>
      <w:r w:rsidRPr="004B1D78">
        <w:rPr>
          <w:rFonts w:ascii="Times New Roman" w:hAnsi="Times New Roman" w:cs="Times New Roman"/>
          <w:i/>
          <w:iCs/>
          <w:sz w:val="24"/>
          <w:szCs w:val="24"/>
        </w:rPr>
        <w:t>Read v Gardiner</w:t>
      </w:r>
      <w:r>
        <w:rPr>
          <w:rFonts w:ascii="Times New Roman" w:hAnsi="Times New Roman" w:cs="Times New Roman"/>
          <w:sz w:val="24"/>
          <w:szCs w:val="24"/>
        </w:rPr>
        <w:t xml:space="preserve"> further </w:t>
      </w:r>
      <w:r w:rsidR="004B1D78">
        <w:rPr>
          <w:rFonts w:ascii="Times New Roman" w:hAnsi="Times New Roman" w:cs="Times New Roman"/>
          <w:sz w:val="24"/>
          <w:szCs w:val="24"/>
        </w:rPr>
        <w:t xml:space="preserve">held that the </w:t>
      </w:r>
      <w:r>
        <w:rPr>
          <w:rFonts w:ascii="Times New Roman" w:hAnsi="Times New Roman" w:cs="Times New Roman"/>
          <w:sz w:val="24"/>
          <w:szCs w:val="24"/>
        </w:rPr>
        <w:t xml:space="preserve">prospects of success </w:t>
      </w:r>
      <w:r w:rsidR="004B1D78">
        <w:rPr>
          <w:rFonts w:ascii="Times New Roman" w:hAnsi="Times New Roman" w:cs="Times New Roman"/>
          <w:sz w:val="24"/>
          <w:szCs w:val="24"/>
        </w:rPr>
        <w:t xml:space="preserve">to be considered related to both the </w:t>
      </w:r>
      <w:r w:rsidR="00E938B9">
        <w:rPr>
          <w:rFonts w:ascii="Times New Roman" w:hAnsi="Times New Roman" w:cs="Times New Roman"/>
          <w:sz w:val="24"/>
          <w:szCs w:val="24"/>
        </w:rPr>
        <w:t>rescission application a</w:t>
      </w:r>
      <w:r w:rsidR="004B1D78">
        <w:rPr>
          <w:rFonts w:ascii="Times New Roman" w:hAnsi="Times New Roman" w:cs="Times New Roman"/>
          <w:sz w:val="24"/>
          <w:szCs w:val="24"/>
        </w:rPr>
        <w:t xml:space="preserve">s well as the </w:t>
      </w:r>
      <w:r w:rsidR="00E938B9">
        <w:rPr>
          <w:rFonts w:ascii="Times New Roman" w:hAnsi="Times New Roman" w:cs="Times New Roman"/>
          <w:sz w:val="24"/>
          <w:szCs w:val="24"/>
        </w:rPr>
        <w:t>main dispute on the merits.</w:t>
      </w:r>
      <w:r>
        <w:rPr>
          <w:rFonts w:ascii="Times New Roman" w:hAnsi="Times New Roman" w:cs="Times New Roman"/>
          <w:sz w:val="24"/>
          <w:szCs w:val="24"/>
        </w:rPr>
        <w:t xml:space="preserve"> </w:t>
      </w:r>
      <w:r w:rsidR="004B1D78">
        <w:rPr>
          <w:rFonts w:ascii="Times New Roman" w:hAnsi="Times New Roman" w:cs="Times New Roman"/>
          <w:sz w:val="24"/>
          <w:szCs w:val="24"/>
        </w:rPr>
        <w:t xml:space="preserve">This pointer leads to a timely reminder on the </w:t>
      </w:r>
      <w:r w:rsidR="004B07C5">
        <w:rPr>
          <w:rFonts w:ascii="Times New Roman" w:hAnsi="Times New Roman" w:cs="Times New Roman"/>
          <w:sz w:val="24"/>
          <w:szCs w:val="24"/>
        </w:rPr>
        <w:t xml:space="preserve">purpose of </w:t>
      </w:r>
      <w:r w:rsidR="004B1D78">
        <w:rPr>
          <w:rFonts w:ascii="Times New Roman" w:hAnsi="Times New Roman" w:cs="Times New Roman"/>
          <w:sz w:val="24"/>
          <w:szCs w:val="24"/>
        </w:rPr>
        <w:t xml:space="preserve">the facility of rescission of judgment. MATHONSI J </w:t>
      </w:r>
      <w:r w:rsidR="004B07C5">
        <w:rPr>
          <w:rFonts w:ascii="Times New Roman" w:hAnsi="Times New Roman" w:cs="Times New Roman"/>
          <w:sz w:val="24"/>
          <w:szCs w:val="24"/>
        </w:rPr>
        <w:t>(as</w:t>
      </w:r>
      <w:r w:rsidR="004B1D78">
        <w:rPr>
          <w:rFonts w:ascii="Times New Roman" w:hAnsi="Times New Roman" w:cs="Times New Roman"/>
          <w:sz w:val="24"/>
          <w:szCs w:val="24"/>
        </w:rPr>
        <w:t xml:space="preserve"> he then </w:t>
      </w:r>
      <w:r w:rsidR="004B07C5">
        <w:rPr>
          <w:rFonts w:ascii="Times New Roman" w:hAnsi="Times New Roman" w:cs="Times New Roman"/>
          <w:sz w:val="24"/>
          <w:szCs w:val="24"/>
        </w:rPr>
        <w:t xml:space="preserve">was) in </w:t>
      </w:r>
      <w:r w:rsidR="004B07C5" w:rsidRPr="004B07C5">
        <w:rPr>
          <w:rFonts w:ascii="Times New Roman" w:hAnsi="Times New Roman" w:cs="Times New Roman"/>
          <w:i/>
          <w:iCs/>
          <w:sz w:val="24"/>
          <w:szCs w:val="24"/>
        </w:rPr>
        <w:t>Patience Mafu v Freeman Biba Ncube &amp; Anor</w:t>
      </w:r>
      <w:r w:rsidR="004B07C5">
        <w:rPr>
          <w:rFonts w:ascii="Times New Roman" w:hAnsi="Times New Roman" w:cs="Times New Roman"/>
          <w:sz w:val="24"/>
          <w:szCs w:val="24"/>
        </w:rPr>
        <w:t xml:space="preserve"> HH 4-16 stated</w:t>
      </w:r>
      <w:r w:rsidR="004B1D78">
        <w:rPr>
          <w:rFonts w:ascii="Times New Roman" w:hAnsi="Times New Roman" w:cs="Times New Roman"/>
          <w:sz w:val="24"/>
          <w:szCs w:val="24"/>
        </w:rPr>
        <w:t xml:space="preserve"> </w:t>
      </w:r>
      <w:r w:rsidR="004B07C5">
        <w:rPr>
          <w:rFonts w:ascii="Times New Roman" w:hAnsi="Times New Roman" w:cs="Times New Roman"/>
          <w:sz w:val="24"/>
          <w:szCs w:val="24"/>
        </w:rPr>
        <w:t xml:space="preserve">thus at page 1 </w:t>
      </w:r>
      <w:r w:rsidR="004B07C5">
        <w:rPr>
          <w:rStyle w:val="FootnoteReference"/>
          <w:rFonts w:ascii="Times New Roman" w:hAnsi="Times New Roman" w:cs="Times New Roman"/>
          <w:sz w:val="24"/>
          <w:szCs w:val="24"/>
        </w:rPr>
        <w:footnoteReference w:id="3"/>
      </w:r>
      <w:r w:rsidR="004B1D78">
        <w:rPr>
          <w:rFonts w:ascii="Times New Roman" w:hAnsi="Times New Roman" w:cs="Times New Roman"/>
          <w:sz w:val="24"/>
          <w:szCs w:val="24"/>
        </w:rPr>
        <w:t xml:space="preserve">;- </w:t>
      </w:r>
    </w:p>
    <w:p w14:paraId="7FA6A9BA" w14:textId="77777777" w:rsidR="004B07C5" w:rsidRDefault="004B07C5" w:rsidP="00DC5446">
      <w:pPr>
        <w:pStyle w:val="NoSpacing"/>
        <w:spacing w:line="360" w:lineRule="auto"/>
        <w:jc w:val="both"/>
        <w:rPr>
          <w:rFonts w:ascii="Times New Roman" w:hAnsi="Times New Roman" w:cs="Times New Roman"/>
          <w:sz w:val="24"/>
          <w:szCs w:val="24"/>
        </w:rPr>
      </w:pPr>
    </w:p>
    <w:p w14:paraId="37CA4380" w14:textId="77777777" w:rsidR="004B07C5" w:rsidRDefault="004B1D78" w:rsidP="004B07C5">
      <w:pPr>
        <w:pStyle w:val="NoSpacing"/>
        <w:spacing w:line="360" w:lineRule="auto"/>
        <w:ind w:left="1134"/>
        <w:jc w:val="both"/>
        <w:rPr>
          <w:rFonts w:ascii="Times New Roman" w:eastAsia="Calibri" w:hAnsi="Times New Roman" w:cs="Times New Roman"/>
          <w:kern w:val="0"/>
          <w:sz w:val="24"/>
          <w:szCs w:val="24"/>
          <w:lang w:val="en-US"/>
          <w14:ligatures w14:val="none"/>
        </w:rPr>
      </w:pPr>
      <w:r w:rsidRPr="004B07C5">
        <w:rPr>
          <w:rFonts w:ascii="Times New Roman" w:hAnsi="Times New Roman" w:cs="Times New Roman"/>
          <w:sz w:val="24"/>
          <w:szCs w:val="24"/>
        </w:rPr>
        <w:t xml:space="preserve"> </w:t>
      </w:r>
      <w:r w:rsidR="004B07C5" w:rsidRPr="004B07C5">
        <w:rPr>
          <w:rFonts w:ascii="Times New Roman" w:eastAsia="Calibri" w:hAnsi="Times New Roman" w:cs="Times New Roman"/>
          <w:kern w:val="0"/>
          <w:sz w:val="24"/>
          <w:szCs w:val="24"/>
          <w:lang w:val="en-US"/>
          <w14:ligatures w14:val="none"/>
        </w:rPr>
        <w:t xml:space="preserve">“Why would a party approach the court for a rescission of a rescission of judgment order unless proceeding with the main cause is so calamitous that it cannot be contemplated?  For one thing such party would have obtained a default judgment which would have been rescinded by the court thereby paving the way for the resolution of the main matter once and for all on the merits.  To then spend time, energy and money trying to reverse the process and revert to the default judgment </w:t>
      </w:r>
      <w:r w:rsidR="004B07C5" w:rsidRPr="004B07C5">
        <w:rPr>
          <w:rFonts w:ascii="Times New Roman" w:eastAsia="Calibri" w:hAnsi="Times New Roman" w:cs="Times New Roman"/>
          <w:i/>
          <w:kern w:val="0"/>
          <w:sz w:val="24"/>
          <w:szCs w:val="24"/>
          <w:lang w:val="en-US"/>
          <w14:ligatures w14:val="none"/>
        </w:rPr>
        <w:t>status quo</w:t>
      </w:r>
      <w:r w:rsidR="004B07C5" w:rsidRPr="004B07C5">
        <w:rPr>
          <w:rFonts w:ascii="Times New Roman" w:eastAsia="Calibri" w:hAnsi="Times New Roman" w:cs="Times New Roman"/>
          <w:kern w:val="0"/>
          <w:sz w:val="24"/>
          <w:szCs w:val="24"/>
          <w:lang w:val="en-US"/>
          <w14:ligatures w14:val="none"/>
        </w:rPr>
        <w:t xml:space="preserve"> is, in my view, a trifle.  As it is, considering that this matter is being argued exactly a year after the application was filed, means that another year has been lost in trying to hang onto a default judgment when the merits of the matter would have been determined by now.  Could it be that the applicant sees something in that default judgment which none of us can see.”</w:t>
      </w:r>
    </w:p>
    <w:p w14:paraId="0BB272F7" w14:textId="77777777" w:rsidR="000673E0" w:rsidRPr="004B07C5" w:rsidRDefault="000673E0" w:rsidP="004B07C5">
      <w:pPr>
        <w:pStyle w:val="NoSpacing"/>
        <w:spacing w:line="360" w:lineRule="auto"/>
        <w:ind w:left="1134"/>
        <w:jc w:val="both"/>
        <w:rPr>
          <w:rFonts w:ascii="Times New Roman" w:eastAsia="Calibri" w:hAnsi="Times New Roman" w:cs="Times New Roman"/>
          <w:kern w:val="0"/>
          <w:sz w:val="24"/>
          <w:szCs w:val="24"/>
          <w:lang w:val="en-US"/>
          <w14:ligatures w14:val="none"/>
        </w:rPr>
      </w:pPr>
    </w:p>
    <w:p w14:paraId="1C16BC3C" w14:textId="275581CA" w:rsidR="00063852" w:rsidRDefault="004B07C5" w:rsidP="005A3214">
      <w:pPr>
        <w:spacing w:after="0" w:line="360" w:lineRule="auto"/>
        <w:jc w:val="both"/>
        <w:rPr>
          <w:rFonts w:ascii="Times New Roman" w:eastAsia="Times New Roman" w:hAnsi="Times New Roman" w:cs="Times New Roman"/>
          <w:kern w:val="0"/>
          <w:sz w:val="24"/>
          <w:szCs w:val="24"/>
          <w:lang w:val="en-GB"/>
          <w14:ligatures w14:val="none"/>
        </w:rPr>
      </w:pPr>
      <w:r w:rsidRPr="005A3214">
        <w:rPr>
          <w:rFonts w:ascii="Times New Roman" w:hAnsi="Times New Roman" w:cs="Times New Roman"/>
          <w:sz w:val="24"/>
          <w:szCs w:val="24"/>
        </w:rPr>
        <w:t xml:space="preserve">[17] </w:t>
      </w:r>
      <w:r w:rsidR="00641761" w:rsidRPr="005A3214">
        <w:rPr>
          <w:rFonts w:ascii="Times New Roman" w:hAnsi="Times New Roman" w:cs="Times New Roman"/>
          <w:sz w:val="24"/>
          <w:szCs w:val="24"/>
        </w:rPr>
        <w:t xml:space="preserve">On the basis of the </w:t>
      </w:r>
      <w:r w:rsidR="00C4675E" w:rsidRPr="005A3214">
        <w:rPr>
          <w:rFonts w:ascii="Times New Roman" w:hAnsi="Times New Roman" w:cs="Times New Roman"/>
          <w:sz w:val="24"/>
          <w:szCs w:val="24"/>
        </w:rPr>
        <w:t>above, I</w:t>
      </w:r>
      <w:r w:rsidR="00641761" w:rsidRPr="005A3214">
        <w:rPr>
          <w:rFonts w:ascii="Times New Roman" w:hAnsi="Times New Roman" w:cs="Times New Roman"/>
          <w:sz w:val="24"/>
          <w:szCs w:val="24"/>
        </w:rPr>
        <w:t xml:space="preserve"> now advert to the present </w:t>
      </w:r>
      <w:r w:rsidR="000673E0" w:rsidRPr="005A3214">
        <w:rPr>
          <w:rFonts w:ascii="Times New Roman" w:hAnsi="Times New Roman" w:cs="Times New Roman"/>
          <w:sz w:val="24"/>
          <w:szCs w:val="24"/>
        </w:rPr>
        <w:t>application</w:t>
      </w:r>
      <w:r w:rsidR="000673E0">
        <w:rPr>
          <w:rFonts w:ascii="Times New Roman" w:hAnsi="Times New Roman" w:cs="Times New Roman"/>
          <w:sz w:val="24"/>
          <w:szCs w:val="24"/>
        </w:rPr>
        <w:t xml:space="preserve">. I commence with the extent of delay, non-compliance and explanation thereof. </w:t>
      </w:r>
      <w:r w:rsidR="005A3214" w:rsidRPr="005A3214">
        <w:rPr>
          <w:rFonts w:ascii="Times New Roman" w:eastAsia="Times New Roman" w:hAnsi="Times New Roman" w:cs="Times New Roman"/>
          <w:kern w:val="0"/>
          <w:sz w:val="24"/>
          <w:szCs w:val="24"/>
          <w:lang w:val="en-GB"/>
          <w14:ligatures w14:val="none"/>
        </w:rPr>
        <w:t xml:space="preserve"> </w:t>
      </w:r>
      <w:r w:rsidR="005A3214">
        <w:rPr>
          <w:rFonts w:ascii="Times New Roman" w:eastAsia="Times New Roman" w:hAnsi="Times New Roman" w:cs="Times New Roman"/>
          <w:kern w:val="0"/>
          <w:sz w:val="24"/>
          <w:szCs w:val="24"/>
          <w:lang w:val="en-GB"/>
          <w14:ligatures w14:val="none"/>
        </w:rPr>
        <w:t xml:space="preserve">POSB </w:t>
      </w:r>
      <w:r w:rsidR="00063852">
        <w:rPr>
          <w:rFonts w:ascii="Times New Roman" w:eastAsia="Times New Roman" w:hAnsi="Times New Roman" w:cs="Times New Roman"/>
          <w:kern w:val="0"/>
          <w:sz w:val="24"/>
          <w:szCs w:val="24"/>
          <w:lang w:val="en-GB"/>
          <w14:ligatures w14:val="none"/>
        </w:rPr>
        <w:t xml:space="preserve">failed to file a plea, paginated </w:t>
      </w:r>
      <w:r w:rsidR="00063852">
        <w:rPr>
          <w:rFonts w:ascii="Times New Roman" w:eastAsia="Times New Roman" w:hAnsi="Times New Roman" w:cs="Times New Roman"/>
          <w:kern w:val="0"/>
          <w:sz w:val="24"/>
          <w:szCs w:val="24"/>
          <w:lang w:val="en-GB"/>
          <w14:ligatures w14:val="none"/>
        </w:rPr>
        <w:lastRenderedPageBreak/>
        <w:t xml:space="preserve">bundle of documentary evidence as well as a summary of evidence within 7 days of service of summons. These requirements are set out in r 12 (1) and (2) of the </w:t>
      </w:r>
      <w:r w:rsidR="00C81B46">
        <w:rPr>
          <w:rFonts w:ascii="Times New Roman" w:eastAsia="Times New Roman" w:hAnsi="Times New Roman" w:cs="Times New Roman"/>
          <w:kern w:val="0"/>
          <w:sz w:val="24"/>
          <w:szCs w:val="24"/>
          <w:lang w:val="en-GB"/>
          <w14:ligatures w14:val="none"/>
        </w:rPr>
        <w:t>rules.</w:t>
      </w:r>
    </w:p>
    <w:p w14:paraId="21CD077A" w14:textId="77777777" w:rsidR="00F86DEC" w:rsidRDefault="00F86DEC" w:rsidP="005A3214">
      <w:pPr>
        <w:spacing w:after="0" w:line="360" w:lineRule="auto"/>
        <w:jc w:val="both"/>
        <w:rPr>
          <w:rFonts w:ascii="Times New Roman" w:eastAsia="Times New Roman" w:hAnsi="Times New Roman" w:cs="Times New Roman"/>
          <w:kern w:val="0"/>
          <w:sz w:val="24"/>
          <w:szCs w:val="24"/>
          <w:lang w:val="en-GB"/>
          <w14:ligatures w14:val="none"/>
        </w:rPr>
      </w:pPr>
    </w:p>
    <w:p w14:paraId="640767F2" w14:textId="1F21EFB1" w:rsidR="00C81B46" w:rsidRDefault="00063852"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F86DEC">
        <w:rPr>
          <w:rFonts w:ascii="Times New Roman" w:eastAsia="Times New Roman" w:hAnsi="Times New Roman" w:cs="Times New Roman"/>
          <w:kern w:val="0"/>
          <w:sz w:val="24"/>
          <w:szCs w:val="24"/>
          <w:lang w:val="en-GB"/>
          <w14:ligatures w14:val="none"/>
        </w:rPr>
        <w:t>18]</w:t>
      </w:r>
      <w:r>
        <w:rPr>
          <w:rFonts w:ascii="Times New Roman" w:eastAsia="Times New Roman" w:hAnsi="Times New Roman" w:cs="Times New Roman"/>
          <w:kern w:val="0"/>
          <w:sz w:val="24"/>
          <w:szCs w:val="24"/>
          <w:lang w:val="en-GB"/>
          <w14:ligatures w14:val="none"/>
        </w:rPr>
        <w:t xml:space="preserve"> Th</w:t>
      </w:r>
      <w:r w:rsidR="000673E0">
        <w:rPr>
          <w:rFonts w:ascii="Times New Roman" w:eastAsia="Times New Roman" w:hAnsi="Times New Roman" w:cs="Times New Roman"/>
          <w:kern w:val="0"/>
          <w:sz w:val="24"/>
          <w:szCs w:val="24"/>
          <w:lang w:val="en-GB"/>
          <w14:ligatures w14:val="none"/>
        </w:rPr>
        <w:t xml:space="preserve">e non-compliance </w:t>
      </w:r>
      <w:r w:rsidR="009075F7">
        <w:rPr>
          <w:rFonts w:ascii="Times New Roman" w:eastAsia="Times New Roman" w:hAnsi="Times New Roman" w:cs="Times New Roman"/>
          <w:kern w:val="0"/>
          <w:sz w:val="24"/>
          <w:szCs w:val="24"/>
          <w:lang w:val="en-GB"/>
          <w14:ligatures w14:val="none"/>
        </w:rPr>
        <w:t xml:space="preserve">traces back </w:t>
      </w:r>
      <w:r w:rsidR="000673E0">
        <w:rPr>
          <w:rFonts w:ascii="Times New Roman" w:eastAsia="Times New Roman" w:hAnsi="Times New Roman" w:cs="Times New Roman"/>
          <w:kern w:val="0"/>
          <w:sz w:val="24"/>
          <w:szCs w:val="24"/>
          <w:lang w:val="en-GB"/>
          <w14:ligatures w14:val="none"/>
        </w:rPr>
        <w:t xml:space="preserve">from 5 December 2023 (date of service of summons) until the judgment was taken on 27 January 2024.No action was taken even though default judgment was brought to its attention on 2 February 2024 and writ served on 13 February 2024.The present application was only filed on </w:t>
      </w:r>
      <w:r w:rsidR="00C81B46">
        <w:rPr>
          <w:rFonts w:ascii="Times New Roman" w:eastAsia="Times New Roman" w:hAnsi="Times New Roman" w:cs="Times New Roman"/>
          <w:kern w:val="0"/>
          <w:sz w:val="24"/>
          <w:szCs w:val="24"/>
          <w:lang w:val="en-GB"/>
          <w14:ligatures w14:val="none"/>
        </w:rPr>
        <w:t xml:space="preserve">8 March 2024. </w:t>
      </w:r>
      <w:r w:rsidR="009075F7">
        <w:rPr>
          <w:rFonts w:ascii="Times New Roman" w:eastAsia="Times New Roman" w:hAnsi="Times New Roman" w:cs="Times New Roman"/>
          <w:kern w:val="0"/>
          <w:sz w:val="24"/>
          <w:szCs w:val="24"/>
          <w:lang w:val="en-GB"/>
          <w14:ligatures w14:val="none"/>
        </w:rPr>
        <w:t>In particular, POSB had ample opportunity to file its application for rescission of judgment within the ten (10) days prescribed by r 15 (1) of the rules.</w:t>
      </w:r>
    </w:p>
    <w:p w14:paraId="242C579E" w14:textId="77777777" w:rsidR="00C81B46" w:rsidRDefault="00C81B46" w:rsidP="005A3214">
      <w:pPr>
        <w:spacing w:after="0" w:line="360" w:lineRule="auto"/>
        <w:jc w:val="both"/>
        <w:rPr>
          <w:rFonts w:ascii="Times New Roman" w:eastAsia="Times New Roman" w:hAnsi="Times New Roman" w:cs="Times New Roman"/>
          <w:kern w:val="0"/>
          <w:sz w:val="24"/>
          <w:szCs w:val="24"/>
          <w:lang w:val="en-GB"/>
          <w14:ligatures w14:val="none"/>
        </w:rPr>
      </w:pPr>
    </w:p>
    <w:p w14:paraId="103D783C" w14:textId="4A81F6D3" w:rsidR="00F86DEC" w:rsidRDefault="00C81B46" w:rsidP="00F86DEC">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F86DEC">
        <w:rPr>
          <w:rFonts w:ascii="Times New Roman" w:eastAsia="Times New Roman" w:hAnsi="Times New Roman" w:cs="Times New Roman"/>
          <w:kern w:val="0"/>
          <w:sz w:val="24"/>
          <w:szCs w:val="24"/>
          <w:lang w:val="en-GB"/>
          <w14:ligatures w14:val="none"/>
        </w:rPr>
        <w:t>19]</w:t>
      </w:r>
      <w:r>
        <w:rPr>
          <w:rFonts w:ascii="Times New Roman" w:eastAsia="Times New Roman" w:hAnsi="Times New Roman" w:cs="Times New Roman"/>
          <w:kern w:val="0"/>
          <w:sz w:val="24"/>
          <w:szCs w:val="24"/>
          <w:lang w:val="en-GB"/>
          <w14:ligatures w14:val="none"/>
        </w:rPr>
        <w:t xml:space="preserve"> </w:t>
      </w:r>
      <w:r w:rsidR="00F86DEC">
        <w:rPr>
          <w:rFonts w:ascii="Times New Roman" w:eastAsia="Times New Roman" w:hAnsi="Times New Roman" w:cs="Times New Roman"/>
          <w:kern w:val="0"/>
          <w:sz w:val="24"/>
          <w:szCs w:val="24"/>
          <w:lang w:val="en-GB"/>
          <w14:ligatures w14:val="none"/>
        </w:rPr>
        <w:t>The purpose of such pleadings is primarily to prepare for the speedy disposal of disputes. On</w:t>
      </w:r>
      <w:r w:rsidR="00CC0E1C">
        <w:rPr>
          <w:rFonts w:ascii="Times New Roman" w:eastAsia="Times New Roman" w:hAnsi="Times New Roman" w:cs="Times New Roman"/>
          <w:kern w:val="0"/>
          <w:sz w:val="24"/>
          <w:szCs w:val="24"/>
          <w:lang w:val="en-GB"/>
          <w14:ligatures w14:val="none"/>
        </w:rPr>
        <w:t xml:space="preserve">ce the </w:t>
      </w:r>
      <w:r w:rsidR="00F86DEC">
        <w:rPr>
          <w:rFonts w:ascii="Times New Roman" w:eastAsia="Times New Roman" w:hAnsi="Times New Roman" w:cs="Times New Roman"/>
          <w:kern w:val="0"/>
          <w:sz w:val="24"/>
          <w:szCs w:val="24"/>
          <w:lang w:val="en-GB"/>
          <w14:ligatures w14:val="none"/>
        </w:rPr>
        <w:t xml:space="preserve">entire deck of papers </w:t>
      </w:r>
      <w:r w:rsidR="00CC0E1C">
        <w:rPr>
          <w:rFonts w:ascii="Times New Roman" w:eastAsia="Times New Roman" w:hAnsi="Times New Roman" w:cs="Times New Roman"/>
          <w:kern w:val="0"/>
          <w:sz w:val="24"/>
          <w:szCs w:val="24"/>
          <w:lang w:val="en-GB"/>
          <w14:ligatures w14:val="none"/>
        </w:rPr>
        <w:t xml:space="preserve">is placed </w:t>
      </w:r>
      <w:r w:rsidR="00F86DEC">
        <w:rPr>
          <w:rFonts w:ascii="Times New Roman" w:eastAsia="Times New Roman" w:hAnsi="Times New Roman" w:cs="Times New Roman"/>
          <w:kern w:val="0"/>
          <w:sz w:val="24"/>
          <w:szCs w:val="24"/>
          <w:lang w:val="en-GB"/>
          <w14:ligatures w14:val="none"/>
        </w:rPr>
        <w:t>before the court, the contesting parties as well as the court are placed in good stead to understand the nature of the dispute. Such understanding in turn</w:t>
      </w:r>
      <w:r w:rsidR="00CC0E1C">
        <w:rPr>
          <w:rFonts w:ascii="Times New Roman" w:eastAsia="Times New Roman" w:hAnsi="Times New Roman" w:cs="Times New Roman"/>
          <w:kern w:val="0"/>
          <w:sz w:val="24"/>
          <w:szCs w:val="24"/>
          <w:lang w:val="en-GB"/>
          <w14:ligatures w14:val="none"/>
        </w:rPr>
        <w:t>,</w:t>
      </w:r>
      <w:r w:rsidR="00F86DEC">
        <w:rPr>
          <w:rFonts w:ascii="Times New Roman" w:eastAsia="Times New Roman" w:hAnsi="Times New Roman" w:cs="Times New Roman"/>
          <w:kern w:val="0"/>
          <w:sz w:val="24"/>
          <w:szCs w:val="24"/>
          <w:lang w:val="en-GB"/>
          <w14:ligatures w14:val="none"/>
        </w:rPr>
        <w:t xml:space="preserve"> opens up the various case resolution options provided for under rr 16 to 24 dealing with pre-trial, case management and scheduling of cases. </w:t>
      </w:r>
    </w:p>
    <w:p w14:paraId="213A45AE" w14:textId="77777777" w:rsidR="00F86DEC" w:rsidRDefault="00F86DEC" w:rsidP="00F86DEC">
      <w:pPr>
        <w:spacing w:after="0" w:line="360" w:lineRule="auto"/>
        <w:jc w:val="both"/>
        <w:rPr>
          <w:rFonts w:ascii="Times New Roman" w:eastAsia="Times New Roman" w:hAnsi="Times New Roman" w:cs="Times New Roman"/>
          <w:kern w:val="0"/>
          <w:sz w:val="24"/>
          <w:szCs w:val="24"/>
          <w:lang w:val="en-GB"/>
          <w14:ligatures w14:val="none"/>
        </w:rPr>
      </w:pPr>
    </w:p>
    <w:p w14:paraId="0E98ABDB" w14:textId="13F2503D" w:rsidR="00F86DEC" w:rsidRDefault="00F86DEC"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[ 18] In this regard, POSB`s non-compliance was substantial. It was not of such nature as could be easily cured by an upliftment of bar for instance. In order to undo the effect of POSB`s breach, the court must wade through two fully-fledged applications. The consequences of non-compliance are inimical to the established principle of achieving finality to litigation</w:t>
      </w:r>
    </w:p>
    <w:p w14:paraId="7FFC61B6" w14:textId="77777777" w:rsidR="00F86DEC" w:rsidRDefault="00F86DEC" w:rsidP="005A3214">
      <w:pPr>
        <w:spacing w:after="0" w:line="360" w:lineRule="auto"/>
        <w:jc w:val="both"/>
        <w:rPr>
          <w:rFonts w:ascii="Times New Roman" w:eastAsia="Times New Roman" w:hAnsi="Times New Roman" w:cs="Times New Roman"/>
          <w:kern w:val="0"/>
          <w:sz w:val="24"/>
          <w:szCs w:val="24"/>
          <w:lang w:val="en-GB"/>
          <w14:ligatures w14:val="none"/>
        </w:rPr>
      </w:pPr>
    </w:p>
    <w:p w14:paraId="0D7830AA" w14:textId="3BE1DE87" w:rsidR="00F86DEC" w:rsidRDefault="00F86DEC"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[ 19] </w:t>
      </w:r>
      <w:r w:rsidR="00C81B46">
        <w:rPr>
          <w:rFonts w:ascii="Times New Roman" w:eastAsia="Times New Roman" w:hAnsi="Times New Roman" w:cs="Times New Roman"/>
          <w:kern w:val="0"/>
          <w:sz w:val="24"/>
          <w:szCs w:val="24"/>
          <w:lang w:val="en-GB"/>
          <w14:ligatures w14:val="none"/>
        </w:rPr>
        <w:t>POSB</w:t>
      </w:r>
      <w:r>
        <w:rPr>
          <w:rFonts w:ascii="Times New Roman" w:eastAsia="Times New Roman" w:hAnsi="Times New Roman" w:cs="Times New Roman"/>
          <w:kern w:val="0"/>
          <w:sz w:val="24"/>
          <w:szCs w:val="24"/>
          <w:lang w:val="en-GB"/>
          <w14:ligatures w14:val="none"/>
        </w:rPr>
        <w:t xml:space="preserve"> tendered</w:t>
      </w:r>
      <w:r w:rsidR="00CC0E1C">
        <w:rPr>
          <w:rFonts w:ascii="Times New Roman" w:eastAsia="Times New Roman" w:hAnsi="Times New Roman" w:cs="Times New Roman"/>
          <w:kern w:val="0"/>
          <w:sz w:val="24"/>
          <w:szCs w:val="24"/>
          <w:lang w:val="en-GB"/>
          <w14:ligatures w14:val="none"/>
        </w:rPr>
        <w:t xml:space="preserve"> the following </w:t>
      </w:r>
      <w:r w:rsidR="00884F01">
        <w:rPr>
          <w:rFonts w:ascii="Times New Roman" w:eastAsia="Times New Roman" w:hAnsi="Times New Roman" w:cs="Times New Roman"/>
          <w:kern w:val="0"/>
          <w:sz w:val="24"/>
          <w:szCs w:val="24"/>
          <w:lang w:val="en-GB"/>
          <w14:ligatures w14:val="none"/>
        </w:rPr>
        <w:t>explanations; -firstly, upon</w:t>
      </w:r>
      <w:r w:rsidR="00CC0E1C">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kern w:val="0"/>
          <w:sz w:val="24"/>
          <w:szCs w:val="24"/>
          <w:lang w:val="en-GB"/>
          <w14:ligatures w14:val="none"/>
        </w:rPr>
        <w:t>receipt of the summons</w:t>
      </w:r>
      <w:r w:rsidR="00CC0E1C">
        <w:rPr>
          <w:rFonts w:ascii="Times New Roman" w:eastAsia="Times New Roman" w:hAnsi="Times New Roman" w:cs="Times New Roman"/>
          <w:kern w:val="0"/>
          <w:sz w:val="24"/>
          <w:szCs w:val="24"/>
          <w:lang w:val="en-GB"/>
          <w14:ligatures w14:val="none"/>
        </w:rPr>
        <w:t>,</w:t>
      </w:r>
      <w:r>
        <w:rPr>
          <w:rFonts w:ascii="Times New Roman" w:eastAsia="Times New Roman" w:hAnsi="Times New Roman" w:cs="Times New Roman"/>
          <w:kern w:val="0"/>
          <w:sz w:val="24"/>
          <w:szCs w:val="24"/>
          <w:lang w:val="en-GB"/>
          <w14:ligatures w14:val="none"/>
        </w:rPr>
        <w:t xml:space="preserve"> Mr. Masango says; -</w:t>
      </w:r>
    </w:p>
    <w:p w14:paraId="5F471629" w14:textId="77777777" w:rsidR="00A36D11" w:rsidRDefault="00A36D11" w:rsidP="005A3214">
      <w:pPr>
        <w:spacing w:after="0" w:line="360" w:lineRule="auto"/>
        <w:jc w:val="both"/>
        <w:rPr>
          <w:rFonts w:ascii="Times New Roman" w:eastAsia="Times New Roman" w:hAnsi="Times New Roman" w:cs="Times New Roman"/>
          <w:kern w:val="0"/>
          <w:sz w:val="24"/>
          <w:szCs w:val="24"/>
          <w:lang w:val="en-GB"/>
          <w14:ligatures w14:val="none"/>
        </w:rPr>
      </w:pPr>
    </w:p>
    <w:p w14:paraId="70B64469" w14:textId="76F4D53F" w:rsidR="00A36D11" w:rsidRDefault="00A36D11" w:rsidP="00A36D11">
      <w:pPr>
        <w:spacing w:after="0" w:line="360" w:lineRule="auto"/>
        <w:ind w:left="1134"/>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“Upon service, I reached out to the Respondent`s representatives regarding this newfound development. The representatives undertook to attend to the issue.”</w:t>
      </w:r>
    </w:p>
    <w:p w14:paraId="034BFD76" w14:textId="47F2C58E" w:rsidR="00A36D11" w:rsidRDefault="00A36D11" w:rsidP="005A3214">
      <w:pPr>
        <w:spacing w:after="0" w:line="360" w:lineRule="auto"/>
        <w:jc w:val="both"/>
        <w:rPr>
          <w:rFonts w:ascii="Times New Roman" w:eastAsia="Times New Roman" w:hAnsi="Times New Roman" w:cs="Times New Roman"/>
          <w:kern w:val="0"/>
          <w:sz w:val="24"/>
          <w:szCs w:val="24"/>
          <w:lang w:val="en-GB"/>
          <w14:ligatures w14:val="none"/>
        </w:rPr>
      </w:pPr>
    </w:p>
    <w:p w14:paraId="48216625" w14:textId="77777777" w:rsidR="00460BBD" w:rsidRDefault="00A36D11"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[ 20] This response is telling. Especially if read together with paragraph 8.21 of the deponent`s founding </w:t>
      </w:r>
      <w:r w:rsidR="00941473">
        <w:rPr>
          <w:rFonts w:ascii="Times New Roman" w:eastAsia="Times New Roman" w:hAnsi="Times New Roman" w:cs="Times New Roman"/>
          <w:kern w:val="0"/>
          <w:sz w:val="24"/>
          <w:szCs w:val="24"/>
          <w:lang w:val="en-GB"/>
          <w14:ligatures w14:val="none"/>
        </w:rPr>
        <w:t>affidavit. The</w:t>
      </w:r>
      <w:r>
        <w:rPr>
          <w:rFonts w:ascii="Times New Roman" w:eastAsia="Times New Roman" w:hAnsi="Times New Roman" w:cs="Times New Roman"/>
          <w:kern w:val="0"/>
          <w:sz w:val="24"/>
          <w:szCs w:val="24"/>
          <w:lang w:val="en-GB"/>
          <w14:ligatures w14:val="none"/>
        </w:rPr>
        <w:t xml:space="preserve"> response does not furnish details </w:t>
      </w:r>
      <w:r w:rsidR="00941473">
        <w:rPr>
          <w:rFonts w:ascii="Times New Roman" w:eastAsia="Times New Roman" w:hAnsi="Times New Roman" w:cs="Times New Roman"/>
          <w:kern w:val="0"/>
          <w:sz w:val="24"/>
          <w:szCs w:val="24"/>
          <w:lang w:val="en-GB"/>
          <w14:ligatures w14:val="none"/>
        </w:rPr>
        <w:t xml:space="preserve">regarding the nature of engagements, the persons involved as well as the specific resolutions forged. POSB was faced with (unjustified) litigation. There is no explanation tendered as to why matter was not instantly escalated to the legal department. </w:t>
      </w:r>
    </w:p>
    <w:p w14:paraId="102EA420" w14:textId="77777777" w:rsidR="00460BBD" w:rsidRDefault="00460BBD" w:rsidP="005A3214">
      <w:pPr>
        <w:spacing w:after="0" w:line="360" w:lineRule="auto"/>
        <w:jc w:val="both"/>
        <w:rPr>
          <w:rFonts w:ascii="Times New Roman" w:eastAsia="Times New Roman" w:hAnsi="Times New Roman" w:cs="Times New Roman"/>
          <w:kern w:val="0"/>
          <w:sz w:val="24"/>
          <w:szCs w:val="24"/>
          <w:lang w:val="en-GB"/>
          <w14:ligatures w14:val="none"/>
        </w:rPr>
      </w:pPr>
    </w:p>
    <w:p w14:paraId="42F6C6E1" w14:textId="6011E167" w:rsidR="00F86DEC" w:rsidRDefault="00460BBD"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lastRenderedPageBreak/>
        <w:t xml:space="preserve">[ 21] </w:t>
      </w:r>
      <w:r w:rsidR="00941473">
        <w:rPr>
          <w:rFonts w:ascii="Times New Roman" w:eastAsia="Times New Roman" w:hAnsi="Times New Roman" w:cs="Times New Roman"/>
          <w:kern w:val="0"/>
          <w:sz w:val="24"/>
          <w:szCs w:val="24"/>
          <w:lang w:val="en-GB"/>
          <w14:ligatures w14:val="none"/>
        </w:rPr>
        <w:t xml:space="preserve">In the absence of assurances that Charter Properties were going to relent or withdraw, the decision not to defend the matter was so unwise as to be nearly </w:t>
      </w:r>
      <w:r w:rsidR="00313ED6">
        <w:rPr>
          <w:rFonts w:ascii="Times New Roman" w:eastAsia="Times New Roman" w:hAnsi="Times New Roman" w:cs="Times New Roman"/>
          <w:kern w:val="0"/>
          <w:sz w:val="24"/>
          <w:szCs w:val="24"/>
          <w:lang w:val="en-GB"/>
          <w14:ligatures w14:val="none"/>
        </w:rPr>
        <w:t xml:space="preserve">unbelievable. The effort expended toward settlement are disputed. And no consensus or </w:t>
      </w:r>
      <w:r w:rsidR="00CC0E1C">
        <w:rPr>
          <w:rFonts w:ascii="Times New Roman" w:eastAsia="Times New Roman" w:hAnsi="Times New Roman" w:cs="Times New Roman"/>
          <w:kern w:val="0"/>
          <w:sz w:val="24"/>
          <w:szCs w:val="24"/>
          <w:lang w:val="en-GB"/>
          <w14:ligatures w14:val="none"/>
        </w:rPr>
        <w:t>reprieve was</w:t>
      </w:r>
      <w:r w:rsidR="00313ED6">
        <w:rPr>
          <w:rFonts w:ascii="Times New Roman" w:eastAsia="Times New Roman" w:hAnsi="Times New Roman" w:cs="Times New Roman"/>
          <w:kern w:val="0"/>
          <w:sz w:val="24"/>
          <w:szCs w:val="24"/>
          <w:lang w:val="en-GB"/>
          <w14:ligatures w14:val="none"/>
        </w:rPr>
        <w:t xml:space="preserve"> extracted. </w:t>
      </w:r>
      <w:r w:rsidR="00941473">
        <w:rPr>
          <w:rFonts w:ascii="Times New Roman" w:eastAsia="Times New Roman" w:hAnsi="Times New Roman" w:cs="Times New Roman"/>
          <w:kern w:val="0"/>
          <w:sz w:val="24"/>
          <w:szCs w:val="24"/>
          <w:lang w:val="en-GB"/>
          <w14:ligatures w14:val="none"/>
        </w:rPr>
        <w:t xml:space="preserve">POSB could not have been in any doubt as regards Charter Properties` belligerent stance. They had </w:t>
      </w:r>
      <w:r w:rsidR="00313ED6">
        <w:rPr>
          <w:rFonts w:ascii="Times New Roman" w:eastAsia="Times New Roman" w:hAnsi="Times New Roman" w:cs="Times New Roman"/>
          <w:kern w:val="0"/>
          <w:sz w:val="24"/>
          <w:szCs w:val="24"/>
          <w:lang w:val="en-GB"/>
          <w14:ligatures w14:val="none"/>
        </w:rPr>
        <w:t xml:space="preserve">preceded litigation by issuing a notice, cancelling the lease and declaring breach. </w:t>
      </w:r>
    </w:p>
    <w:p w14:paraId="5F0F2DC9" w14:textId="77777777" w:rsidR="00941473" w:rsidRDefault="00941473" w:rsidP="005A3214">
      <w:pPr>
        <w:spacing w:after="0" w:line="360" w:lineRule="auto"/>
        <w:jc w:val="both"/>
        <w:rPr>
          <w:rFonts w:ascii="Times New Roman" w:eastAsia="Times New Roman" w:hAnsi="Times New Roman" w:cs="Times New Roman"/>
          <w:kern w:val="0"/>
          <w:sz w:val="24"/>
          <w:szCs w:val="24"/>
          <w:lang w:val="en-GB"/>
          <w14:ligatures w14:val="none"/>
        </w:rPr>
      </w:pPr>
    </w:p>
    <w:p w14:paraId="39B87FB6" w14:textId="08053531" w:rsidR="00CC0E1C" w:rsidRDefault="00941473" w:rsidP="007F3BDC">
      <w:pPr>
        <w:pStyle w:val="Default"/>
        <w:spacing w:line="360" w:lineRule="auto"/>
        <w:jc w:val="both"/>
        <w:rPr>
          <w:rFonts w:eastAsia="Times New Roman"/>
          <w:lang w:val="en-GB"/>
          <w14:ligatures w14:val="none"/>
        </w:rPr>
      </w:pPr>
      <w:r>
        <w:rPr>
          <w:rFonts w:eastAsia="Times New Roman"/>
          <w:lang w:val="en-GB"/>
          <w14:ligatures w14:val="none"/>
        </w:rPr>
        <w:t xml:space="preserve">[ </w:t>
      </w:r>
      <w:r w:rsidR="00CC0E1C">
        <w:rPr>
          <w:rFonts w:eastAsia="Times New Roman"/>
          <w:lang w:val="en-GB"/>
          <w14:ligatures w14:val="none"/>
        </w:rPr>
        <w:t>22] Secondly, upon receiving the default judgment</w:t>
      </w:r>
      <w:r w:rsidR="00B128DA">
        <w:rPr>
          <w:rFonts w:eastAsia="Times New Roman"/>
          <w:lang w:val="en-GB"/>
          <w14:ligatures w14:val="none"/>
        </w:rPr>
        <w:t xml:space="preserve"> on 2 February 2023</w:t>
      </w:r>
      <w:r w:rsidR="00CC0E1C">
        <w:rPr>
          <w:rFonts w:eastAsia="Times New Roman"/>
          <w:lang w:val="en-GB"/>
          <w14:ligatures w14:val="none"/>
        </w:rPr>
        <w:t xml:space="preserve">, POSB again sought to engage Charter Properties. But </w:t>
      </w:r>
      <w:r w:rsidR="00B128DA">
        <w:rPr>
          <w:rFonts w:eastAsia="Times New Roman"/>
          <w:lang w:val="en-GB"/>
          <w14:ligatures w14:val="none"/>
        </w:rPr>
        <w:t>again no progress was attained. Still, POSB did not see it fit to approach the court for intervention. Thirdly, a writ was taken on the 10</w:t>
      </w:r>
      <w:r w:rsidR="00B128DA" w:rsidRPr="00B128DA">
        <w:rPr>
          <w:rFonts w:eastAsia="Times New Roman"/>
          <w:vertAlign w:val="superscript"/>
          <w:lang w:val="en-GB"/>
          <w14:ligatures w14:val="none"/>
        </w:rPr>
        <w:t>th</w:t>
      </w:r>
      <w:r w:rsidR="00B128DA">
        <w:rPr>
          <w:rFonts w:eastAsia="Times New Roman"/>
          <w:lang w:val="en-GB"/>
          <w14:ligatures w14:val="none"/>
        </w:rPr>
        <w:t xml:space="preserve"> and served on 13 February 2023. POSB remained hopeful that the matter could be resolved by negotiation. Their faith was rewarded with execution. And fourthly, only then was the matter referred to POSB`s legal department.</w:t>
      </w:r>
    </w:p>
    <w:p w14:paraId="1CF0B22C" w14:textId="77777777" w:rsidR="00B128DA" w:rsidRDefault="00B128DA" w:rsidP="007F3BDC">
      <w:pPr>
        <w:pStyle w:val="Default"/>
        <w:spacing w:line="360" w:lineRule="auto"/>
        <w:jc w:val="both"/>
        <w:rPr>
          <w:rFonts w:eastAsia="Times New Roman"/>
          <w:lang w:val="en-GB"/>
          <w14:ligatures w14:val="none"/>
        </w:rPr>
      </w:pPr>
    </w:p>
    <w:p w14:paraId="6D2B1E4C" w14:textId="1E626C0D" w:rsidR="00884F01" w:rsidRDefault="00B128DA" w:rsidP="007F3BDC">
      <w:pPr>
        <w:pStyle w:val="Default"/>
        <w:spacing w:line="360" w:lineRule="auto"/>
        <w:jc w:val="both"/>
        <w:rPr>
          <w:rFonts w:eastAsia="Times New Roman"/>
          <w:lang w:val="en-GB"/>
          <w14:ligatures w14:val="none"/>
        </w:rPr>
      </w:pPr>
      <w:r>
        <w:rPr>
          <w:rFonts w:eastAsia="Times New Roman"/>
          <w:lang w:val="en-GB"/>
          <w14:ligatures w14:val="none"/>
        </w:rPr>
        <w:t xml:space="preserve">[ </w:t>
      </w:r>
      <w:r w:rsidR="00884F01">
        <w:rPr>
          <w:rFonts w:eastAsia="Times New Roman"/>
          <w:lang w:val="en-GB"/>
          <w14:ligatures w14:val="none"/>
        </w:rPr>
        <w:t>23]</w:t>
      </w:r>
      <w:r>
        <w:rPr>
          <w:rFonts w:eastAsia="Times New Roman"/>
          <w:lang w:val="en-GB"/>
          <w14:ligatures w14:val="none"/>
        </w:rPr>
        <w:t xml:space="preserve"> From the aforegoing, I find POSB`s decisions, steps and explanations, given the peril they faced, quite unsatisfactory. POSB had ample opportunity to arrest the slide to procedural disaster in the form of the default judgment. And even after such was taken, they placed faith in a process which was clearly yielding no traction. </w:t>
      </w:r>
    </w:p>
    <w:p w14:paraId="38D084E0" w14:textId="77777777" w:rsidR="00884F01" w:rsidRDefault="00884F01" w:rsidP="007F3BDC">
      <w:pPr>
        <w:pStyle w:val="Default"/>
        <w:spacing w:line="360" w:lineRule="auto"/>
        <w:jc w:val="both"/>
        <w:rPr>
          <w:rFonts w:eastAsia="Times New Roman"/>
          <w:lang w:val="en-GB"/>
          <w14:ligatures w14:val="none"/>
        </w:rPr>
      </w:pPr>
    </w:p>
    <w:p w14:paraId="3667DDE4" w14:textId="5D54D9CA" w:rsidR="00CC0E1C" w:rsidRPr="00884F01" w:rsidRDefault="00884F01" w:rsidP="007F3BDC">
      <w:pPr>
        <w:pStyle w:val="Default"/>
        <w:spacing w:line="360" w:lineRule="auto"/>
        <w:jc w:val="both"/>
        <w:rPr>
          <w:rFonts w:eastAsia="Times New Roman"/>
          <w:lang w:val="en-GB"/>
          <w14:ligatures w14:val="none"/>
        </w:rPr>
      </w:pPr>
      <w:r w:rsidRPr="00884F01">
        <w:rPr>
          <w:rFonts w:eastAsia="Times New Roman"/>
          <w:lang w:val="en-GB"/>
          <w14:ligatures w14:val="none"/>
        </w:rPr>
        <w:t xml:space="preserve">[ 24] </w:t>
      </w:r>
      <w:r w:rsidR="00B128DA" w:rsidRPr="00884F01">
        <w:rPr>
          <w:rFonts w:eastAsia="Times New Roman"/>
          <w:lang w:val="en-GB"/>
          <w14:ligatures w14:val="none"/>
        </w:rPr>
        <w:t xml:space="preserve">Whilst parties are urged by all means to attempt and resolve disputes out of court, such attempts must be wary of the running </w:t>
      </w:r>
      <w:r w:rsidR="00B128DA" w:rsidRPr="00884F01">
        <w:rPr>
          <w:rFonts w:eastAsia="Times New Roman"/>
          <w:i/>
          <w:iCs/>
          <w:lang w:val="en-GB"/>
          <w14:ligatures w14:val="none"/>
        </w:rPr>
        <w:t>dies</w:t>
      </w:r>
      <w:r w:rsidR="00B128DA" w:rsidRPr="00884F01">
        <w:rPr>
          <w:rFonts w:eastAsia="Times New Roman"/>
          <w:lang w:val="en-GB"/>
          <w14:ligatures w14:val="none"/>
        </w:rPr>
        <w:t xml:space="preserve"> as well as rules of </w:t>
      </w:r>
      <w:r w:rsidRPr="00884F01">
        <w:rPr>
          <w:rFonts w:eastAsia="Times New Roman"/>
          <w:lang w:val="en-GB"/>
          <w14:ligatures w14:val="none"/>
        </w:rPr>
        <w:t xml:space="preserve">court. (See </w:t>
      </w:r>
      <w:r w:rsidRPr="00884F01">
        <w:rPr>
          <w:i/>
          <w:iCs/>
        </w:rPr>
        <w:t xml:space="preserve">Gurupira &amp; Anor v The Sheriff of Zimbabwe N.O </w:t>
      </w:r>
      <w:r w:rsidRPr="00884F01">
        <w:t xml:space="preserve">HH 80-08; </w:t>
      </w:r>
      <w:r w:rsidRPr="00884F01">
        <w:rPr>
          <w:i/>
          <w:iCs/>
        </w:rPr>
        <w:t xml:space="preserve">Moyo v Sibanda </w:t>
      </w:r>
      <w:r w:rsidRPr="00884F01">
        <w:t xml:space="preserve">HB 125-11, and </w:t>
      </w:r>
      <w:r w:rsidRPr="00884F01">
        <w:rPr>
          <w:i/>
          <w:iCs/>
        </w:rPr>
        <w:t xml:space="preserve">Hamilton Insurance (Private) Limited v Nomatter Makiwa and Insurance Council of Zimbabwe </w:t>
      </w:r>
      <w:r w:rsidRPr="00884F01">
        <w:t xml:space="preserve">HH 63-23.) POSB`s imprudence before and after the issuance of summons </w:t>
      </w:r>
      <w:r>
        <w:t>amounted to dereliction.</w:t>
      </w:r>
    </w:p>
    <w:p w14:paraId="3E9F69C2" w14:textId="77777777" w:rsidR="00CC0E1C" w:rsidRDefault="00CC0E1C" w:rsidP="007F3BDC">
      <w:pPr>
        <w:pStyle w:val="Default"/>
        <w:spacing w:line="360" w:lineRule="auto"/>
        <w:jc w:val="both"/>
        <w:rPr>
          <w:rFonts w:eastAsia="Times New Roman"/>
          <w:lang w:val="en-GB"/>
          <w14:ligatures w14:val="none"/>
        </w:rPr>
      </w:pPr>
    </w:p>
    <w:p w14:paraId="0FBA8C98" w14:textId="3E763A47" w:rsidR="00313ED6" w:rsidRDefault="00884F01" w:rsidP="007F3BDC">
      <w:pPr>
        <w:pStyle w:val="Default"/>
        <w:spacing w:line="360" w:lineRule="auto"/>
        <w:jc w:val="both"/>
        <w:rPr>
          <w:sz w:val="23"/>
          <w:szCs w:val="23"/>
        </w:rPr>
      </w:pPr>
      <w:r>
        <w:rPr>
          <w:rFonts w:eastAsia="Times New Roman"/>
          <w:lang w:val="en-GB"/>
          <w14:ligatures w14:val="none"/>
        </w:rPr>
        <w:t>[ 25] I</w:t>
      </w:r>
      <w:r w:rsidR="00313ED6">
        <w:rPr>
          <w:rFonts w:eastAsia="Times New Roman"/>
          <w:lang w:val="en-GB"/>
          <w14:ligatures w14:val="none"/>
        </w:rPr>
        <w:t xml:space="preserve"> now proceed to deal with the prospects of success, and on this point-the question of mootness. This matter rests squarely on the causa upon which the default judgment was eventually granted.  KUDYA AJA (as he then </w:t>
      </w:r>
      <w:r w:rsidR="007F3BDC">
        <w:rPr>
          <w:rFonts w:eastAsia="Times New Roman"/>
          <w:lang w:val="en-GB"/>
          <w14:ligatures w14:val="none"/>
        </w:rPr>
        <w:t>was)</w:t>
      </w:r>
      <w:r w:rsidR="00313ED6">
        <w:rPr>
          <w:rFonts w:eastAsia="Times New Roman"/>
          <w:lang w:val="en-GB"/>
          <w14:ligatures w14:val="none"/>
        </w:rPr>
        <w:t xml:space="preserve"> restated cause of action as follows at page 16 </w:t>
      </w:r>
      <w:r w:rsidR="007F3BDC">
        <w:rPr>
          <w:rFonts w:eastAsia="Times New Roman"/>
          <w:lang w:val="en-GB"/>
          <w14:ligatures w14:val="none"/>
        </w:rPr>
        <w:t>of Joel Silonda v Nkomo SC 6-22; -</w:t>
      </w:r>
      <w:r w:rsidR="007F3BDC">
        <w:rPr>
          <w:sz w:val="23"/>
          <w:szCs w:val="23"/>
        </w:rPr>
        <w:t xml:space="preserve"> </w:t>
      </w:r>
    </w:p>
    <w:p w14:paraId="2F3698F2" w14:textId="77777777" w:rsidR="007F3BDC" w:rsidRDefault="007F3BDC" w:rsidP="007F3BDC">
      <w:pPr>
        <w:pStyle w:val="Default"/>
        <w:spacing w:line="360" w:lineRule="auto"/>
        <w:jc w:val="both"/>
        <w:rPr>
          <w:rFonts w:eastAsia="Times New Roman"/>
          <w:lang w:val="en-GB"/>
          <w14:ligatures w14:val="none"/>
        </w:rPr>
      </w:pPr>
    </w:p>
    <w:p w14:paraId="45B51166" w14:textId="5F8A9971" w:rsidR="00313ED6" w:rsidRDefault="00313ED6" w:rsidP="00313ED6">
      <w:pPr>
        <w:spacing w:after="0" w:line="360" w:lineRule="auto"/>
        <w:ind w:left="1134"/>
        <w:jc w:val="both"/>
        <w:rPr>
          <w:rFonts w:ascii="Times New Roman" w:hAnsi="Times New Roman" w:cs="Times New Roman"/>
          <w:sz w:val="24"/>
          <w:szCs w:val="24"/>
        </w:rPr>
      </w:pPr>
      <w:r w:rsidRPr="00313ED6">
        <w:rPr>
          <w:rFonts w:ascii="Times New Roman" w:hAnsi="Times New Roman" w:cs="Times New Roman"/>
          <w:sz w:val="24"/>
          <w:szCs w:val="24"/>
        </w:rPr>
        <w:t xml:space="preserve">“The law on what constitutes a cause of action is settled. A cause of action is simply a factual conspectus, the existence of which entitles one person to obtain from the court a remedy against another person. In other words, it is an entire set of facts upon which the relief sought stands. See Peebles v Dairiboard (Private) Limited </w:t>
      </w:r>
      <w:r w:rsidRPr="00313ED6">
        <w:rPr>
          <w:rFonts w:ascii="Times New Roman" w:hAnsi="Times New Roman" w:cs="Times New Roman"/>
          <w:sz w:val="24"/>
          <w:szCs w:val="24"/>
        </w:rPr>
        <w:lastRenderedPageBreak/>
        <w:t>1999 (1) ZLR 41 (H) at 54E-F and Abrahamse &amp; Sons v SA Railways and Harbours 1933 CPD 626 at 637.”</w:t>
      </w:r>
    </w:p>
    <w:p w14:paraId="3C406AD1" w14:textId="77777777" w:rsidR="007F3BDC" w:rsidRPr="00313ED6" w:rsidRDefault="007F3BDC" w:rsidP="00313ED6">
      <w:pPr>
        <w:spacing w:after="0" w:line="360" w:lineRule="auto"/>
        <w:ind w:left="1134"/>
        <w:jc w:val="both"/>
        <w:rPr>
          <w:rFonts w:ascii="Times New Roman" w:eastAsia="Times New Roman" w:hAnsi="Times New Roman" w:cs="Times New Roman"/>
          <w:kern w:val="0"/>
          <w:sz w:val="24"/>
          <w:szCs w:val="24"/>
          <w:lang w:val="en-GB"/>
          <w14:ligatures w14:val="none"/>
        </w:rPr>
      </w:pPr>
    </w:p>
    <w:p w14:paraId="28F75AF8" w14:textId="03A08789" w:rsidR="0072506E" w:rsidRDefault="007F3BDC"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[ 2</w:t>
      </w:r>
      <w:r w:rsidR="00884F01">
        <w:rPr>
          <w:rFonts w:ascii="Times New Roman" w:eastAsia="Times New Roman" w:hAnsi="Times New Roman" w:cs="Times New Roman"/>
          <w:kern w:val="0"/>
          <w:sz w:val="24"/>
          <w:szCs w:val="24"/>
          <w:lang w:val="en-GB"/>
          <w14:ligatures w14:val="none"/>
        </w:rPr>
        <w:t>6</w:t>
      </w:r>
      <w:r>
        <w:rPr>
          <w:rFonts w:ascii="Times New Roman" w:eastAsia="Times New Roman" w:hAnsi="Times New Roman" w:cs="Times New Roman"/>
          <w:kern w:val="0"/>
          <w:sz w:val="24"/>
          <w:szCs w:val="24"/>
          <w:lang w:val="en-GB"/>
          <w14:ligatures w14:val="none"/>
        </w:rPr>
        <w:t xml:space="preserve">] In the main matter, Charter Properties </w:t>
      </w:r>
      <w:r w:rsidR="00884F01">
        <w:rPr>
          <w:rFonts w:ascii="Times New Roman" w:eastAsia="Times New Roman" w:hAnsi="Times New Roman" w:cs="Times New Roman"/>
          <w:kern w:val="0"/>
          <w:sz w:val="24"/>
          <w:szCs w:val="24"/>
          <w:lang w:val="en-GB"/>
          <w14:ligatures w14:val="none"/>
        </w:rPr>
        <w:t xml:space="preserve">had </w:t>
      </w:r>
      <w:r>
        <w:rPr>
          <w:rFonts w:ascii="Times New Roman" w:eastAsia="Times New Roman" w:hAnsi="Times New Roman" w:cs="Times New Roman"/>
          <w:kern w:val="0"/>
          <w:sz w:val="24"/>
          <w:szCs w:val="24"/>
          <w:lang w:val="en-GB"/>
          <w14:ligatures w14:val="none"/>
        </w:rPr>
        <w:t>relied on clause 21.1 of the lease agreement</w:t>
      </w:r>
      <w:r w:rsidR="00884F01">
        <w:rPr>
          <w:rFonts w:ascii="Times New Roman" w:eastAsia="Times New Roman" w:hAnsi="Times New Roman" w:cs="Times New Roman"/>
          <w:kern w:val="0"/>
          <w:sz w:val="24"/>
          <w:szCs w:val="24"/>
          <w:lang w:val="en-GB"/>
          <w14:ligatures w14:val="none"/>
        </w:rPr>
        <w:t xml:space="preserve"> in founding its claim for breach</w:t>
      </w:r>
      <w:r>
        <w:rPr>
          <w:rFonts w:ascii="Times New Roman" w:eastAsia="Times New Roman" w:hAnsi="Times New Roman" w:cs="Times New Roman"/>
          <w:kern w:val="0"/>
          <w:sz w:val="24"/>
          <w:szCs w:val="24"/>
          <w:lang w:val="en-GB"/>
          <w14:ligatures w14:val="none"/>
        </w:rPr>
        <w:t xml:space="preserve">. </w:t>
      </w:r>
      <w:r w:rsidR="00884F01">
        <w:rPr>
          <w:rFonts w:ascii="Times New Roman" w:eastAsia="Times New Roman" w:hAnsi="Times New Roman" w:cs="Times New Roman"/>
          <w:kern w:val="0"/>
          <w:sz w:val="24"/>
          <w:szCs w:val="24"/>
          <w:lang w:val="en-GB"/>
          <w14:ligatures w14:val="none"/>
        </w:rPr>
        <w:t xml:space="preserve">This clause was quite clear in import. </w:t>
      </w:r>
      <w:r>
        <w:rPr>
          <w:rFonts w:ascii="Times New Roman" w:eastAsia="Times New Roman" w:hAnsi="Times New Roman" w:cs="Times New Roman"/>
          <w:kern w:val="0"/>
          <w:sz w:val="24"/>
          <w:szCs w:val="24"/>
          <w:lang w:val="en-GB"/>
          <w14:ligatures w14:val="none"/>
        </w:rPr>
        <w:t xml:space="preserve">It </w:t>
      </w:r>
      <w:r w:rsidR="00884F01">
        <w:rPr>
          <w:rFonts w:ascii="Times New Roman" w:eastAsia="Times New Roman" w:hAnsi="Times New Roman" w:cs="Times New Roman"/>
          <w:kern w:val="0"/>
          <w:sz w:val="24"/>
          <w:szCs w:val="24"/>
          <w:lang w:val="en-GB"/>
          <w14:ligatures w14:val="none"/>
        </w:rPr>
        <w:t xml:space="preserve">declared </w:t>
      </w:r>
      <w:r>
        <w:rPr>
          <w:rFonts w:ascii="Times New Roman" w:eastAsia="Times New Roman" w:hAnsi="Times New Roman" w:cs="Times New Roman"/>
          <w:kern w:val="0"/>
          <w:sz w:val="24"/>
          <w:szCs w:val="24"/>
          <w:lang w:val="en-GB"/>
          <w14:ligatures w14:val="none"/>
        </w:rPr>
        <w:t xml:space="preserve">non-payment of rent and failure to rectify same within 14 days </w:t>
      </w:r>
      <w:r w:rsidR="00884F01">
        <w:rPr>
          <w:rFonts w:ascii="Times New Roman" w:eastAsia="Times New Roman" w:hAnsi="Times New Roman" w:cs="Times New Roman"/>
          <w:kern w:val="0"/>
          <w:sz w:val="24"/>
          <w:szCs w:val="24"/>
          <w:lang w:val="en-GB"/>
          <w14:ligatures w14:val="none"/>
        </w:rPr>
        <w:t>as terminable</w:t>
      </w:r>
      <w:r>
        <w:rPr>
          <w:rFonts w:ascii="Times New Roman" w:eastAsia="Times New Roman" w:hAnsi="Times New Roman" w:cs="Times New Roman"/>
          <w:kern w:val="0"/>
          <w:sz w:val="24"/>
          <w:szCs w:val="24"/>
          <w:lang w:val="en-GB"/>
          <w14:ligatures w14:val="none"/>
        </w:rPr>
        <w:t xml:space="preserve"> breach</w:t>
      </w:r>
      <w:r w:rsidR="00884F01">
        <w:rPr>
          <w:rFonts w:ascii="Times New Roman" w:eastAsia="Times New Roman" w:hAnsi="Times New Roman" w:cs="Times New Roman"/>
          <w:kern w:val="0"/>
          <w:sz w:val="24"/>
          <w:szCs w:val="24"/>
          <w:lang w:val="en-GB"/>
          <w14:ligatures w14:val="none"/>
        </w:rPr>
        <w:t>es</w:t>
      </w:r>
      <w:r>
        <w:rPr>
          <w:rFonts w:ascii="Times New Roman" w:eastAsia="Times New Roman" w:hAnsi="Times New Roman" w:cs="Times New Roman"/>
          <w:kern w:val="0"/>
          <w:sz w:val="24"/>
          <w:szCs w:val="24"/>
          <w:lang w:val="en-GB"/>
          <w14:ligatures w14:val="none"/>
        </w:rPr>
        <w:t xml:space="preserve">. </w:t>
      </w:r>
      <w:r w:rsidR="00AB26E6">
        <w:rPr>
          <w:rFonts w:ascii="Times New Roman" w:eastAsia="Times New Roman" w:hAnsi="Times New Roman" w:cs="Times New Roman"/>
          <w:kern w:val="0"/>
          <w:sz w:val="24"/>
          <w:szCs w:val="24"/>
          <w:lang w:val="en-GB"/>
          <w14:ligatures w14:val="none"/>
        </w:rPr>
        <w:t>Mr</w:t>
      </w:r>
      <w:r w:rsidR="00884F01">
        <w:rPr>
          <w:rFonts w:ascii="Times New Roman" w:eastAsia="Times New Roman" w:hAnsi="Times New Roman" w:cs="Times New Roman"/>
          <w:kern w:val="0"/>
          <w:sz w:val="24"/>
          <w:szCs w:val="24"/>
          <w:lang w:val="en-GB"/>
          <w14:ligatures w14:val="none"/>
        </w:rPr>
        <w:t>.</w:t>
      </w:r>
      <w:r w:rsidR="00AB26E6">
        <w:rPr>
          <w:rFonts w:ascii="Times New Roman" w:eastAsia="Times New Roman" w:hAnsi="Times New Roman" w:cs="Times New Roman"/>
          <w:kern w:val="0"/>
          <w:sz w:val="24"/>
          <w:szCs w:val="24"/>
          <w:lang w:val="en-GB"/>
          <w14:ligatures w14:val="none"/>
        </w:rPr>
        <w:t xml:space="preserve"> Masango confirms that </w:t>
      </w:r>
      <w:r w:rsidR="0072506E">
        <w:rPr>
          <w:rFonts w:ascii="Times New Roman" w:eastAsia="Times New Roman" w:hAnsi="Times New Roman" w:cs="Times New Roman"/>
          <w:kern w:val="0"/>
          <w:sz w:val="24"/>
          <w:szCs w:val="24"/>
          <w:lang w:val="en-GB"/>
          <w14:ligatures w14:val="none"/>
        </w:rPr>
        <w:t xml:space="preserve">on 7 October 2022, </w:t>
      </w:r>
      <w:r w:rsidR="00884F01">
        <w:rPr>
          <w:rFonts w:ascii="Times New Roman" w:eastAsia="Times New Roman" w:hAnsi="Times New Roman" w:cs="Times New Roman"/>
          <w:kern w:val="0"/>
          <w:sz w:val="24"/>
          <w:szCs w:val="24"/>
          <w:lang w:val="en-GB"/>
          <w14:ligatures w14:val="none"/>
        </w:rPr>
        <w:t xml:space="preserve">POSB were served with a notice from the </w:t>
      </w:r>
      <w:r w:rsidR="0072506E">
        <w:rPr>
          <w:rFonts w:ascii="Times New Roman" w:eastAsia="Times New Roman" w:hAnsi="Times New Roman" w:cs="Times New Roman"/>
          <w:kern w:val="0"/>
          <w:sz w:val="24"/>
          <w:szCs w:val="24"/>
          <w:lang w:val="en-GB"/>
          <w14:ligatures w14:val="none"/>
        </w:rPr>
        <w:t>landlord. This letter cancelled</w:t>
      </w:r>
      <w:r w:rsidR="00AB26E6">
        <w:rPr>
          <w:rFonts w:ascii="Times New Roman" w:eastAsia="Times New Roman" w:hAnsi="Times New Roman" w:cs="Times New Roman"/>
          <w:kern w:val="0"/>
          <w:sz w:val="24"/>
          <w:szCs w:val="24"/>
          <w:lang w:val="en-GB"/>
          <w14:ligatures w14:val="none"/>
        </w:rPr>
        <w:t xml:space="preserve"> the lease, demanded outstanding rentals as well </w:t>
      </w:r>
      <w:r w:rsidR="0072506E">
        <w:rPr>
          <w:rFonts w:ascii="Times New Roman" w:eastAsia="Times New Roman" w:hAnsi="Times New Roman" w:cs="Times New Roman"/>
          <w:kern w:val="0"/>
          <w:sz w:val="24"/>
          <w:szCs w:val="24"/>
          <w:lang w:val="en-GB"/>
          <w14:ligatures w14:val="none"/>
        </w:rPr>
        <w:t>as the vacation</w:t>
      </w:r>
      <w:r w:rsidR="00AB26E6">
        <w:rPr>
          <w:rFonts w:ascii="Times New Roman" w:eastAsia="Times New Roman" w:hAnsi="Times New Roman" w:cs="Times New Roman"/>
          <w:kern w:val="0"/>
          <w:sz w:val="24"/>
          <w:szCs w:val="24"/>
          <w:lang w:val="en-GB"/>
          <w14:ligatures w14:val="none"/>
        </w:rPr>
        <w:t xml:space="preserve"> of </w:t>
      </w:r>
      <w:r w:rsidR="0072506E">
        <w:rPr>
          <w:rFonts w:ascii="Times New Roman" w:eastAsia="Times New Roman" w:hAnsi="Times New Roman" w:cs="Times New Roman"/>
          <w:kern w:val="0"/>
          <w:sz w:val="24"/>
          <w:szCs w:val="24"/>
          <w:lang w:val="en-GB"/>
          <w14:ligatures w14:val="none"/>
        </w:rPr>
        <w:t>p</w:t>
      </w:r>
      <w:r w:rsidR="00AB26E6">
        <w:rPr>
          <w:rFonts w:ascii="Times New Roman" w:eastAsia="Times New Roman" w:hAnsi="Times New Roman" w:cs="Times New Roman"/>
          <w:kern w:val="0"/>
          <w:sz w:val="24"/>
          <w:szCs w:val="24"/>
          <w:lang w:val="en-GB"/>
          <w14:ligatures w14:val="none"/>
        </w:rPr>
        <w:t xml:space="preserve">remises. </w:t>
      </w:r>
    </w:p>
    <w:p w14:paraId="53A6C3D4" w14:textId="77777777" w:rsidR="0072506E" w:rsidRDefault="0072506E" w:rsidP="005A3214">
      <w:pPr>
        <w:spacing w:after="0" w:line="360" w:lineRule="auto"/>
        <w:jc w:val="both"/>
        <w:rPr>
          <w:rFonts w:ascii="Times New Roman" w:eastAsia="Times New Roman" w:hAnsi="Times New Roman" w:cs="Times New Roman"/>
          <w:kern w:val="0"/>
          <w:sz w:val="24"/>
          <w:szCs w:val="24"/>
          <w:lang w:val="en-GB"/>
          <w14:ligatures w14:val="none"/>
        </w:rPr>
      </w:pPr>
    </w:p>
    <w:p w14:paraId="008B9905" w14:textId="0582B253" w:rsidR="00884F01" w:rsidRDefault="0072506E"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460BBD">
        <w:rPr>
          <w:rFonts w:ascii="Times New Roman" w:eastAsia="Times New Roman" w:hAnsi="Times New Roman" w:cs="Times New Roman"/>
          <w:kern w:val="0"/>
          <w:sz w:val="24"/>
          <w:szCs w:val="24"/>
          <w:lang w:val="en-GB"/>
          <w14:ligatures w14:val="none"/>
        </w:rPr>
        <w:t>2</w:t>
      </w:r>
      <w:r w:rsidR="00884F01">
        <w:rPr>
          <w:rFonts w:ascii="Times New Roman" w:eastAsia="Times New Roman" w:hAnsi="Times New Roman" w:cs="Times New Roman"/>
          <w:kern w:val="0"/>
          <w:sz w:val="24"/>
          <w:szCs w:val="24"/>
          <w:lang w:val="en-GB"/>
          <w14:ligatures w14:val="none"/>
        </w:rPr>
        <w:t>7</w:t>
      </w:r>
      <w:r w:rsidR="00460BBD">
        <w:rPr>
          <w:rFonts w:ascii="Times New Roman" w:eastAsia="Times New Roman" w:hAnsi="Times New Roman" w:cs="Times New Roman"/>
          <w:kern w:val="0"/>
          <w:sz w:val="24"/>
          <w:szCs w:val="24"/>
          <w:lang w:val="en-GB"/>
          <w14:ligatures w14:val="none"/>
        </w:rPr>
        <w:t>]</w:t>
      </w:r>
      <w:r>
        <w:rPr>
          <w:rFonts w:ascii="Times New Roman" w:eastAsia="Times New Roman" w:hAnsi="Times New Roman" w:cs="Times New Roman"/>
          <w:kern w:val="0"/>
          <w:sz w:val="24"/>
          <w:szCs w:val="24"/>
          <w:lang w:val="en-GB"/>
          <w14:ligatures w14:val="none"/>
        </w:rPr>
        <w:t xml:space="preserve"> </w:t>
      </w:r>
      <w:r w:rsidR="00AB26E6">
        <w:rPr>
          <w:rFonts w:ascii="Times New Roman" w:eastAsia="Times New Roman" w:hAnsi="Times New Roman" w:cs="Times New Roman"/>
          <w:kern w:val="0"/>
          <w:sz w:val="24"/>
          <w:szCs w:val="24"/>
          <w:lang w:val="en-GB"/>
          <w14:ligatures w14:val="none"/>
        </w:rPr>
        <w:t xml:space="preserve">It is important to note that POSB does not unequivocally deny that it breached the lease agreement as alleged. </w:t>
      </w:r>
      <w:r w:rsidR="00884F01">
        <w:rPr>
          <w:rFonts w:ascii="Times New Roman" w:eastAsia="Times New Roman" w:hAnsi="Times New Roman" w:cs="Times New Roman"/>
          <w:kern w:val="0"/>
          <w:sz w:val="24"/>
          <w:szCs w:val="24"/>
          <w:lang w:val="en-GB"/>
          <w14:ligatures w14:val="none"/>
        </w:rPr>
        <w:t>Engagements did take place, but these did not elicit a revocation of the cancellation. The</w:t>
      </w:r>
      <w:r w:rsidR="00AB26E6">
        <w:rPr>
          <w:rFonts w:ascii="Times New Roman" w:eastAsia="Times New Roman" w:hAnsi="Times New Roman" w:cs="Times New Roman"/>
          <w:kern w:val="0"/>
          <w:sz w:val="24"/>
          <w:szCs w:val="24"/>
          <w:lang w:val="en-GB"/>
          <w14:ligatures w14:val="none"/>
        </w:rPr>
        <w:t xml:space="preserve"> explanation that a reconciliation was necessary to establish the exact position on payments</w:t>
      </w:r>
      <w:r w:rsidR="00884F01">
        <w:rPr>
          <w:rFonts w:ascii="Times New Roman" w:eastAsia="Times New Roman" w:hAnsi="Times New Roman" w:cs="Times New Roman"/>
          <w:kern w:val="0"/>
          <w:sz w:val="24"/>
          <w:szCs w:val="24"/>
          <w:lang w:val="en-GB"/>
          <w14:ligatures w14:val="none"/>
        </w:rPr>
        <w:t xml:space="preserve"> does not absolve it</w:t>
      </w:r>
      <w:r w:rsidR="00AB26E6">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kern w:val="0"/>
          <w:sz w:val="24"/>
          <w:szCs w:val="24"/>
          <w:lang w:val="en-GB"/>
          <w14:ligatures w14:val="none"/>
        </w:rPr>
        <w:t>Mr.</w:t>
      </w:r>
      <w:r w:rsidR="00AB26E6">
        <w:rPr>
          <w:rFonts w:ascii="Times New Roman" w:eastAsia="Times New Roman" w:hAnsi="Times New Roman" w:cs="Times New Roman"/>
          <w:kern w:val="0"/>
          <w:sz w:val="24"/>
          <w:szCs w:val="24"/>
          <w:lang w:val="en-GB"/>
          <w14:ligatures w14:val="none"/>
        </w:rPr>
        <w:t xml:space="preserve"> Masango further stated that the reconciliation confirmed that POSB indeed were </w:t>
      </w:r>
      <w:r>
        <w:rPr>
          <w:rFonts w:ascii="Times New Roman" w:eastAsia="Times New Roman" w:hAnsi="Times New Roman" w:cs="Times New Roman"/>
          <w:kern w:val="0"/>
          <w:sz w:val="24"/>
          <w:szCs w:val="24"/>
          <w:lang w:val="en-GB"/>
          <w14:ligatures w14:val="none"/>
        </w:rPr>
        <w:t>owing.</w:t>
      </w:r>
    </w:p>
    <w:p w14:paraId="1132C738" w14:textId="77777777" w:rsidR="00884F01" w:rsidRDefault="00884F01" w:rsidP="005A3214">
      <w:pPr>
        <w:spacing w:after="0" w:line="360" w:lineRule="auto"/>
        <w:jc w:val="both"/>
        <w:rPr>
          <w:rFonts w:ascii="Times New Roman" w:eastAsia="Times New Roman" w:hAnsi="Times New Roman" w:cs="Times New Roman"/>
          <w:kern w:val="0"/>
          <w:sz w:val="24"/>
          <w:szCs w:val="24"/>
          <w:lang w:val="en-GB"/>
          <w14:ligatures w14:val="none"/>
        </w:rPr>
      </w:pPr>
    </w:p>
    <w:p w14:paraId="70DB36BB" w14:textId="741CA000" w:rsidR="0072506E" w:rsidRDefault="00884F01"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[ 28] POSB</w:t>
      </w:r>
      <w:r w:rsidR="0072506E">
        <w:rPr>
          <w:rFonts w:ascii="Times New Roman" w:eastAsia="Times New Roman" w:hAnsi="Times New Roman" w:cs="Times New Roman"/>
          <w:kern w:val="0"/>
          <w:sz w:val="24"/>
          <w:szCs w:val="24"/>
          <w:lang w:val="en-GB"/>
          <w14:ligatures w14:val="none"/>
        </w:rPr>
        <w:t xml:space="preserve"> therefore made a payment of Z</w:t>
      </w:r>
      <w:r w:rsidR="00AB26E6">
        <w:rPr>
          <w:rFonts w:ascii="Times New Roman" w:eastAsia="Times New Roman" w:hAnsi="Times New Roman" w:cs="Times New Roman"/>
          <w:kern w:val="0"/>
          <w:sz w:val="24"/>
          <w:szCs w:val="24"/>
          <w:lang w:val="en-GB"/>
          <w14:ligatures w14:val="none"/>
        </w:rPr>
        <w:t>WL$ 8,685,970</w:t>
      </w:r>
      <w:r w:rsidR="0072506E">
        <w:rPr>
          <w:rFonts w:ascii="Times New Roman" w:eastAsia="Times New Roman" w:hAnsi="Times New Roman" w:cs="Times New Roman"/>
          <w:kern w:val="0"/>
          <w:sz w:val="24"/>
          <w:szCs w:val="24"/>
          <w:lang w:val="en-GB"/>
          <w14:ligatures w14:val="none"/>
        </w:rPr>
        <w:t xml:space="preserve"> on 21 October 2022.This payment reduced POSB`s indebtedness to ZWL$634,163,23. This explanation would have reduced the matter to simple accounting in the following </w:t>
      </w:r>
      <w:r w:rsidR="00486B64">
        <w:rPr>
          <w:rFonts w:ascii="Times New Roman" w:eastAsia="Times New Roman" w:hAnsi="Times New Roman" w:cs="Times New Roman"/>
          <w:kern w:val="0"/>
          <w:sz w:val="24"/>
          <w:szCs w:val="24"/>
          <w:lang w:val="en-GB"/>
          <w14:ligatures w14:val="none"/>
        </w:rPr>
        <w:t>syllogism; -</w:t>
      </w:r>
    </w:p>
    <w:p w14:paraId="4D823CE8" w14:textId="77777777" w:rsidR="0072506E" w:rsidRDefault="0072506E" w:rsidP="005A3214">
      <w:pPr>
        <w:spacing w:after="0" w:line="360" w:lineRule="auto"/>
        <w:jc w:val="both"/>
        <w:rPr>
          <w:rFonts w:ascii="Times New Roman" w:eastAsia="Times New Roman" w:hAnsi="Times New Roman" w:cs="Times New Roman"/>
          <w:kern w:val="0"/>
          <w:sz w:val="24"/>
          <w:szCs w:val="24"/>
          <w:lang w:val="en-GB"/>
          <w14:ligatures w14:val="none"/>
        </w:rPr>
      </w:pPr>
    </w:p>
    <w:p w14:paraId="091133A5" w14:textId="3A019F82" w:rsidR="00460BBD" w:rsidRDefault="0072506E"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kern w:val="0"/>
          <w:sz w:val="24"/>
          <w:szCs w:val="24"/>
          <w:lang w:val="en-GB"/>
          <w14:ligatures w14:val="none"/>
        </w:rPr>
        <w:t xml:space="preserve">POSB </w:t>
      </w:r>
      <w:r w:rsidR="00460BBD">
        <w:rPr>
          <w:rFonts w:ascii="Times New Roman" w:eastAsia="Times New Roman" w:hAnsi="Times New Roman" w:cs="Times New Roman"/>
          <w:kern w:val="0"/>
          <w:sz w:val="24"/>
          <w:szCs w:val="24"/>
          <w:lang w:val="en-GB"/>
          <w14:ligatures w14:val="none"/>
        </w:rPr>
        <w:t>admitted that it owed</w:t>
      </w:r>
      <w:r w:rsidRPr="00460BBD">
        <w:rPr>
          <w:rFonts w:ascii="Times New Roman" w:eastAsia="Times New Roman" w:hAnsi="Times New Roman" w:cs="Times New Roman"/>
          <w:kern w:val="0"/>
          <w:sz w:val="24"/>
          <w:szCs w:val="24"/>
          <w:lang w:val="en-GB"/>
          <w14:ligatures w14:val="none"/>
        </w:rPr>
        <w:t xml:space="preserve"> </w:t>
      </w:r>
      <w:r w:rsidR="00460BBD">
        <w:rPr>
          <w:rFonts w:ascii="Times New Roman" w:eastAsia="Times New Roman" w:hAnsi="Times New Roman" w:cs="Times New Roman"/>
          <w:kern w:val="0"/>
          <w:sz w:val="24"/>
          <w:szCs w:val="24"/>
          <w:lang w:val="en-GB"/>
          <w14:ligatures w14:val="none"/>
        </w:rPr>
        <w:t xml:space="preserve">ZWL$ 8,685,970 </w:t>
      </w:r>
    </w:p>
    <w:p w14:paraId="3CD15460" w14:textId="77777777" w:rsidR="00460BBD" w:rsidRDefault="00460BBD"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This was as at 21 October 2022</w:t>
      </w:r>
    </w:p>
    <w:p w14:paraId="4F6E18E1" w14:textId="77777777" w:rsidR="00460BBD" w:rsidRDefault="00460BBD"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POSB therefore settled this amount on that date</w:t>
      </w:r>
    </w:p>
    <w:p w14:paraId="0420B631" w14:textId="5E945500" w:rsidR="00486B64" w:rsidRPr="00460BBD" w:rsidRDefault="00460BBD"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It then </w:t>
      </w:r>
      <w:r w:rsidR="009075F7">
        <w:rPr>
          <w:rFonts w:ascii="Times New Roman" w:eastAsia="Times New Roman" w:hAnsi="Times New Roman" w:cs="Times New Roman"/>
          <w:kern w:val="0"/>
          <w:sz w:val="24"/>
          <w:szCs w:val="24"/>
          <w:lang w:val="en-GB"/>
          <w14:ligatures w14:val="none"/>
        </w:rPr>
        <w:t>owed an amount of</w:t>
      </w:r>
      <w:r>
        <w:rPr>
          <w:rFonts w:ascii="Times New Roman" w:eastAsia="Times New Roman" w:hAnsi="Times New Roman" w:cs="Times New Roman"/>
          <w:kern w:val="0"/>
          <w:sz w:val="24"/>
          <w:szCs w:val="24"/>
          <w:lang w:val="en-GB"/>
          <w14:ligatures w14:val="none"/>
        </w:rPr>
        <w:t xml:space="preserve"> </w:t>
      </w:r>
      <w:r w:rsidR="0072506E" w:rsidRPr="00460BBD">
        <w:rPr>
          <w:rFonts w:ascii="Times New Roman" w:eastAsia="Times New Roman" w:hAnsi="Times New Roman" w:cs="Times New Roman"/>
          <w:kern w:val="0"/>
          <w:sz w:val="24"/>
          <w:szCs w:val="24"/>
          <w:lang w:val="en-GB"/>
          <w14:ligatures w14:val="none"/>
        </w:rPr>
        <w:t>ZWL$634,163,23</w:t>
      </w:r>
    </w:p>
    <w:p w14:paraId="246DA773" w14:textId="561D91ED" w:rsidR="0072506E" w:rsidRPr="00460BBD" w:rsidRDefault="00486B64"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kern w:val="0"/>
          <w:sz w:val="24"/>
          <w:szCs w:val="24"/>
          <w:lang w:val="en-GB"/>
          <w14:ligatures w14:val="none"/>
        </w:rPr>
        <w:t>This was as</w:t>
      </w:r>
      <w:r w:rsidR="0072506E" w:rsidRPr="00460BBD">
        <w:rPr>
          <w:rFonts w:ascii="Times New Roman" w:eastAsia="Times New Roman" w:hAnsi="Times New Roman" w:cs="Times New Roman"/>
          <w:kern w:val="0"/>
          <w:sz w:val="24"/>
          <w:szCs w:val="24"/>
          <w:lang w:val="en-GB"/>
          <w14:ligatures w14:val="none"/>
        </w:rPr>
        <w:t xml:space="preserve"> at </w:t>
      </w:r>
      <w:r w:rsidR="00460BBD">
        <w:rPr>
          <w:rFonts w:ascii="Times New Roman" w:eastAsia="Times New Roman" w:hAnsi="Times New Roman" w:cs="Times New Roman"/>
          <w:kern w:val="0"/>
          <w:sz w:val="24"/>
          <w:szCs w:val="24"/>
          <w:lang w:val="en-GB"/>
          <w14:ligatures w14:val="none"/>
        </w:rPr>
        <w:t>21 October 2022</w:t>
      </w:r>
    </w:p>
    <w:p w14:paraId="187C6E84" w14:textId="123D410C" w:rsidR="00486B64" w:rsidRPr="00460BBD" w:rsidRDefault="0072506E"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kern w:val="0"/>
          <w:sz w:val="24"/>
          <w:szCs w:val="24"/>
          <w:lang w:val="en-GB"/>
          <w14:ligatures w14:val="none"/>
        </w:rPr>
        <w:t xml:space="preserve">Charter Properties </w:t>
      </w:r>
      <w:r w:rsidR="00460BBD">
        <w:rPr>
          <w:rFonts w:ascii="Times New Roman" w:eastAsia="Times New Roman" w:hAnsi="Times New Roman" w:cs="Times New Roman"/>
          <w:kern w:val="0"/>
          <w:sz w:val="24"/>
          <w:szCs w:val="24"/>
          <w:lang w:val="en-GB"/>
          <w14:ligatures w14:val="none"/>
        </w:rPr>
        <w:t xml:space="preserve">however issued summons for </w:t>
      </w:r>
      <w:r w:rsidR="00486B64" w:rsidRPr="00460BBD">
        <w:rPr>
          <w:rFonts w:ascii="Times New Roman" w:eastAsia="Times New Roman" w:hAnsi="Times New Roman" w:cs="Times New Roman"/>
          <w:kern w:val="0"/>
          <w:sz w:val="24"/>
          <w:szCs w:val="24"/>
          <w:lang w:val="en-GB"/>
          <w14:ligatures w14:val="none"/>
        </w:rPr>
        <w:t>ZWL</w:t>
      </w:r>
      <w:r w:rsidRPr="00460BBD">
        <w:rPr>
          <w:rFonts w:ascii="Times New Roman" w:eastAsia="Times New Roman" w:hAnsi="Times New Roman" w:cs="Times New Roman"/>
          <w:kern w:val="0"/>
          <w:sz w:val="24"/>
          <w:szCs w:val="24"/>
          <w:lang w:val="en-GB"/>
          <w14:ligatures w14:val="none"/>
        </w:rPr>
        <w:t>$13,091,992</w:t>
      </w:r>
      <w:r w:rsidR="00486B64" w:rsidRPr="00460BBD">
        <w:rPr>
          <w:rFonts w:ascii="Times New Roman" w:eastAsia="Times New Roman" w:hAnsi="Times New Roman" w:cs="Times New Roman"/>
          <w:kern w:val="0"/>
          <w:sz w:val="24"/>
          <w:szCs w:val="24"/>
          <w:lang w:val="en-GB"/>
          <w14:ligatures w14:val="none"/>
        </w:rPr>
        <w:t>,23</w:t>
      </w:r>
    </w:p>
    <w:p w14:paraId="62A3737F" w14:textId="7D4BB454" w:rsidR="00486B64" w:rsidRPr="00460BBD" w:rsidRDefault="00486B64"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kern w:val="0"/>
          <w:sz w:val="24"/>
          <w:szCs w:val="24"/>
          <w:lang w:val="en-GB"/>
          <w14:ligatures w14:val="none"/>
        </w:rPr>
        <w:t>This was as at</w:t>
      </w:r>
      <w:r w:rsidR="00460BBD">
        <w:rPr>
          <w:rFonts w:ascii="Times New Roman" w:eastAsia="Times New Roman" w:hAnsi="Times New Roman" w:cs="Times New Roman"/>
          <w:kern w:val="0"/>
          <w:sz w:val="24"/>
          <w:szCs w:val="24"/>
          <w:lang w:val="en-GB"/>
          <w14:ligatures w14:val="none"/>
        </w:rPr>
        <w:t xml:space="preserve"> 25 October 2022</w:t>
      </w:r>
    </w:p>
    <w:p w14:paraId="53AE1EE3" w14:textId="01AFC3E1" w:rsidR="00486B64" w:rsidRPr="00460BBD" w:rsidRDefault="00486B64" w:rsidP="00460BBD">
      <w:pPr>
        <w:pStyle w:val="ListParagraph"/>
        <w:numPr>
          <w:ilvl w:val="0"/>
          <w:numId w:val="6"/>
        </w:numPr>
        <w:spacing w:after="0" w:line="360" w:lineRule="auto"/>
        <w:ind w:left="1491" w:hanging="357"/>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kern w:val="0"/>
          <w:sz w:val="24"/>
          <w:szCs w:val="24"/>
          <w:lang w:val="en-GB"/>
          <w14:ligatures w14:val="none"/>
        </w:rPr>
        <w:t xml:space="preserve">Charter Properties` claim was </w:t>
      </w:r>
      <w:r w:rsidR="00460BBD" w:rsidRPr="00460BBD">
        <w:rPr>
          <w:rFonts w:ascii="Times New Roman" w:eastAsia="Times New Roman" w:hAnsi="Times New Roman" w:cs="Times New Roman"/>
          <w:kern w:val="0"/>
          <w:sz w:val="24"/>
          <w:szCs w:val="24"/>
          <w:lang w:val="en-GB"/>
          <w14:ligatures w14:val="none"/>
        </w:rPr>
        <w:t>incorrect</w:t>
      </w:r>
      <w:r w:rsidR="00460BBD">
        <w:rPr>
          <w:rFonts w:ascii="Times New Roman" w:eastAsia="Times New Roman" w:hAnsi="Times New Roman" w:cs="Times New Roman"/>
          <w:kern w:val="0"/>
          <w:sz w:val="24"/>
          <w:szCs w:val="24"/>
          <w:lang w:val="en-GB"/>
          <w14:ligatures w14:val="none"/>
        </w:rPr>
        <w:t>, part of that claim had been settled. Its suit was the</w:t>
      </w:r>
      <w:r w:rsidRPr="00460BBD">
        <w:rPr>
          <w:rFonts w:ascii="Times New Roman" w:eastAsia="Times New Roman" w:hAnsi="Times New Roman" w:cs="Times New Roman"/>
          <w:kern w:val="0"/>
          <w:sz w:val="24"/>
          <w:szCs w:val="24"/>
          <w:lang w:val="en-GB"/>
          <w14:ligatures w14:val="none"/>
        </w:rPr>
        <w:t xml:space="preserve">refore defendable </w:t>
      </w:r>
    </w:p>
    <w:p w14:paraId="4C995CA6" w14:textId="77777777" w:rsidR="00486B64" w:rsidRDefault="00486B64" w:rsidP="005A3214">
      <w:pPr>
        <w:spacing w:after="0" w:line="360" w:lineRule="auto"/>
        <w:jc w:val="both"/>
        <w:rPr>
          <w:rFonts w:ascii="Times New Roman" w:eastAsia="Times New Roman" w:hAnsi="Times New Roman" w:cs="Times New Roman"/>
          <w:kern w:val="0"/>
          <w:sz w:val="24"/>
          <w:szCs w:val="24"/>
          <w:lang w:val="en-GB"/>
          <w14:ligatures w14:val="none"/>
        </w:rPr>
      </w:pPr>
    </w:p>
    <w:p w14:paraId="75F2B3A6" w14:textId="77777777" w:rsidR="009075F7" w:rsidRDefault="00486B64" w:rsidP="009075F7">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[ 2</w:t>
      </w:r>
      <w:r w:rsidR="00460BBD">
        <w:rPr>
          <w:rFonts w:ascii="Times New Roman" w:eastAsia="Times New Roman" w:hAnsi="Times New Roman" w:cs="Times New Roman"/>
          <w:kern w:val="0"/>
          <w:sz w:val="24"/>
          <w:szCs w:val="24"/>
          <w:lang w:val="en-GB"/>
          <w14:ligatures w14:val="none"/>
        </w:rPr>
        <w:t>6</w:t>
      </w:r>
      <w:r>
        <w:rPr>
          <w:rFonts w:ascii="Times New Roman" w:eastAsia="Times New Roman" w:hAnsi="Times New Roman" w:cs="Times New Roman"/>
          <w:kern w:val="0"/>
          <w:sz w:val="24"/>
          <w:szCs w:val="24"/>
          <w:lang w:val="en-GB"/>
          <w14:ligatures w14:val="none"/>
        </w:rPr>
        <w:t xml:space="preserve">] </w:t>
      </w:r>
      <w:r w:rsidR="00055642">
        <w:rPr>
          <w:rFonts w:ascii="Times New Roman" w:eastAsia="Times New Roman" w:hAnsi="Times New Roman" w:cs="Times New Roman"/>
          <w:kern w:val="0"/>
          <w:sz w:val="24"/>
          <w:szCs w:val="24"/>
          <w:lang w:val="en-GB"/>
          <w14:ligatures w14:val="none"/>
        </w:rPr>
        <w:t xml:space="preserve">This last position would have carried weight had POSB been unequivocal about the matter. </w:t>
      </w:r>
      <w:r w:rsidR="009075F7">
        <w:rPr>
          <w:rFonts w:ascii="Times New Roman" w:eastAsia="Times New Roman" w:hAnsi="Times New Roman" w:cs="Times New Roman"/>
          <w:kern w:val="0"/>
          <w:sz w:val="24"/>
          <w:szCs w:val="24"/>
          <w:lang w:val="en-GB"/>
          <w14:ligatures w14:val="none"/>
        </w:rPr>
        <w:t xml:space="preserve">But finds that </w:t>
      </w:r>
      <w:r w:rsidR="00055642">
        <w:rPr>
          <w:rFonts w:ascii="Times New Roman" w:eastAsia="Times New Roman" w:hAnsi="Times New Roman" w:cs="Times New Roman"/>
          <w:kern w:val="0"/>
          <w:sz w:val="24"/>
          <w:szCs w:val="24"/>
          <w:lang w:val="en-GB"/>
          <w14:ligatures w14:val="none"/>
        </w:rPr>
        <w:t>POSB adopts a different position i</w:t>
      </w:r>
      <w:r w:rsidR="00A00765">
        <w:rPr>
          <w:rFonts w:ascii="Times New Roman" w:eastAsia="Times New Roman" w:hAnsi="Times New Roman" w:cs="Times New Roman"/>
          <w:kern w:val="0"/>
          <w:sz w:val="24"/>
          <w:szCs w:val="24"/>
          <w:lang w:val="en-GB"/>
          <w14:ligatures w14:val="none"/>
        </w:rPr>
        <w:t xml:space="preserve">n its draft plea. It seeks to argue that it had </w:t>
      </w:r>
      <w:r w:rsidR="00A00765" w:rsidRPr="00055642">
        <w:rPr>
          <w:rFonts w:ascii="Times New Roman" w:eastAsia="Times New Roman" w:hAnsi="Times New Roman" w:cs="Times New Roman"/>
          <w:i/>
          <w:iCs/>
          <w:kern w:val="0"/>
          <w:sz w:val="24"/>
          <w:szCs w:val="24"/>
          <w:lang w:val="en-GB"/>
          <w14:ligatures w14:val="none"/>
        </w:rPr>
        <w:t>substantially</w:t>
      </w:r>
      <w:r w:rsidR="00A00765">
        <w:rPr>
          <w:rFonts w:ascii="Times New Roman" w:eastAsia="Times New Roman" w:hAnsi="Times New Roman" w:cs="Times New Roman"/>
          <w:kern w:val="0"/>
          <w:sz w:val="24"/>
          <w:szCs w:val="24"/>
          <w:lang w:val="en-GB"/>
          <w14:ligatures w14:val="none"/>
        </w:rPr>
        <w:t xml:space="preserve"> paid off the outstanding arrears</w:t>
      </w:r>
      <w:r w:rsidR="009075F7">
        <w:rPr>
          <w:rFonts w:ascii="Times New Roman" w:eastAsia="Times New Roman" w:hAnsi="Times New Roman" w:cs="Times New Roman"/>
          <w:kern w:val="0"/>
          <w:sz w:val="24"/>
          <w:szCs w:val="24"/>
          <w:lang w:val="en-GB"/>
          <w14:ligatures w14:val="none"/>
        </w:rPr>
        <w:t>-which is vague</w:t>
      </w:r>
      <w:r w:rsidR="00A00765">
        <w:rPr>
          <w:rFonts w:ascii="Times New Roman" w:eastAsia="Times New Roman" w:hAnsi="Times New Roman" w:cs="Times New Roman"/>
          <w:kern w:val="0"/>
          <w:sz w:val="24"/>
          <w:szCs w:val="24"/>
          <w:lang w:val="en-GB"/>
          <w14:ligatures w14:val="none"/>
        </w:rPr>
        <w:t xml:space="preserve">. </w:t>
      </w:r>
      <w:r w:rsidR="009075F7">
        <w:rPr>
          <w:rFonts w:ascii="Times New Roman" w:eastAsia="Times New Roman" w:hAnsi="Times New Roman" w:cs="Times New Roman"/>
          <w:kern w:val="0"/>
          <w:sz w:val="24"/>
          <w:szCs w:val="24"/>
          <w:lang w:val="en-GB"/>
          <w14:ligatures w14:val="none"/>
        </w:rPr>
        <w:t xml:space="preserve">In his founding affidavit Mr. Masango stated that POSB </w:t>
      </w:r>
      <w:r w:rsidR="009075F7" w:rsidRPr="00055642">
        <w:rPr>
          <w:rFonts w:ascii="Times New Roman" w:eastAsia="Times New Roman" w:hAnsi="Times New Roman" w:cs="Times New Roman"/>
          <w:i/>
          <w:iCs/>
          <w:kern w:val="0"/>
          <w:sz w:val="24"/>
          <w:szCs w:val="24"/>
          <w:lang w:val="en-GB"/>
          <w14:ligatures w14:val="none"/>
        </w:rPr>
        <w:t>reduced the arrears</w:t>
      </w:r>
      <w:r w:rsidR="009075F7">
        <w:rPr>
          <w:rFonts w:ascii="Times New Roman" w:eastAsia="Times New Roman" w:hAnsi="Times New Roman" w:cs="Times New Roman"/>
          <w:kern w:val="0"/>
          <w:sz w:val="24"/>
          <w:szCs w:val="24"/>
          <w:lang w:val="en-GB"/>
          <w14:ligatures w14:val="none"/>
        </w:rPr>
        <w:t xml:space="preserve"> to the ZWL$634,163,23. In the next breath </w:t>
      </w:r>
      <w:r w:rsidR="009075F7">
        <w:rPr>
          <w:rFonts w:ascii="Times New Roman" w:eastAsia="Times New Roman" w:hAnsi="Times New Roman" w:cs="Times New Roman"/>
          <w:kern w:val="0"/>
          <w:sz w:val="24"/>
          <w:szCs w:val="24"/>
          <w:lang w:val="en-GB"/>
          <w14:ligatures w14:val="none"/>
        </w:rPr>
        <w:lastRenderedPageBreak/>
        <w:t xml:space="preserve">(paragraph 8.10) he claims that the amounts claimed in the summons </w:t>
      </w:r>
      <w:r w:rsidR="009075F7" w:rsidRPr="00055642">
        <w:rPr>
          <w:rFonts w:ascii="Times New Roman" w:eastAsia="Times New Roman" w:hAnsi="Times New Roman" w:cs="Times New Roman"/>
          <w:i/>
          <w:iCs/>
          <w:kern w:val="0"/>
          <w:sz w:val="24"/>
          <w:szCs w:val="24"/>
          <w:lang w:val="en-GB"/>
          <w14:ligatures w14:val="none"/>
        </w:rPr>
        <w:t>had been cleared</w:t>
      </w:r>
      <w:r w:rsidR="009075F7">
        <w:rPr>
          <w:rFonts w:ascii="Times New Roman" w:eastAsia="Times New Roman" w:hAnsi="Times New Roman" w:cs="Times New Roman"/>
          <w:kern w:val="0"/>
          <w:sz w:val="24"/>
          <w:szCs w:val="24"/>
          <w:lang w:val="en-GB"/>
          <w14:ligatures w14:val="none"/>
        </w:rPr>
        <w:t xml:space="preserve"> on 21 October 2022.The draft plea further clouds matters by alleging </w:t>
      </w:r>
      <w:r w:rsidR="009075F7" w:rsidRPr="00055642">
        <w:rPr>
          <w:rFonts w:ascii="Times New Roman" w:eastAsia="Times New Roman" w:hAnsi="Times New Roman" w:cs="Times New Roman"/>
          <w:i/>
          <w:iCs/>
          <w:kern w:val="0"/>
          <w:sz w:val="24"/>
          <w:szCs w:val="24"/>
          <w:lang w:val="en-GB"/>
          <w14:ligatures w14:val="none"/>
        </w:rPr>
        <w:t>substantial compliance</w:t>
      </w:r>
      <w:r w:rsidR="009075F7">
        <w:rPr>
          <w:rFonts w:ascii="Times New Roman" w:eastAsia="Times New Roman" w:hAnsi="Times New Roman" w:cs="Times New Roman"/>
          <w:kern w:val="0"/>
          <w:sz w:val="24"/>
          <w:szCs w:val="24"/>
          <w:lang w:val="en-GB"/>
          <w14:ligatures w14:val="none"/>
        </w:rPr>
        <w:t xml:space="preserve">. </w:t>
      </w:r>
    </w:p>
    <w:p w14:paraId="4C664332" w14:textId="77777777" w:rsidR="009075F7" w:rsidRDefault="009075F7" w:rsidP="009075F7">
      <w:pPr>
        <w:spacing w:after="0" w:line="360" w:lineRule="auto"/>
        <w:jc w:val="both"/>
        <w:rPr>
          <w:rFonts w:ascii="Times New Roman" w:eastAsia="Times New Roman" w:hAnsi="Times New Roman" w:cs="Times New Roman"/>
          <w:kern w:val="0"/>
          <w:sz w:val="24"/>
          <w:szCs w:val="24"/>
          <w:lang w:val="en-GB"/>
          <w14:ligatures w14:val="none"/>
        </w:rPr>
      </w:pPr>
    </w:p>
    <w:p w14:paraId="57FCCF54" w14:textId="4F623A86" w:rsidR="00055642" w:rsidRDefault="009075F7"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F534FA">
        <w:rPr>
          <w:rFonts w:ascii="Times New Roman" w:eastAsia="Times New Roman" w:hAnsi="Times New Roman" w:cs="Times New Roman"/>
          <w:kern w:val="0"/>
          <w:sz w:val="24"/>
          <w:szCs w:val="24"/>
          <w:lang w:val="en-GB"/>
          <w14:ligatures w14:val="none"/>
        </w:rPr>
        <w:t>27]</w:t>
      </w:r>
      <w:r>
        <w:rPr>
          <w:rFonts w:ascii="Times New Roman" w:eastAsia="Times New Roman" w:hAnsi="Times New Roman" w:cs="Times New Roman"/>
          <w:kern w:val="0"/>
          <w:sz w:val="24"/>
          <w:szCs w:val="24"/>
          <w:lang w:val="en-GB"/>
          <w14:ligatures w14:val="none"/>
        </w:rPr>
        <w:t xml:space="preserve"> POSB </w:t>
      </w:r>
      <w:r w:rsidR="00A00765">
        <w:rPr>
          <w:rFonts w:ascii="Times New Roman" w:eastAsia="Times New Roman" w:hAnsi="Times New Roman" w:cs="Times New Roman"/>
          <w:kern w:val="0"/>
          <w:sz w:val="24"/>
          <w:szCs w:val="24"/>
          <w:lang w:val="en-GB"/>
          <w14:ligatures w14:val="none"/>
        </w:rPr>
        <w:t>also contends that subsequent to the 21 October 2022 payment, it dutifully adhered to the terms of the lease agreement</w:t>
      </w:r>
      <w:r>
        <w:rPr>
          <w:rFonts w:ascii="Times New Roman" w:eastAsia="Times New Roman" w:hAnsi="Times New Roman" w:cs="Times New Roman"/>
          <w:kern w:val="0"/>
          <w:sz w:val="24"/>
          <w:szCs w:val="24"/>
          <w:lang w:val="en-GB"/>
          <w14:ligatures w14:val="none"/>
        </w:rPr>
        <w:t>-which would be untrue. The lease had been cancelled</w:t>
      </w:r>
      <w:r w:rsidR="00A00765">
        <w:rPr>
          <w:rFonts w:ascii="Times New Roman" w:eastAsia="Times New Roman" w:hAnsi="Times New Roman" w:cs="Times New Roman"/>
          <w:kern w:val="0"/>
          <w:sz w:val="24"/>
          <w:szCs w:val="24"/>
          <w:lang w:val="en-GB"/>
          <w14:ligatures w14:val="none"/>
        </w:rPr>
        <w:t xml:space="preserve">. </w:t>
      </w:r>
      <w:r w:rsidR="00F534FA">
        <w:rPr>
          <w:rFonts w:ascii="Times New Roman" w:eastAsia="Times New Roman" w:hAnsi="Times New Roman" w:cs="Times New Roman"/>
          <w:kern w:val="0"/>
          <w:sz w:val="24"/>
          <w:szCs w:val="24"/>
          <w:lang w:val="en-GB"/>
          <w14:ligatures w14:val="none"/>
        </w:rPr>
        <w:t>Clearly,</w:t>
      </w:r>
      <w:r>
        <w:rPr>
          <w:rFonts w:ascii="Times New Roman" w:eastAsia="Times New Roman" w:hAnsi="Times New Roman" w:cs="Times New Roman"/>
          <w:kern w:val="0"/>
          <w:sz w:val="24"/>
          <w:szCs w:val="24"/>
          <w:lang w:val="en-GB"/>
          <w14:ligatures w14:val="none"/>
        </w:rPr>
        <w:t xml:space="preserve"> POSB</w:t>
      </w:r>
      <w:r w:rsidR="00A00765">
        <w:rPr>
          <w:rFonts w:ascii="Times New Roman" w:eastAsia="Times New Roman" w:hAnsi="Times New Roman" w:cs="Times New Roman"/>
          <w:kern w:val="0"/>
          <w:sz w:val="24"/>
          <w:szCs w:val="24"/>
          <w:lang w:val="en-GB"/>
          <w14:ligatures w14:val="none"/>
        </w:rPr>
        <w:t xml:space="preserve">`s position </w:t>
      </w:r>
      <w:r>
        <w:rPr>
          <w:rFonts w:ascii="Times New Roman" w:eastAsia="Times New Roman" w:hAnsi="Times New Roman" w:cs="Times New Roman"/>
          <w:kern w:val="0"/>
          <w:sz w:val="24"/>
          <w:szCs w:val="24"/>
          <w:lang w:val="en-GB"/>
          <w14:ligatures w14:val="none"/>
        </w:rPr>
        <w:t xml:space="preserve">is </w:t>
      </w:r>
      <w:r w:rsidR="00A00765">
        <w:rPr>
          <w:rFonts w:ascii="Times New Roman" w:eastAsia="Times New Roman" w:hAnsi="Times New Roman" w:cs="Times New Roman"/>
          <w:kern w:val="0"/>
          <w:sz w:val="24"/>
          <w:szCs w:val="24"/>
          <w:lang w:val="en-GB"/>
          <w14:ligatures w14:val="none"/>
        </w:rPr>
        <w:t xml:space="preserve">untenable. </w:t>
      </w:r>
      <w:r w:rsidR="00F534FA">
        <w:rPr>
          <w:rFonts w:ascii="Times New Roman" w:eastAsia="Times New Roman" w:hAnsi="Times New Roman" w:cs="Times New Roman"/>
          <w:kern w:val="0"/>
          <w:sz w:val="24"/>
          <w:szCs w:val="24"/>
          <w:lang w:val="en-GB"/>
          <w14:ligatures w14:val="none"/>
        </w:rPr>
        <w:t xml:space="preserve">It has no </w:t>
      </w:r>
      <w:r w:rsidR="00055642">
        <w:rPr>
          <w:rFonts w:ascii="Times New Roman" w:eastAsia="Times New Roman" w:hAnsi="Times New Roman" w:cs="Times New Roman"/>
          <w:kern w:val="0"/>
          <w:sz w:val="24"/>
          <w:szCs w:val="24"/>
          <w:lang w:val="en-GB"/>
          <w14:ligatures w14:val="none"/>
        </w:rPr>
        <w:t>answer</w:t>
      </w:r>
      <w:r w:rsidR="00A00765">
        <w:rPr>
          <w:rFonts w:ascii="Times New Roman" w:eastAsia="Times New Roman" w:hAnsi="Times New Roman" w:cs="Times New Roman"/>
          <w:kern w:val="0"/>
          <w:sz w:val="24"/>
          <w:szCs w:val="24"/>
          <w:lang w:val="en-GB"/>
          <w14:ligatures w14:val="none"/>
        </w:rPr>
        <w:t xml:space="preserve"> to the cancellation of the lease agreement. It had breached the lease agreement by accumulating arrears. </w:t>
      </w:r>
      <w:r w:rsidR="00070C20">
        <w:rPr>
          <w:rFonts w:ascii="Times New Roman" w:eastAsia="Times New Roman" w:hAnsi="Times New Roman" w:cs="Times New Roman"/>
          <w:kern w:val="0"/>
          <w:sz w:val="24"/>
          <w:szCs w:val="24"/>
          <w:lang w:val="en-GB"/>
          <w14:ligatures w14:val="none"/>
        </w:rPr>
        <w:t xml:space="preserve"> This conclusion </w:t>
      </w:r>
      <w:r w:rsidR="00055642">
        <w:rPr>
          <w:rFonts w:ascii="Times New Roman" w:eastAsia="Times New Roman" w:hAnsi="Times New Roman" w:cs="Times New Roman"/>
          <w:kern w:val="0"/>
          <w:sz w:val="24"/>
          <w:szCs w:val="24"/>
          <w:lang w:val="en-GB"/>
          <w14:ligatures w14:val="none"/>
        </w:rPr>
        <w:t xml:space="preserve">means that POSB has no argument regarding prospects of success against the allegations of breach and termination. Which allegations resulted in the order of cancellation and ejectment. </w:t>
      </w:r>
    </w:p>
    <w:p w14:paraId="663840FF" w14:textId="77777777" w:rsidR="00055642" w:rsidRDefault="00055642" w:rsidP="005A3214">
      <w:pPr>
        <w:spacing w:after="0" w:line="360" w:lineRule="auto"/>
        <w:jc w:val="both"/>
        <w:rPr>
          <w:rFonts w:ascii="Times New Roman" w:eastAsia="Times New Roman" w:hAnsi="Times New Roman" w:cs="Times New Roman"/>
          <w:kern w:val="0"/>
          <w:sz w:val="24"/>
          <w:szCs w:val="24"/>
          <w:lang w:val="en-GB"/>
          <w14:ligatures w14:val="none"/>
        </w:rPr>
      </w:pPr>
    </w:p>
    <w:p w14:paraId="0C883B98" w14:textId="6859CED4" w:rsidR="00070C20" w:rsidRDefault="00055642"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F534FA">
        <w:rPr>
          <w:rFonts w:ascii="Times New Roman" w:eastAsia="Times New Roman" w:hAnsi="Times New Roman" w:cs="Times New Roman"/>
          <w:kern w:val="0"/>
          <w:sz w:val="24"/>
          <w:szCs w:val="24"/>
          <w:lang w:val="en-GB"/>
          <w14:ligatures w14:val="none"/>
        </w:rPr>
        <w:t>28]</w:t>
      </w:r>
      <w:r>
        <w:rPr>
          <w:rFonts w:ascii="Times New Roman" w:eastAsia="Times New Roman" w:hAnsi="Times New Roman" w:cs="Times New Roman"/>
          <w:kern w:val="0"/>
          <w:sz w:val="24"/>
          <w:szCs w:val="24"/>
          <w:lang w:val="en-GB"/>
          <w14:ligatures w14:val="none"/>
        </w:rPr>
        <w:t xml:space="preserve"> </w:t>
      </w:r>
      <w:r w:rsidR="00070C20">
        <w:rPr>
          <w:rFonts w:ascii="Times New Roman" w:eastAsia="Times New Roman" w:hAnsi="Times New Roman" w:cs="Times New Roman"/>
          <w:kern w:val="0"/>
          <w:sz w:val="24"/>
          <w:szCs w:val="24"/>
          <w:lang w:val="en-GB"/>
          <w14:ligatures w14:val="none"/>
        </w:rPr>
        <w:t xml:space="preserve">Mr. </w:t>
      </w:r>
      <w:r w:rsidR="00070C20" w:rsidRPr="00E71764">
        <w:rPr>
          <w:rFonts w:ascii="Times New Roman" w:eastAsia="Times New Roman" w:hAnsi="Times New Roman" w:cs="Times New Roman"/>
          <w:i/>
          <w:iCs/>
          <w:kern w:val="0"/>
          <w:sz w:val="24"/>
          <w:szCs w:val="24"/>
          <w:lang w:val="en-GB"/>
          <w14:ligatures w14:val="none"/>
        </w:rPr>
        <w:t>Chidembo</w:t>
      </w:r>
      <w:r w:rsidR="00070C20">
        <w:rPr>
          <w:rFonts w:ascii="Times New Roman" w:eastAsia="Times New Roman" w:hAnsi="Times New Roman" w:cs="Times New Roman"/>
          <w:kern w:val="0"/>
          <w:sz w:val="24"/>
          <w:szCs w:val="24"/>
          <w:lang w:val="en-GB"/>
          <w14:ligatures w14:val="none"/>
        </w:rPr>
        <w:t xml:space="preserve"> cited the decision of </w:t>
      </w:r>
      <w:r w:rsidR="00070C20" w:rsidRPr="00387915">
        <w:rPr>
          <w:rFonts w:ascii="Times New Roman" w:eastAsia="Times New Roman" w:hAnsi="Times New Roman" w:cs="Times New Roman"/>
          <w:i/>
          <w:iCs/>
          <w:kern w:val="0"/>
          <w:sz w:val="24"/>
          <w:szCs w:val="24"/>
          <w:lang w:val="en-GB"/>
          <w14:ligatures w14:val="none"/>
        </w:rPr>
        <w:t>Musasa Project v Bhala &amp; Anor</w:t>
      </w:r>
      <w:r w:rsidR="00070C20">
        <w:rPr>
          <w:rFonts w:ascii="Times New Roman" w:eastAsia="Times New Roman" w:hAnsi="Times New Roman" w:cs="Times New Roman"/>
          <w:kern w:val="0"/>
          <w:sz w:val="24"/>
          <w:szCs w:val="24"/>
          <w:lang w:val="en-GB"/>
          <w14:ligatures w14:val="none"/>
        </w:rPr>
        <w:t xml:space="preserve"> HH 169-16. </w:t>
      </w:r>
      <w:r>
        <w:rPr>
          <w:rFonts w:ascii="Times New Roman" w:eastAsia="Times New Roman" w:hAnsi="Times New Roman" w:cs="Times New Roman"/>
          <w:kern w:val="0"/>
          <w:sz w:val="24"/>
          <w:szCs w:val="24"/>
          <w:lang w:val="en-GB"/>
          <w14:ligatures w14:val="none"/>
        </w:rPr>
        <w:t xml:space="preserve">Counsel did so </w:t>
      </w:r>
      <w:r w:rsidR="00070C20">
        <w:rPr>
          <w:rFonts w:ascii="Times New Roman" w:eastAsia="Times New Roman" w:hAnsi="Times New Roman" w:cs="Times New Roman"/>
          <w:kern w:val="0"/>
          <w:sz w:val="24"/>
          <w:szCs w:val="24"/>
          <w:lang w:val="en-GB"/>
          <w14:ligatures w14:val="none"/>
        </w:rPr>
        <w:t xml:space="preserve">in furthering the wilful default argument rather than a fully-fledged defence of </w:t>
      </w:r>
      <w:r w:rsidR="00387915">
        <w:rPr>
          <w:rFonts w:ascii="Times New Roman" w:eastAsia="Times New Roman" w:hAnsi="Times New Roman" w:cs="Times New Roman"/>
          <w:kern w:val="0"/>
          <w:sz w:val="24"/>
          <w:szCs w:val="24"/>
          <w:lang w:val="en-GB"/>
          <w14:ligatures w14:val="none"/>
        </w:rPr>
        <w:t>compromise. Indeed, whilst</w:t>
      </w:r>
      <w:r w:rsidR="00070C20">
        <w:rPr>
          <w:rFonts w:ascii="Times New Roman" w:eastAsia="Times New Roman" w:hAnsi="Times New Roman" w:cs="Times New Roman"/>
          <w:kern w:val="0"/>
          <w:sz w:val="24"/>
          <w:szCs w:val="24"/>
          <w:lang w:val="en-GB"/>
          <w14:ligatures w14:val="none"/>
        </w:rPr>
        <w:t xml:space="preserve"> POSB </w:t>
      </w:r>
      <w:r>
        <w:rPr>
          <w:rFonts w:ascii="Times New Roman" w:eastAsia="Times New Roman" w:hAnsi="Times New Roman" w:cs="Times New Roman"/>
          <w:kern w:val="0"/>
          <w:sz w:val="24"/>
          <w:szCs w:val="24"/>
          <w:lang w:val="en-GB"/>
          <w14:ligatures w14:val="none"/>
        </w:rPr>
        <w:t>seemed poised to raise the defence of compromise as a fresh causa, it</w:t>
      </w:r>
      <w:r w:rsidR="00070C20">
        <w:rPr>
          <w:rFonts w:ascii="Times New Roman" w:eastAsia="Times New Roman" w:hAnsi="Times New Roman" w:cs="Times New Roman"/>
          <w:kern w:val="0"/>
          <w:sz w:val="24"/>
          <w:szCs w:val="24"/>
          <w:lang w:val="en-GB"/>
          <w14:ligatures w14:val="none"/>
        </w:rPr>
        <w:t xml:space="preserve"> neither </w:t>
      </w:r>
      <w:r w:rsidR="00387915">
        <w:rPr>
          <w:rFonts w:ascii="Times New Roman" w:eastAsia="Times New Roman" w:hAnsi="Times New Roman" w:cs="Times New Roman"/>
          <w:kern w:val="0"/>
          <w:sz w:val="24"/>
          <w:szCs w:val="24"/>
          <w:lang w:val="en-GB"/>
          <w14:ligatures w14:val="none"/>
        </w:rPr>
        <w:t>proffered</w:t>
      </w:r>
      <w:r w:rsidR="00070C20">
        <w:rPr>
          <w:rFonts w:ascii="Times New Roman" w:eastAsia="Times New Roman" w:hAnsi="Times New Roman" w:cs="Times New Roman"/>
          <w:kern w:val="0"/>
          <w:sz w:val="24"/>
          <w:szCs w:val="24"/>
          <w:lang w:val="en-GB"/>
          <w14:ligatures w14:val="none"/>
        </w:rPr>
        <w:t xml:space="preserve"> evidence of such nor pursued it </w:t>
      </w:r>
      <w:r>
        <w:rPr>
          <w:rFonts w:ascii="Times New Roman" w:eastAsia="Times New Roman" w:hAnsi="Times New Roman" w:cs="Times New Roman"/>
          <w:kern w:val="0"/>
          <w:sz w:val="24"/>
          <w:szCs w:val="24"/>
          <w:lang w:val="en-GB"/>
          <w14:ligatures w14:val="none"/>
        </w:rPr>
        <w:t xml:space="preserve">to conclusion </w:t>
      </w:r>
      <w:r w:rsidR="00070C20">
        <w:rPr>
          <w:rFonts w:ascii="Times New Roman" w:eastAsia="Times New Roman" w:hAnsi="Times New Roman" w:cs="Times New Roman"/>
          <w:kern w:val="0"/>
          <w:sz w:val="24"/>
          <w:szCs w:val="24"/>
          <w:lang w:val="en-GB"/>
          <w14:ligatures w14:val="none"/>
        </w:rPr>
        <w:t xml:space="preserve">in argument. The engagements that occurred after summons were issued </w:t>
      </w:r>
      <w:r w:rsidR="00387915">
        <w:rPr>
          <w:rFonts w:ascii="Times New Roman" w:eastAsia="Times New Roman" w:hAnsi="Times New Roman" w:cs="Times New Roman"/>
          <w:kern w:val="0"/>
          <w:sz w:val="24"/>
          <w:szCs w:val="24"/>
          <w:lang w:val="en-GB"/>
          <w14:ligatures w14:val="none"/>
        </w:rPr>
        <w:t xml:space="preserve">were </w:t>
      </w:r>
      <w:r>
        <w:rPr>
          <w:rFonts w:ascii="Times New Roman" w:eastAsia="Times New Roman" w:hAnsi="Times New Roman" w:cs="Times New Roman"/>
          <w:kern w:val="0"/>
          <w:sz w:val="24"/>
          <w:szCs w:val="24"/>
          <w:lang w:val="en-GB"/>
          <w14:ligatures w14:val="none"/>
        </w:rPr>
        <w:t xml:space="preserve">as noted above, </w:t>
      </w:r>
      <w:r w:rsidR="00387915">
        <w:rPr>
          <w:rFonts w:ascii="Times New Roman" w:eastAsia="Times New Roman" w:hAnsi="Times New Roman" w:cs="Times New Roman"/>
          <w:kern w:val="0"/>
          <w:sz w:val="24"/>
          <w:szCs w:val="24"/>
          <w:lang w:val="en-GB"/>
          <w14:ligatures w14:val="none"/>
        </w:rPr>
        <w:t xml:space="preserve">frantic on the part of </w:t>
      </w:r>
      <w:r>
        <w:rPr>
          <w:rFonts w:ascii="Times New Roman" w:eastAsia="Times New Roman" w:hAnsi="Times New Roman" w:cs="Times New Roman"/>
          <w:kern w:val="0"/>
          <w:sz w:val="24"/>
          <w:szCs w:val="24"/>
          <w:lang w:val="en-GB"/>
          <w14:ligatures w14:val="none"/>
        </w:rPr>
        <w:t>POSB, but</w:t>
      </w:r>
      <w:r w:rsidR="00387915">
        <w:rPr>
          <w:rFonts w:ascii="Times New Roman" w:eastAsia="Times New Roman" w:hAnsi="Times New Roman" w:cs="Times New Roman"/>
          <w:kern w:val="0"/>
          <w:sz w:val="24"/>
          <w:szCs w:val="24"/>
          <w:lang w:val="en-GB"/>
          <w14:ligatures w14:val="none"/>
        </w:rPr>
        <w:t xml:space="preserve"> non-committal on the part of Charter Properties. </w:t>
      </w:r>
      <w:r w:rsidR="00070C20">
        <w:rPr>
          <w:rFonts w:ascii="Times New Roman" w:eastAsia="Times New Roman" w:hAnsi="Times New Roman" w:cs="Times New Roman"/>
          <w:kern w:val="0"/>
          <w:sz w:val="24"/>
          <w:szCs w:val="24"/>
          <w:lang w:val="en-GB"/>
          <w14:ligatures w14:val="none"/>
        </w:rPr>
        <w:t xml:space="preserve"> </w:t>
      </w:r>
    </w:p>
    <w:p w14:paraId="1B3C5E31" w14:textId="77777777" w:rsidR="00387915" w:rsidRDefault="00387915" w:rsidP="005A3214">
      <w:pPr>
        <w:spacing w:after="0" w:line="360" w:lineRule="auto"/>
        <w:jc w:val="both"/>
        <w:rPr>
          <w:rFonts w:ascii="Times New Roman" w:eastAsia="Times New Roman" w:hAnsi="Times New Roman" w:cs="Times New Roman"/>
          <w:kern w:val="0"/>
          <w:sz w:val="24"/>
          <w:szCs w:val="24"/>
          <w:lang w:val="en-GB"/>
          <w14:ligatures w14:val="none"/>
        </w:rPr>
      </w:pPr>
    </w:p>
    <w:p w14:paraId="48A856F2" w14:textId="37A6CE62" w:rsidR="00387915" w:rsidRDefault="00387915" w:rsidP="00387915">
      <w:pPr>
        <w:pStyle w:val="Default"/>
        <w:spacing w:line="360" w:lineRule="auto"/>
        <w:rPr>
          <w:rFonts w:eastAsia="Times New Roman"/>
          <w:lang w:val="en-GB"/>
          <w14:ligatures w14:val="none"/>
        </w:rPr>
      </w:pPr>
      <w:r>
        <w:rPr>
          <w:rFonts w:eastAsia="Times New Roman"/>
          <w:lang w:val="en-GB"/>
          <w14:ligatures w14:val="none"/>
        </w:rPr>
        <w:t>[</w:t>
      </w:r>
      <w:r w:rsidR="00F534FA">
        <w:rPr>
          <w:rFonts w:eastAsia="Times New Roman"/>
          <w:lang w:val="en-GB"/>
          <w14:ligatures w14:val="none"/>
        </w:rPr>
        <w:t>29</w:t>
      </w:r>
      <w:r w:rsidR="00460BBD">
        <w:rPr>
          <w:rFonts w:eastAsia="Times New Roman"/>
          <w:lang w:val="en-GB"/>
          <w14:ligatures w14:val="none"/>
        </w:rPr>
        <w:t>]</w:t>
      </w:r>
      <w:r w:rsidR="00E71764">
        <w:rPr>
          <w:rFonts w:eastAsia="Times New Roman"/>
          <w:lang w:val="en-GB"/>
          <w14:ligatures w14:val="none"/>
        </w:rPr>
        <w:t xml:space="preserve"> I now advert,</w:t>
      </w:r>
      <w:r>
        <w:rPr>
          <w:rFonts w:eastAsia="Times New Roman"/>
          <w:lang w:val="en-GB"/>
          <w14:ligatures w14:val="none"/>
        </w:rPr>
        <w:t xml:space="preserve"> (for completeness)</w:t>
      </w:r>
      <w:r w:rsidR="00055642">
        <w:rPr>
          <w:rFonts w:eastAsia="Times New Roman"/>
          <w:lang w:val="en-GB"/>
          <w14:ligatures w14:val="none"/>
        </w:rPr>
        <w:t>,</w:t>
      </w:r>
      <w:r w:rsidR="00E71764">
        <w:rPr>
          <w:rFonts w:eastAsia="Times New Roman"/>
          <w:lang w:val="en-GB"/>
          <w14:ligatures w14:val="none"/>
        </w:rPr>
        <w:t xml:space="preserve"> to the issue of mootness raised on behalf of Charter Properties.</w:t>
      </w:r>
      <w:r>
        <w:rPr>
          <w:rFonts w:eastAsia="Times New Roman"/>
          <w:lang w:val="en-GB"/>
          <w14:ligatures w14:val="none"/>
        </w:rPr>
        <w:t xml:space="preserve"> I </w:t>
      </w:r>
      <w:r w:rsidR="00E71764">
        <w:rPr>
          <w:rFonts w:eastAsia="Times New Roman"/>
          <w:lang w:val="en-GB"/>
          <w14:ligatures w14:val="none"/>
        </w:rPr>
        <w:t xml:space="preserve">am inclined to </w:t>
      </w:r>
      <w:r>
        <w:rPr>
          <w:rFonts w:eastAsia="Times New Roman"/>
          <w:lang w:val="en-GB"/>
          <w14:ligatures w14:val="none"/>
        </w:rPr>
        <w:t xml:space="preserve">agree with Mr. </w:t>
      </w:r>
      <w:r w:rsidRPr="00387915">
        <w:rPr>
          <w:rFonts w:eastAsia="Times New Roman"/>
          <w:i/>
          <w:iCs/>
          <w:lang w:val="en-GB"/>
          <w14:ligatures w14:val="none"/>
        </w:rPr>
        <w:t>Chidembo</w:t>
      </w:r>
      <w:r>
        <w:rPr>
          <w:rFonts w:eastAsia="Times New Roman"/>
          <w:lang w:val="en-GB"/>
          <w14:ligatures w14:val="none"/>
        </w:rPr>
        <w:t xml:space="preserve"> that as pointed out in </w:t>
      </w:r>
      <w:r w:rsidRPr="00E71764">
        <w:rPr>
          <w:rFonts w:eastAsia="Times New Roman"/>
          <w:i/>
          <w:iCs/>
          <w:lang w:val="en-GB"/>
          <w14:ligatures w14:val="none"/>
        </w:rPr>
        <w:t>MDC &amp; Ors v Mashavira &amp; Ors</w:t>
      </w:r>
      <w:r>
        <w:rPr>
          <w:rFonts w:eastAsia="Times New Roman"/>
          <w:lang w:val="en-GB"/>
          <w14:ligatures w14:val="none"/>
        </w:rPr>
        <w:t xml:space="preserve"> SC 56-20 [ page 33] </w:t>
      </w:r>
      <w:r w:rsidR="00E71764">
        <w:rPr>
          <w:rFonts w:eastAsia="Times New Roman"/>
          <w:lang w:val="en-GB"/>
          <w14:ligatures w14:val="none"/>
        </w:rPr>
        <w:t>that;</w:t>
      </w:r>
      <w:r>
        <w:rPr>
          <w:rFonts w:eastAsia="Times New Roman"/>
          <w:lang w:val="en-GB"/>
          <w14:ligatures w14:val="none"/>
        </w:rPr>
        <w:t xml:space="preserve"> -</w:t>
      </w:r>
    </w:p>
    <w:p w14:paraId="470F4938" w14:textId="77777777" w:rsidR="00387915" w:rsidRDefault="00387915" w:rsidP="005A3214">
      <w:pPr>
        <w:spacing w:after="0" w:line="360" w:lineRule="auto"/>
        <w:jc w:val="both"/>
        <w:rPr>
          <w:rFonts w:ascii="Times New Roman" w:eastAsia="Times New Roman" w:hAnsi="Times New Roman" w:cs="Times New Roman"/>
          <w:kern w:val="0"/>
          <w:sz w:val="24"/>
          <w:szCs w:val="24"/>
          <w:lang w:val="en-GB"/>
          <w14:ligatures w14:val="none"/>
        </w:rPr>
      </w:pPr>
    </w:p>
    <w:p w14:paraId="00DBA1D3" w14:textId="699A85B7" w:rsidR="00387915" w:rsidRPr="00387915" w:rsidRDefault="00387915" w:rsidP="00387915">
      <w:pPr>
        <w:spacing w:after="0" w:line="360" w:lineRule="auto"/>
        <w:ind w:left="1134"/>
        <w:jc w:val="both"/>
        <w:rPr>
          <w:rFonts w:ascii="Times New Roman" w:eastAsia="Times New Roman" w:hAnsi="Times New Roman" w:cs="Times New Roman"/>
          <w:kern w:val="0"/>
          <w:sz w:val="24"/>
          <w:szCs w:val="24"/>
          <w:lang w:val="en-GB"/>
          <w14:ligatures w14:val="none"/>
        </w:rPr>
      </w:pPr>
      <w:r w:rsidRPr="00387915">
        <w:rPr>
          <w:rFonts w:ascii="Times New Roman" w:hAnsi="Times New Roman" w:cs="Times New Roman"/>
          <w:i/>
          <w:iCs/>
          <w:sz w:val="24"/>
          <w:szCs w:val="24"/>
        </w:rPr>
        <w:t xml:space="preserve"> </w:t>
      </w:r>
      <w:r w:rsidRPr="00387915">
        <w:rPr>
          <w:rFonts w:ascii="Times New Roman" w:hAnsi="Times New Roman" w:cs="Times New Roman"/>
          <w:sz w:val="24"/>
          <w:szCs w:val="24"/>
        </w:rPr>
        <w:t>“…. mootness does not constitute an absolute bar to the justiciability of the matter. The court retains its discretion to hear a moot case where it is in the interests of justice to do so.”</w:t>
      </w:r>
    </w:p>
    <w:p w14:paraId="701A45E2" w14:textId="77777777" w:rsidR="00486B64" w:rsidRPr="00387915" w:rsidRDefault="00486B64" w:rsidP="00387915">
      <w:pPr>
        <w:spacing w:after="0" w:line="360" w:lineRule="auto"/>
        <w:ind w:left="1134"/>
        <w:jc w:val="both"/>
        <w:rPr>
          <w:rFonts w:ascii="Times New Roman" w:eastAsia="Times New Roman" w:hAnsi="Times New Roman" w:cs="Times New Roman"/>
          <w:kern w:val="0"/>
          <w:sz w:val="24"/>
          <w:szCs w:val="24"/>
          <w:lang w:val="en-GB"/>
          <w14:ligatures w14:val="none"/>
        </w:rPr>
      </w:pPr>
    </w:p>
    <w:p w14:paraId="7232284E" w14:textId="2D2E7FFB" w:rsidR="00E71764" w:rsidRDefault="00387915" w:rsidP="00887266">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460BBD">
        <w:rPr>
          <w:rFonts w:ascii="Times New Roman" w:eastAsia="Times New Roman" w:hAnsi="Times New Roman" w:cs="Times New Roman"/>
          <w:kern w:val="0"/>
          <w:sz w:val="24"/>
          <w:szCs w:val="24"/>
          <w:lang w:val="en-GB"/>
          <w14:ligatures w14:val="none"/>
        </w:rPr>
        <w:t>30</w:t>
      </w:r>
      <w:r w:rsidR="00887266">
        <w:rPr>
          <w:rFonts w:ascii="Times New Roman" w:eastAsia="Times New Roman" w:hAnsi="Times New Roman" w:cs="Times New Roman"/>
          <w:kern w:val="0"/>
          <w:sz w:val="24"/>
          <w:szCs w:val="24"/>
          <w:lang w:val="en-GB"/>
          <w14:ligatures w14:val="none"/>
        </w:rPr>
        <w:t xml:space="preserve">] </w:t>
      </w:r>
      <w:r w:rsidR="00E71764">
        <w:rPr>
          <w:rFonts w:ascii="Times New Roman" w:eastAsia="Times New Roman" w:hAnsi="Times New Roman" w:cs="Times New Roman"/>
          <w:kern w:val="0"/>
          <w:sz w:val="24"/>
          <w:szCs w:val="24"/>
          <w:lang w:val="en-GB"/>
          <w14:ligatures w14:val="none"/>
        </w:rPr>
        <w:t xml:space="preserve">It becomes necessary therefore to conduct an investigation into the bar of mootness </w:t>
      </w:r>
      <w:r w:rsidR="00C12A4B">
        <w:rPr>
          <w:rFonts w:ascii="Times New Roman" w:eastAsia="Times New Roman" w:hAnsi="Times New Roman" w:cs="Times New Roman"/>
          <w:kern w:val="0"/>
          <w:sz w:val="24"/>
          <w:szCs w:val="24"/>
          <w:lang w:val="en-GB"/>
          <w14:ligatures w14:val="none"/>
        </w:rPr>
        <w:t xml:space="preserve">by testing the </w:t>
      </w:r>
      <w:r w:rsidR="00E71764" w:rsidRPr="00C12A4B">
        <w:rPr>
          <w:rFonts w:ascii="Times New Roman" w:eastAsia="Times New Roman" w:hAnsi="Times New Roman" w:cs="Times New Roman"/>
          <w:i/>
          <w:iCs/>
          <w:kern w:val="0"/>
          <w:sz w:val="24"/>
          <w:szCs w:val="24"/>
          <w:lang w:val="en-GB"/>
          <w14:ligatures w14:val="none"/>
        </w:rPr>
        <w:t xml:space="preserve">causa </w:t>
      </w:r>
      <w:r w:rsidR="00E71764">
        <w:rPr>
          <w:rFonts w:ascii="Times New Roman" w:eastAsia="Times New Roman" w:hAnsi="Times New Roman" w:cs="Times New Roman"/>
          <w:kern w:val="0"/>
          <w:sz w:val="24"/>
          <w:szCs w:val="24"/>
          <w:lang w:val="en-GB"/>
          <w14:ligatures w14:val="none"/>
        </w:rPr>
        <w:t>a</w:t>
      </w:r>
      <w:r w:rsidR="00C12A4B">
        <w:rPr>
          <w:rFonts w:ascii="Times New Roman" w:eastAsia="Times New Roman" w:hAnsi="Times New Roman" w:cs="Times New Roman"/>
          <w:kern w:val="0"/>
          <w:sz w:val="24"/>
          <w:szCs w:val="24"/>
          <w:lang w:val="en-GB"/>
          <w14:ligatures w14:val="none"/>
        </w:rPr>
        <w:t>gainst the established principles.</w:t>
      </w:r>
      <w:r w:rsidR="00E71764">
        <w:rPr>
          <w:rFonts w:ascii="Times New Roman" w:eastAsia="Times New Roman" w:hAnsi="Times New Roman" w:cs="Times New Roman"/>
          <w:kern w:val="0"/>
          <w:sz w:val="24"/>
          <w:szCs w:val="24"/>
          <w:lang w:val="en-GB"/>
          <w14:ligatures w14:val="none"/>
        </w:rPr>
        <w:t xml:space="preserve"> Herein, the matter was not fully ventilated from that perspective. And given that the inquiry into prospects of success effectively disposes of the issue, I find it unnecessary to venture further into mootness.</w:t>
      </w:r>
    </w:p>
    <w:p w14:paraId="24B2E86F" w14:textId="77777777" w:rsidR="00E71764" w:rsidRDefault="00E71764" w:rsidP="00887266">
      <w:pPr>
        <w:spacing w:after="0" w:line="360" w:lineRule="auto"/>
        <w:jc w:val="both"/>
        <w:rPr>
          <w:rFonts w:ascii="Times New Roman" w:eastAsia="Times New Roman" w:hAnsi="Times New Roman" w:cs="Times New Roman"/>
          <w:kern w:val="0"/>
          <w:sz w:val="24"/>
          <w:szCs w:val="24"/>
          <w:lang w:val="en-GB"/>
          <w14:ligatures w14:val="none"/>
        </w:rPr>
      </w:pPr>
    </w:p>
    <w:p w14:paraId="4FC51934" w14:textId="7B36C9B8" w:rsidR="00AB26E6" w:rsidRPr="00C12A4B" w:rsidRDefault="00E71764" w:rsidP="00C12A4B">
      <w:pPr>
        <w:pStyle w:val="FootnoteText"/>
        <w:spacing w:line="360" w:lineRule="auto"/>
        <w:jc w:val="both"/>
        <w:rPr>
          <w:rFonts w:ascii="Times New Roman" w:eastAsia="Times New Roman" w:hAnsi="Times New Roman" w:cs="Times New Roman"/>
          <w:kern w:val="0"/>
          <w:sz w:val="24"/>
          <w:szCs w:val="24"/>
          <w:lang w:val="en-GB"/>
          <w14:ligatures w14:val="none"/>
        </w:rPr>
      </w:pPr>
      <w:r w:rsidRPr="00C12A4B">
        <w:rPr>
          <w:rFonts w:ascii="Times New Roman" w:eastAsia="Times New Roman" w:hAnsi="Times New Roman" w:cs="Times New Roman"/>
          <w:kern w:val="0"/>
          <w:sz w:val="24"/>
          <w:szCs w:val="24"/>
          <w:lang w:val="en-GB"/>
          <w14:ligatures w14:val="none"/>
        </w:rPr>
        <w:t>[ 3</w:t>
      </w:r>
      <w:r w:rsidR="00460BBD" w:rsidRPr="00C12A4B">
        <w:rPr>
          <w:rFonts w:ascii="Times New Roman" w:eastAsia="Times New Roman" w:hAnsi="Times New Roman" w:cs="Times New Roman"/>
          <w:kern w:val="0"/>
          <w:sz w:val="24"/>
          <w:szCs w:val="24"/>
          <w:lang w:val="en-GB"/>
          <w14:ligatures w14:val="none"/>
        </w:rPr>
        <w:t>1</w:t>
      </w:r>
      <w:r w:rsidRPr="00C12A4B">
        <w:rPr>
          <w:rFonts w:ascii="Times New Roman" w:eastAsia="Times New Roman" w:hAnsi="Times New Roman" w:cs="Times New Roman"/>
          <w:kern w:val="0"/>
          <w:sz w:val="24"/>
          <w:szCs w:val="24"/>
          <w:lang w:val="en-GB"/>
          <w14:ligatures w14:val="none"/>
        </w:rPr>
        <w:t xml:space="preserve">] I would however comment that any inquiry into mootness must also scope in </w:t>
      </w:r>
      <w:r w:rsidR="00C12A4B" w:rsidRPr="00C12A4B">
        <w:rPr>
          <w:rFonts w:ascii="Times New Roman" w:eastAsia="Times New Roman" w:hAnsi="Times New Roman" w:cs="Times New Roman"/>
          <w:kern w:val="0"/>
          <w:sz w:val="24"/>
          <w:szCs w:val="24"/>
          <w:lang w:val="en-GB"/>
          <w14:ligatures w14:val="none"/>
        </w:rPr>
        <w:t>the consideration</w:t>
      </w:r>
      <w:r w:rsidRPr="00C12A4B">
        <w:rPr>
          <w:rFonts w:ascii="Times New Roman" w:eastAsia="Times New Roman" w:hAnsi="Times New Roman" w:cs="Times New Roman"/>
          <w:kern w:val="0"/>
          <w:sz w:val="24"/>
          <w:szCs w:val="24"/>
          <w:lang w:val="en-GB"/>
          <w14:ligatures w14:val="none"/>
        </w:rPr>
        <w:t xml:space="preserve"> that default judgments are not judgments on the merits</w:t>
      </w:r>
      <w:r w:rsidR="00C12A4B" w:rsidRPr="00C12A4B">
        <w:rPr>
          <w:rFonts w:ascii="Times New Roman" w:eastAsia="Times New Roman" w:hAnsi="Times New Roman" w:cs="Times New Roman"/>
          <w:kern w:val="0"/>
          <w:sz w:val="24"/>
          <w:szCs w:val="24"/>
          <w:lang w:val="en-GB"/>
          <w14:ligatures w14:val="none"/>
        </w:rPr>
        <w:t xml:space="preserve"> as held in </w:t>
      </w:r>
      <w:r w:rsidR="00C12A4B" w:rsidRPr="00C12A4B">
        <w:rPr>
          <w:rFonts w:ascii="Times New Roman" w:hAnsi="Times New Roman" w:cs="Times New Roman"/>
          <w:i/>
          <w:sz w:val="24"/>
          <w:szCs w:val="24"/>
          <w:lang w:val="en-US"/>
        </w:rPr>
        <w:t>Harare Sports Club and Another</w:t>
      </w:r>
      <w:r w:rsidR="00C12A4B" w:rsidRPr="00C12A4B">
        <w:rPr>
          <w:rFonts w:ascii="Times New Roman" w:hAnsi="Times New Roman" w:cs="Times New Roman"/>
          <w:sz w:val="24"/>
          <w:szCs w:val="24"/>
          <w:lang w:val="en-US"/>
        </w:rPr>
        <w:t xml:space="preserve"> v </w:t>
      </w:r>
      <w:r w:rsidR="00C12A4B" w:rsidRPr="00C12A4B">
        <w:rPr>
          <w:rFonts w:ascii="Times New Roman" w:hAnsi="Times New Roman" w:cs="Times New Roman"/>
          <w:i/>
          <w:sz w:val="24"/>
          <w:szCs w:val="24"/>
          <w:lang w:val="en-US"/>
        </w:rPr>
        <w:t>United Bottlers Ltd</w:t>
      </w:r>
      <w:r w:rsidR="00C12A4B" w:rsidRPr="00C12A4B">
        <w:rPr>
          <w:rFonts w:ascii="Times New Roman" w:hAnsi="Times New Roman" w:cs="Times New Roman"/>
          <w:sz w:val="24"/>
          <w:szCs w:val="24"/>
          <w:lang w:val="en-US"/>
        </w:rPr>
        <w:t xml:space="preserve"> 2000(1) ZLR 264 (H).</w:t>
      </w:r>
      <w:r w:rsidRPr="00C12A4B">
        <w:rPr>
          <w:rFonts w:ascii="Times New Roman" w:eastAsia="Times New Roman" w:hAnsi="Times New Roman" w:cs="Times New Roman"/>
          <w:kern w:val="0"/>
          <w:sz w:val="24"/>
          <w:szCs w:val="24"/>
          <w:lang w:val="en-GB"/>
          <w14:ligatures w14:val="none"/>
        </w:rPr>
        <w:t xml:space="preserve"> </w:t>
      </w:r>
      <w:r w:rsidR="00C12A4B" w:rsidRPr="00C12A4B">
        <w:rPr>
          <w:rFonts w:ascii="Times New Roman" w:eastAsia="Times New Roman" w:hAnsi="Times New Roman" w:cs="Times New Roman"/>
          <w:kern w:val="0"/>
          <w:sz w:val="24"/>
          <w:szCs w:val="24"/>
          <w:lang w:val="en-GB"/>
          <w14:ligatures w14:val="none"/>
        </w:rPr>
        <w:t>Further,</w:t>
      </w:r>
      <w:r w:rsidRPr="00C12A4B">
        <w:rPr>
          <w:rFonts w:ascii="Times New Roman" w:eastAsia="Times New Roman" w:hAnsi="Times New Roman" w:cs="Times New Roman"/>
          <w:kern w:val="0"/>
          <w:sz w:val="24"/>
          <w:szCs w:val="24"/>
          <w:lang w:val="en-GB"/>
          <w14:ligatures w14:val="none"/>
        </w:rPr>
        <w:t xml:space="preserve"> r</w:t>
      </w:r>
      <w:r w:rsidR="00887266" w:rsidRPr="00C12A4B">
        <w:rPr>
          <w:rFonts w:ascii="Times New Roman" w:eastAsia="Times New Roman" w:hAnsi="Times New Roman" w:cs="Times New Roman"/>
          <w:kern w:val="0"/>
          <w:sz w:val="24"/>
          <w:szCs w:val="24"/>
          <w:lang w:val="en-GB"/>
          <w14:ligatures w14:val="none"/>
        </w:rPr>
        <w:t xml:space="preserve">ecently, the </w:t>
      </w:r>
      <w:r w:rsidR="00887266" w:rsidRPr="00C12A4B">
        <w:rPr>
          <w:rFonts w:ascii="Times New Roman" w:eastAsia="Times New Roman" w:hAnsi="Times New Roman" w:cs="Times New Roman"/>
          <w:kern w:val="0"/>
          <w:sz w:val="24"/>
          <w:szCs w:val="24"/>
          <w:lang w:val="en-GB"/>
          <w14:ligatures w14:val="none"/>
        </w:rPr>
        <w:lastRenderedPageBreak/>
        <w:t xml:space="preserve">Constitutional Court asserted the right of a litigant to contest a decision awarded against it despite having settled the writ issued subsequent to that judgement in </w:t>
      </w:r>
      <w:r w:rsidR="00887266" w:rsidRPr="00C12A4B">
        <w:rPr>
          <w:rFonts w:ascii="Times New Roman" w:eastAsia="Times New Roman" w:hAnsi="Times New Roman" w:cs="Times New Roman"/>
          <w:i/>
          <w:iCs/>
          <w:kern w:val="0"/>
          <w:sz w:val="24"/>
          <w:szCs w:val="24"/>
          <w:lang w:val="en-GB"/>
          <w14:ligatures w14:val="none"/>
        </w:rPr>
        <w:t>Zimbabwe Consolidated Diamond Company v Adelcraft Investments (Pvt) Ltd</w:t>
      </w:r>
      <w:r w:rsidR="00887266" w:rsidRPr="00C12A4B">
        <w:rPr>
          <w:rFonts w:ascii="Times New Roman" w:eastAsia="Times New Roman" w:hAnsi="Times New Roman" w:cs="Times New Roman"/>
          <w:kern w:val="0"/>
          <w:sz w:val="24"/>
          <w:szCs w:val="24"/>
          <w:lang w:val="en-GB"/>
          <w14:ligatures w14:val="none"/>
        </w:rPr>
        <w:t xml:space="preserve"> CCZ 2-24.  The point </w:t>
      </w:r>
      <w:r w:rsidR="00887266" w:rsidRPr="00F534FA">
        <w:rPr>
          <w:rFonts w:ascii="Times New Roman" w:eastAsia="Times New Roman" w:hAnsi="Times New Roman" w:cs="Times New Roman"/>
          <w:i/>
          <w:iCs/>
          <w:kern w:val="0"/>
          <w:sz w:val="24"/>
          <w:szCs w:val="24"/>
          <w:lang w:val="en-GB"/>
          <w14:ligatures w14:val="none"/>
        </w:rPr>
        <w:t>in limine</w:t>
      </w:r>
      <w:r w:rsidR="00887266" w:rsidRPr="00C12A4B">
        <w:rPr>
          <w:rFonts w:ascii="Times New Roman" w:eastAsia="Times New Roman" w:hAnsi="Times New Roman" w:cs="Times New Roman"/>
          <w:kern w:val="0"/>
          <w:sz w:val="24"/>
          <w:szCs w:val="24"/>
          <w:lang w:val="en-GB"/>
          <w14:ligatures w14:val="none"/>
        </w:rPr>
        <w:t xml:space="preserve"> is therefore overruled.</w:t>
      </w:r>
    </w:p>
    <w:p w14:paraId="6A63938F" w14:textId="77777777" w:rsidR="00887266" w:rsidRPr="00C12A4B" w:rsidRDefault="00887266" w:rsidP="00C12A4B">
      <w:pPr>
        <w:spacing w:after="0" w:line="360" w:lineRule="auto"/>
        <w:jc w:val="both"/>
        <w:rPr>
          <w:rFonts w:ascii="Times New Roman" w:eastAsia="Times New Roman" w:hAnsi="Times New Roman" w:cs="Times New Roman"/>
          <w:kern w:val="0"/>
          <w:sz w:val="24"/>
          <w:szCs w:val="24"/>
          <w:lang w:val="en-GB"/>
          <w14:ligatures w14:val="none"/>
        </w:rPr>
      </w:pPr>
    </w:p>
    <w:p w14:paraId="4A6A78AD" w14:textId="74960AB9" w:rsidR="00887266" w:rsidRDefault="00887266" w:rsidP="00887266">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r w:rsidR="007A4A3D">
        <w:rPr>
          <w:rFonts w:ascii="Times New Roman" w:eastAsia="Times New Roman" w:hAnsi="Times New Roman" w:cs="Times New Roman"/>
          <w:kern w:val="0"/>
          <w:sz w:val="24"/>
          <w:szCs w:val="24"/>
          <w:lang w:val="en-GB"/>
          <w14:ligatures w14:val="none"/>
        </w:rPr>
        <w:t>3</w:t>
      </w:r>
      <w:r w:rsidR="00460BBD">
        <w:rPr>
          <w:rFonts w:ascii="Times New Roman" w:eastAsia="Times New Roman" w:hAnsi="Times New Roman" w:cs="Times New Roman"/>
          <w:kern w:val="0"/>
          <w:sz w:val="24"/>
          <w:szCs w:val="24"/>
          <w:lang w:val="en-GB"/>
          <w14:ligatures w14:val="none"/>
        </w:rPr>
        <w:t>2</w:t>
      </w:r>
      <w:r w:rsidR="007A4A3D">
        <w:rPr>
          <w:rFonts w:ascii="Times New Roman" w:eastAsia="Times New Roman" w:hAnsi="Times New Roman" w:cs="Times New Roman"/>
          <w:kern w:val="0"/>
          <w:sz w:val="24"/>
          <w:szCs w:val="24"/>
          <w:lang w:val="en-GB"/>
          <w14:ligatures w14:val="none"/>
        </w:rPr>
        <w:t>]</w:t>
      </w:r>
      <w:r>
        <w:rPr>
          <w:rFonts w:ascii="Times New Roman" w:eastAsia="Times New Roman" w:hAnsi="Times New Roman" w:cs="Times New Roman"/>
          <w:kern w:val="0"/>
          <w:sz w:val="24"/>
          <w:szCs w:val="24"/>
          <w:lang w:val="en-GB"/>
          <w14:ligatures w14:val="none"/>
        </w:rPr>
        <w:t xml:space="preserve"> I now address </w:t>
      </w:r>
      <w:r w:rsidR="007A4A3D">
        <w:rPr>
          <w:rFonts w:ascii="Times New Roman" w:eastAsia="Times New Roman" w:hAnsi="Times New Roman" w:cs="Times New Roman"/>
          <w:kern w:val="0"/>
          <w:sz w:val="24"/>
          <w:szCs w:val="24"/>
          <w:lang w:val="en-GB"/>
          <w14:ligatures w14:val="none"/>
        </w:rPr>
        <w:t xml:space="preserve">compositely, the </w:t>
      </w:r>
      <w:r>
        <w:rPr>
          <w:rFonts w:ascii="Times New Roman" w:eastAsia="Times New Roman" w:hAnsi="Times New Roman" w:cs="Times New Roman"/>
          <w:kern w:val="0"/>
          <w:sz w:val="24"/>
          <w:szCs w:val="24"/>
          <w:lang w:val="en-GB"/>
          <w14:ligatures w14:val="none"/>
        </w:rPr>
        <w:t>items (iv) to (</w:t>
      </w:r>
      <w:r w:rsidR="007A4A3D">
        <w:rPr>
          <w:rFonts w:ascii="Times New Roman" w:eastAsia="Times New Roman" w:hAnsi="Times New Roman" w:cs="Times New Roman"/>
          <w:kern w:val="0"/>
          <w:sz w:val="24"/>
          <w:szCs w:val="24"/>
          <w:lang w:val="en-GB"/>
          <w14:ligatures w14:val="none"/>
        </w:rPr>
        <w:t xml:space="preserve">viii) as framed in </w:t>
      </w:r>
      <w:r w:rsidR="007A4A3D" w:rsidRPr="00E71764">
        <w:rPr>
          <w:rFonts w:ascii="Times New Roman" w:eastAsia="Times New Roman" w:hAnsi="Times New Roman" w:cs="Times New Roman"/>
          <w:i/>
          <w:iCs/>
          <w:kern w:val="0"/>
          <w:sz w:val="24"/>
          <w:szCs w:val="24"/>
          <w:lang w:val="en-GB"/>
          <w14:ligatures w14:val="none"/>
        </w:rPr>
        <w:t>Read v Gardiner</w:t>
      </w:r>
      <w:r w:rsidR="007A4A3D">
        <w:rPr>
          <w:rFonts w:ascii="Times New Roman" w:eastAsia="Times New Roman" w:hAnsi="Times New Roman" w:cs="Times New Roman"/>
          <w:kern w:val="0"/>
          <w:sz w:val="24"/>
          <w:szCs w:val="24"/>
          <w:lang w:val="en-GB"/>
          <w14:ligatures w14:val="none"/>
        </w:rPr>
        <w:t>. This matter demonstrates</w:t>
      </w:r>
      <w:r w:rsidR="00C12A4B">
        <w:rPr>
          <w:rFonts w:ascii="Times New Roman" w:eastAsia="Times New Roman" w:hAnsi="Times New Roman" w:cs="Times New Roman"/>
          <w:kern w:val="0"/>
          <w:sz w:val="24"/>
          <w:szCs w:val="24"/>
          <w:lang w:val="en-GB"/>
          <w14:ligatures w14:val="none"/>
        </w:rPr>
        <w:t>,</w:t>
      </w:r>
      <w:r w:rsidR="007A4A3D">
        <w:rPr>
          <w:rFonts w:ascii="Times New Roman" w:eastAsia="Times New Roman" w:hAnsi="Times New Roman" w:cs="Times New Roman"/>
          <w:kern w:val="0"/>
          <w:sz w:val="24"/>
          <w:szCs w:val="24"/>
          <w:lang w:val="en-GB"/>
          <w14:ligatures w14:val="none"/>
        </w:rPr>
        <w:t xml:space="preserve"> once again</w:t>
      </w:r>
      <w:r w:rsidR="00C12A4B">
        <w:rPr>
          <w:rFonts w:ascii="Times New Roman" w:eastAsia="Times New Roman" w:hAnsi="Times New Roman" w:cs="Times New Roman"/>
          <w:kern w:val="0"/>
          <w:sz w:val="24"/>
          <w:szCs w:val="24"/>
          <w:lang w:val="en-GB"/>
          <w14:ligatures w14:val="none"/>
        </w:rPr>
        <w:t>,</w:t>
      </w:r>
      <w:r w:rsidR="007A4A3D">
        <w:rPr>
          <w:rFonts w:ascii="Times New Roman" w:eastAsia="Times New Roman" w:hAnsi="Times New Roman" w:cs="Times New Roman"/>
          <w:kern w:val="0"/>
          <w:sz w:val="24"/>
          <w:szCs w:val="24"/>
          <w:lang w:val="en-GB"/>
          <w14:ligatures w14:val="none"/>
        </w:rPr>
        <w:t xml:space="preserve"> the importance of adhering to rules of court. </w:t>
      </w:r>
      <w:r w:rsidR="00C12A4B">
        <w:rPr>
          <w:rFonts w:ascii="Times New Roman" w:eastAsia="Times New Roman" w:hAnsi="Times New Roman" w:cs="Times New Roman"/>
          <w:kern w:val="0"/>
          <w:sz w:val="24"/>
          <w:szCs w:val="24"/>
          <w:lang w:val="en-GB"/>
          <w14:ligatures w14:val="none"/>
        </w:rPr>
        <w:t xml:space="preserve">The dispute appears to have been a good candidate for resolution </w:t>
      </w:r>
      <w:r w:rsidR="007A4A3D">
        <w:rPr>
          <w:rFonts w:ascii="Times New Roman" w:eastAsia="Times New Roman" w:hAnsi="Times New Roman" w:cs="Times New Roman"/>
          <w:kern w:val="0"/>
          <w:sz w:val="24"/>
          <w:szCs w:val="24"/>
          <w:lang w:val="en-GB"/>
          <w14:ligatures w14:val="none"/>
        </w:rPr>
        <w:t xml:space="preserve">under the case management aegis of the Commercial Court Rules. And without having to proceed to judgment too! </w:t>
      </w:r>
      <w:r>
        <w:rPr>
          <w:rFonts w:ascii="Times New Roman" w:eastAsia="Times New Roman" w:hAnsi="Times New Roman" w:cs="Times New Roman"/>
          <w:kern w:val="0"/>
          <w:sz w:val="24"/>
          <w:szCs w:val="24"/>
          <w:lang w:val="en-GB"/>
          <w14:ligatures w14:val="none"/>
        </w:rPr>
        <w:t xml:space="preserve"> </w:t>
      </w:r>
      <w:r w:rsidR="007A4A3D">
        <w:rPr>
          <w:rFonts w:ascii="Times New Roman" w:eastAsia="Times New Roman" w:hAnsi="Times New Roman" w:cs="Times New Roman"/>
          <w:kern w:val="0"/>
          <w:sz w:val="24"/>
          <w:szCs w:val="24"/>
          <w:lang w:val="en-GB"/>
          <w14:ligatures w14:val="none"/>
        </w:rPr>
        <w:t xml:space="preserve">And on that basis, the opportunity to resolve disputes speedily and amicably was lost. The need for finality to litigation carries a different sting when relating to commercial disputes. </w:t>
      </w:r>
    </w:p>
    <w:p w14:paraId="31644A12" w14:textId="77777777" w:rsidR="007A4A3D" w:rsidRDefault="007A4A3D" w:rsidP="00887266">
      <w:pPr>
        <w:spacing w:after="0" w:line="360" w:lineRule="auto"/>
        <w:jc w:val="both"/>
        <w:rPr>
          <w:rFonts w:ascii="Times New Roman" w:eastAsia="Times New Roman" w:hAnsi="Times New Roman" w:cs="Times New Roman"/>
          <w:kern w:val="0"/>
          <w:sz w:val="24"/>
          <w:szCs w:val="24"/>
          <w:lang w:val="en-GB"/>
          <w14:ligatures w14:val="none"/>
        </w:rPr>
      </w:pPr>
    </w:p>
    <w:p w14:paraId="27899B72" w14:textId="58B88881" w:rsidR="004701B9" w:rsidRDefault="007A4A3D" w:rsidP="00887266">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[ 3</w:t>
      </w:r>
      <w:r w:rsidR="00460BBD">
        <w:rPr>
          <w:rFonts w:ascii="Times New Roman" w:eastAsia="Times New Roman" w:hAnsi="Times New Roman" w:cs="Times New Roman"/>
          <w:kern w:val="0"/>
          <w:sz w:val="24"/>
          <w:szCs w:val="24"/>
          <w:lang w:val="en-GB"/>
          <w14:ligatures w14:val="none"/>
        </w:rPr>
        <w:t>3</w:t>
      </w:r>
      <w:r>
        <w:rPr>
          <w:rFonts w:ascii="Times New Roman" w:eastAsia="Times New Roman" w:hAnsi="Times New Roman" w:cs="Times New Roman"/>
          <w:kern w:val="0"/>
          <w:sz w:val="24"/>
          <w:szCs w:val="24"/>
          <w:lang w:val="en-GB"/>
          <w14:ligatures w14:val="none"/>
        </w:rPr>
        <w:t xml:space="preserve">] That need militates </w:t>
      </w:r>
      <w:r w:rsidR="00E71764">
        <w:rPr>
          <w:rFonts w:ascii="Times New Roman" w:eastAsia="Times New Roman" w:hAnsi="Times New Roman" w:cs="Times New Roman"/>
          <w:kern w:val="0"/>
          <w:sz w:val="24"/>
          <w:szCs w:val="24"/>
          <w:lang w:val="en-GB"/>
          <w14:ligatures w14:val="none"/>
        </w:rPr>
        <w:t xml:space="preserve">against </w:t>
      </w:r>
      <w:r>
        <w:rPr>
          <w:rFonts w:ascii="Times New Roman" w:eastAsia="Times New Roman" w:hAnsi="Times New Roman" w:cs="Times New Roman"/>
          <w:kern w:val="0"/>
          <w:sz w:val="24"/>
          <w:szCs w:val="24"/>
          <w:lang w:val="en-GB"/>
          <w14:ligatures w14:val="none"/>
        </w:rPr>
        <w:t xml:space="preserve">the granting of condonation. Especially weighed against the dereliction noted above and greatly diminished prospects of success. I further take into account the fact that before the court is but a routine landlord and tenant dispute. And one too, whose fundamental controversy has been rendered tepid by performance and execution. </w:t>
      </w:r>
    </w:p>
    <w:p w14:paraId="2C51E7A7" w14:textId="77777777" w:rsidR="004701B9" w:rsidRDefault="004701B9" w:rsidP="00887266">
      <w:pPr>
        <w:spacing w:after="0" w:line="360" w:lineRule="auto"/>
        <w:jc w:val="both"/>
        <w:rPr>
          <w:rFonts w:ascii="Times New Roman" w:eastAsia="Times New Roman" w:hAnsi="Times New Roman" w:cs="Times New Roman"/>
          <w:kern w:val="0"/>
          <w:sz w:val="24"/>
          <w:szCs w:val="24"/>
          <w:lang w:val="en-GB"/>
          <w14:ligatures w14:val="none"/>
        </w:rPr>
      </w:pPr>
    </w:p>
    <w:p w14:paraId="43A4D68B" w14:textId="651D339D" w:rsidR="007A4A3D" w:rsidRDefault="004701B9" w:rsidP="00887266">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DISPOSITION</w:t>
      </w:r>
    </w:p>
    <w:p w14:paraId="56388554" w14:textId="700174BE" w:rsidR="007A4A3D" w:rsidRDefault="00460BBD" w:rsidP="00887266">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[ 34] </w:t>
      </w:r>
      <w:r w:rsidR="004701B9">
        <w:rPr>
          <w:rFonts w:ascii="Times New Roman" w:eastAsia="Times New Roman" w:hAnsi="Times New Roman" w:cs="Times New Roman"/>
          <w:kern w:val="0"/>
          <w:sz w:val="24"/>
          <w:szCs w:val="24"/>
          <w:lang w:val="en-GB"/>
          <w14:ligatures w14:val="none"/>
        </w:rPr>
        <w:t xml:space="preserve">In the premises, the applicant herein has been unable to fulfil the requirements justifying a reprieve by this court. Accordingly, it is hereby </w:t>
      </w:r>
      <w:r w:rsidR="00E71764">
        <w:rPr>
          <w:rFonts w:ascii="Times New Roman" w:eastAsia="Times New Roman" w:hAnsi="Times New Roman" w:cs="Times New Roman"/>
          <w:kern w:val="0"/>
          <w:sz w:val="24"/>
          <w:szCs w:val="24"/>
          <w:lang w:val="en-GB"/>
          <w14:ligatures w14:val="none"/>
        </w:rPr>
        <w:t>ordered; -</w:t>
      </w:r>
    </w:p>
    <w:p w14:paraId="2BC502D9" w14:textId="77777777" w:rsidR="004701B9" w:rsidRDefault="004701B9" w:rsidP="00887266">
      <w:pPr>
        <w:spacing w:after="0" w:line="360" w:lineRule="auto"/>
        <w:jc w:val="both"/>
        <w:rPr>
          <w:rFonts w:ascii="Times New Roman" w:eastAsia="Times New Roman" w:hAnsi="Times New Roman" w:cs="Times New Roman"/>
          <w:kern w:val="0"/>
          <w:sz w:val="24"/>
          <w:szCs w:val="24"/>
          <w:lang w:val="en-GB"/>
          <w14:ligatures w14:val="none"/>
        </w:rPr>
      </w:pPr>
    </w:p>
    <w:p w14:paraId="3D967522" w14:textId="29C9153F" w:rsidR="00460BBD" w:rsidRPr="00C12A4B" w:rsidRDefault="004701B9" w:rsidP="00C12A4B">
      <w:pPr>
        <w:pStyle w:val="ListParagraph"/>
        <w:numPr>
          <w:ilvl w:val="0"/>
          <w:numId w:val="7"/>
        </w:numPr>
        <w:spacing w:after="0" w:line="360" w:lineRule="auto"/>
        <w:jc w:val="both"/>
        <w:rPr>
          <w:rFonts w:ascii="Times New Roman" w:eastAsia="Times New Roman" w:hAnsi="Times New Roman" w:cs="Times New Roman"/>
          <w:kern w:val="0"/>
          <w:sz w:val="24"/>
          <w:szCs w:val="24"/>
          <w:lang w:val="en-GB"/>
          <w14:ligatures w14:val="none"/>
        </w:rPr>
      </w:pPr>
      <w:r w:rsidRPr="00C12A4B">
        <w:rPr>
          <w:rFonts w:ascii="Times New Roman" w:eastAsia="Times New Roman" w:hAnsi="Times New Roman" w:cs="Times New Roman"/>
          <w:kern w:val="0"/>
          <w:sz w:val="24"/>
          <w:szCs w:val="24"/>
          <w:lang w:val="en-GB"/>
          <w14:ligatures w14:val="none"/>
        </w:rPr>
        <w:t xml:space="preserve">That the application for condonation for failure to </w:t>
      </w:r>
      <w:r w:rsidR="009075F7">
        <w:rPr>
          <w:rFonts w:ascii="Times New Roman" w:eastAsia="Times New Roman" w:hAnsi="Times New Roman" w:cs="Times New Roman"/>
          <w:kern w:val="0"/>
          <w:sz w:val="24"/>
          <w:szCs w:val="24"/>
          <w:lang w:val="en-GB"/>
          <w14:ligatures w14:val="none"/>
        </w:rPr>
        <w:t xml:space="preserve">file the application for rescission of judgment as prescribed by </w:t>
      </w:r>
      <w:r w:rsidRPr="00C12A4B">
        <w:rPr>
          <w:rFonts w:ascii="Times New Roman" w:eastAsia="Times New Roman" w:hAnsi="Times New Roman" w:cs="Times New Roman"/>
          <w:kern w:val="0"/>
          <w:sz w:val="24"/>
          <w:szCs w:val="24"/>
          <w:lang w:val="en-GB"/>
          <w14:ligatures w14:val="none"/>
        </w:rPr>
        <w:t xml:space="preserve">rule </w:t>
      </w:r>
      <w:r w:rsidR="009075F7">
        <w:rPr>
          <w:rFonts w:ascii="Times New Roman" w:eastAsia="Times New Roman" w:hAnsi="Times New Roman" w:cs="Times New Roman"/>
          <w:kern w:val="0"/>
          <w:sz w:val="24"/>
          <w:szCs w:val="24"/>
          <w:lang w:val="en-GB"/>
          <w14:ligatures w14:val="none"/>
        </w:rPr>
        <w:t xml:space="preserve">15 (1) of the High Court (Commercial Division) Rules SI 323/20 </w:t>
      </w:r>
      <w:r w:rsidRPr="00C12A4B">
        <w:rPr>
          <w:rFonts w:ascii="Times New Roman" w:eastAsia="Times New Roman" w:hAnsi="Times New Roman" w:cs="Times New Roman"/>
          <w:kern w:val="0"/>
          <w:sz w:val="24"/>
          <w:szCs w:val="24"/>
          <w:lang w:val="en-GB"/>
          <w14:ligatures w14:val="none"/>
        </w:rPr>
        <w:t>be and is hereby dismissed with costs.</w:t>
      </w:r>
    </w:p>
    <w:p w14:paraId="52E8A8EA" w14:textId="77777777" w:rsidR="00460BBD" w:rsidRDefault="00460BBD" w:rsidP="00887266">
      <w:pPr>
        <w:spacing w:after="0" w:line="360" w:lineRule="auto"/>
        <w:jc w:val="both"/>
        <w:rPr>
          <w:rFonts w:ascii="Times New Roman" w:eastAsia="Times New Roman" w:hAnsi="Times New Roman" w:cs="Times New Roman"/>
          <w:kern w:val="0"/>
          <w:sz w:val="24"/>
          <w:szCs w:val="24"/>
          <w:lang w:val="en-GB"/>
          <w14:ligatures w14:val="none"/>
        </w:rPr>
      </w:pPr>
    </w:p>
    <w:p w14:paraId="4EB18D3C" w14:textId="02B00697" w:rsidR="00460BBD" w:rsidRDefault="00460BBD" w:rsidP="00887266">
      <w:pPr>
        <w:spacing w:after="0" w:line="360" w:lineRule="auto"/>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i/>
          <w:iCs/>
          <w:kern w:val="0"/>
          <w:sz w:val="24"/>
          <w:szCs w:val="24"/>
          <w:lang w:val="en-GB"/>
          <w14:ligatures w14:val="none"/>
        </w:rPr>
        <w:t>Kantor &amp; Immerman</w:t>
      </w:r>
      <w:r>
        <w:rPr>
          <w:rFonts w:ascii="Times New Roman" w:eastAsia="Times New Roman" w:hAnsi="Times New Roman" w:cs="Times New Roman"/>
          <w:kern w:val="0"/>
          <w:sz w:val="24"/>
          <w:szCs w:val="24"/>
          <w:lang w:val="en-GB"/>
          <w14:ligatures w14:val="none"/>
        </w:rPr>
        <w:t xml:space="preserve">-applicant`s legal practitioners </w:t>
      </w:r>
    </w:p>
    <w:p w14:paraId="3F1B334A" w14:textId="2AFB6C07" w:rsidR="00460BBD" w:rsidRDefault="00460BBD" w:rsidP="00887266">
      <w:pPr>
        <w:spacing w:after="0" w:line="360" w:lineRule="auto"/>
        <w:jc w:val="both"/>
        <w:rPr>
          <w:rFonts w:ascii="Times New Roman" w:eastAsia="Times New Roman" w:hAnsi="Times New Roman" w:cs="Times New Roman"/>
          <w:kern w:val="0"/>
          <w:sz w:val="24"/>
          <w:szCs w:val="24"/>
          <w:lang w:val="en-GB"/>
          <w14:ligatures w14:val="none"/>
        </w:rPr>
      </w:pPr>
      <w:r w:rsidRPr="00460BBD">
        <w:rPr>
          <w:rFonts w:ascii="Times New Roman" w:eastAsia="Times New Roman" w:hAnsi="Times New Roman" w:cs="Times New Roman"/>
          <w:i/>
          <w:iCs/>
          <w:kern w:val="0"/>
          <w:sz w:val="24"/>
          <w:szCs w:val="24"/>
          <w:lang w:val="en-GB"/>
          <w14:ligatures w14:val="none"/>
        </w:rPr>
        <w:t>Chimuka Mafunga</w:t>
      </w:r>
      <w:r>
        <w:rPr>
          <w:rFonts w:ascii="Times New Roman" w:eastAsia="Times New Roman" w:hAnsi="Times New Roman" w:cs="Times New Roman"/>
          <w:kern w:val="0"/>
          <w:sz w:val="24"/>
          <w:szCs w:val="24"/>
          <w:lang w:val="en-GB"/>
          <w14:ligatures w14:val="none"/>
        </w:rPr>
        <w:t>-respondent`s legal practitioners</w:t>
      </w:r>
    </w:p>
    <w:p w14:paraId="6F70324A" w14:textId="77777777" w:rsidR="00460BBD" w:rsidRDefault="00460BBD" w:rsidP="00887266">
      <w:pPr>
        <w:spacing w:after="0" w:line="360" w:lineRule="auto"/>
        <w:jc w:val="both"/>
        <w:rPr>
          <w:rFonts w:ascii="Times New Roman" w:eastAsia="Times New Roman" w:hAnsi="Times New Roman" w:cs="Times New Roman"/>
          <w:kern w:val="0"/>
          <w:sz w:val="24"/>
          <w:szCs w:val="24"/>
          <w:lang w:val="en-GB"/>
          <w14:ligatures w14:val="none"/>
        </w:rPr>
      </w:pPr>
    </w:p>
    <w:p w14:paraId="28DCB380" w14:textId="4A9FE01F" w:rsidR="00460BBD" w:rsidRPr="00F534FA" w:rsidRDefault="00460BBD" w:rsidP="00887266">
      <w:pPr>
        <w:spacing w:after="0" w:line="360" w:lineRule="auto"/>
        <w:jc w:val="both"/>
        <w:rPr>
          <w:rFonts w:ascii="Times New Roman" w:eastAsia="Times New Roman" w:hAnsi="Times New Roman" w:cs="Times New Roman"/>
          <w:kern w:val="0"/>
          <w:sz w:val="20"/>
          <w:szCs w:val="20"/>
          <w:lang w:val="en-GB"/>
          <w14:ligatures w14:val="none"/>
        </w:rPr>
      </w:pPr>
      <w:r w:rsidRPr="00F534FA">
        <w:rPr>
          <w:rFonts w:ascii="Times New Roman" w:eastAsia="Times New Roman" w:hAnsi="Times New Roman" w:cs="Times New Roman"/>
          <w:kern w:val="0"/>
          <w:sz w:val="20"/>
          <w:szCs w:val="20"/>
          <w:lang w:val="en-GB"/>
          <w14:ligatures w14:val="none"/>
        </w:rPr>
        <w:t xml:space="preserve">                                                                                             [ CHILIMBE J____28/2/24]</w:t>
      </w:r>
    </w:p>
    <w:p w14:paraId="58AD568E" w14:textId="77777777" w:rsidR="007A4A3D" w:rsidRDefault="007A4A3D" w:rsidP="00887266">
      <w:pPr>
        <w:spacing w:after="0" w:line="360" w:lineRule="auto"/>
        <w:jc w:val="both"/>
        <w:rPr>
          <w:rFonts w:ascii="Times New Roman" w:eastAsia="Times New Roman" w:hAnsi="Times New Roman" w:cs="Times New Roman"/>
          <w:kern w:val="0"/>
          <w:sz w:val="24"/>
          <w:szCs w:val="24"/>
          <w:lang w:val="en-GB"/>
          <w14:ligatures w14:val="none"/>
        </w:rPr>
      </w:pPr>
    </w:p>
    <w:p w14:paraId="3B081766" w14:textId="08395650" w:rsidR="00313ED6" w:rsidRDefault="007F3BDC" w:rsidP="005A3214">
      <w:pPr>
        <w:spacing w:after="0" w:line="36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 </w:t>
      </w:r>
    </w:p>
    <w:p w14:paraId="1C52B12B" w14:textId="77777777" w:rsidR="00313ED6" w:rsidRDefault="00313ED6" w:rsidP="005A3214">
      <w:pPr>
        <w:spacing w:after="0" w:line="360" w:lineRule="auto"/>
        <w:jc w:val="both"/>
        <w:rPr>
          <w:rFonts w:ascii="Times New Roman" w:eastAsia="Times New Roman" w:hAnsi="Times New Roman" w:cs="Times New Roman"/>
          <w:kern w:val="0"/>
          <w:sz w:val="24"/>
          <w:szCs w:val="24"/>
          <w:lang w:val="en-GB"/>
          <w14:ligatures w14:val="none"/>
        </w:rPr>
      </w:pPr>
    </w:p>
    <w:p w14:paraId="3F5D0005" w14:textId="77777777" w:rsidR="00063852" w:rsidRDefault="00063852" w:rsidP="005A3214">
      <w:pPr>
        <w:spacing w:after="0" w:line="360" w:lineRule="auto"/>
        <w:jc w:val="both"/>
        <w:rPr>
          <w:rFonts w:ascii="Times New Roman" w:eastAsia="Times New Roman" w:hAnsi="Times New Roman" w:cs="Times New Roman"/>
          <w:kern w:val="0"/>
          <w:sz w:val="24"/>
          <w:szCs w:val="24"/>
          <w:lang w:val="en-GB"/>
          <w14:ligatures w14:val="none"/>
        </w:rPr>
      </w:pPr>
    </w:p>
    <w:p w14:paraId="59D4F61A" w14:textId="77777777" w:rsidR="00063852" w:rsidRDefault="00063852" w:rsidP="005A3214">
      <w:pPr>
        <w:spacing w:after="0" w:line="360" w:lineRule="auto"/>
        <w:jc w:val="both"/>
        <w:rPr>
          <w:rFonts w:ascii="Times New Roman" w:eastAsia="Times New Roman" w:hAnsi="Times New Roman" w:cs="Times New Roman"/>
          <w:kern w:val="0"/>
          <w:sz w:val="24"/>
          <w:szCs w:val="24"/>
          <w:lang w:val="en-GB"/>
          <w14:ligatures w14:val="none"/>
        </w:rPr>
      </w:pPr>
    </w:p>
    <w:p w14:paraId="0027CA49" w14:textId="6B68ACF7" w:rsidR="005A3214" w:rsidRPr="00B757D8" w:rsidRDefault="005A3214" w:rsidP="00DC5446">
      <w:pPr>
        <w:pStyle w:val="NoSpacing"/>
        <w:spacing w:line="360" w:lineRule="auto"/>
        <w:jc w:val="both"/>
        <w:rPr>
          <w:rFonts w:ascii="Times New Roman" w:hAnsi="Times New Roman" w:cs="Times New Roman"/>
          <w:sz w:val="24"/>
          <w:szCs w:val="24"/>
        </w:rPr>
      </w:pPr>
    </w:p>
    <w:sectPr w:rsidR="005A3214" w:rsidRPr="00B757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A9B9" w14:textId="77777777" w:rsidR="00705F8F" w:rsidRDefault="00705F8F" w:rsidP="003E397B">
      <w:pPr>
        <w:spacing w:after="0" w:line="240" w:lineRule="auto"/>
      </w:pPr>
      <w:r>
        <w:separator/>
      </w:r>
    </w:p>
  </w:endnote>
  <w:endnote w:type="continuationSeparator" w:id="0">
    <w:p w14:paraId="28059D42" w14:textId="77777777" w:rsidR="00705F8F" w:rsidRDefault="00705F8F" w:rsidP="003E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A3C37" w14:textId="77777777" w:rsidR="00705F8F" w:rsidRDefault="00705F8F" w:rsidP="003E397B">
      <w:pPr>
        <w:spacing w:after="0" w:line="240" w:lineRule="auto"/>
      </w:pPr>
      <w:r>
        <w:separator/>
      </w:r>
    </w:p>
  </w:footnote>
  <w:footnote w:type="continuationSeparator" w:id="0">
    <w:p w14:paraId="737FF9F9" w14:textId="77777777" w:rsidR="00705F8F" w:rsidRDefault="00705F8F" w:rsidP="003E397B">
      <w:pPr>
        <w:spacing w:after="0" w:line="240" w:lineRule="auto"/>
      </w:pPr>
      <w:r>
        <w:continuationSeparator/>
      </w:r>
    </w:p>
  </w:footnote>
  <w:footnote w:id="1">
    <w:p w14:paraId="575FD7EA" w14:textId="23BEA18A" w:rsidR="00981349" w:rsidRPr="006D4DCA" w:rsidRDefault="00981349" w:rsidP="00981349">
      <w:pPr>
        <w:pStyle w:val="FootnoteText"/>
        <w:jc w:val="both"/>
        <w:rPr>
          <w:rFonts w:cstheme="minorHAnsi"/>
          <w:sz w:val="18"/>
          <w:szCs w:val="18"/>
        </w:rPr>
      </w:pPr>
      <w:r>
        <w:rPr>
          <w:rStyle w:val="FootnoteReference"/>
        </w:rPr>
        <w:footnoteRef/>
      </w:r>
      <w:r>
        <w:t xml:space="preserve"> </w:t>
      </w:r>
      <w:r w:rsidRPr="006D4DCA">
        <w:rPr>
          <w:rFonts w:cstheme="minorHAnsi"/>
          <w:sz w:val="18"/>
          <w:szCs w:val="18"/>
        </w:rPr>
        <w:t>The court referred inter-alia to</w:t>
      </w:r>
      <w:r w:rsidRPr="006D4DCA">
        <w:rPr>
          <w:rFonts w:eastAsia="Calibri" w:cstheme="minorHAnsi"/>
          <w:kern w:val="0"/>
          <w:sz w:val="18"/>
          <w:szCs w:val="18"/>
          <w:lang w:val="en-US"/>
          <w14:ligatures w14:val="none"/>
        </w:rPr>
        <w:t xml:space="preserve"> </w:t>
      </w:r>
      <w:r w:rsidRPr="006D4DCA">
        <w:rPr>
          <w:rFonts w:eastAsia="Calibri" w:cstheme="minorHAnsi"/>
          <w:i/>
          <w:iCs/>
          <w:kern w:val="0"/>
          <w:sz w:val="18"/>
          <w:szCs w:val="18"/>
          <w:lang w:val="en-US"/>
          <w14:ligatures w14:val="none"/>
        </w:rPr>
        <w:t>Environmental Management Agency and Director General, Environmental Management Agency v Angel Hill Mining Company (Pvt) Ltd</w:t>
      </w:r>
      <w:r w:rsidRPr="006D4DCA">
        <w:rPr>
          <w:rFonts w:eastAsia="Calibri" w:cstheme="minorHAnsi"/>
          <w:kern w:val="0"/>
          <w:sz w:val="18"/>
          <w:szCs w:val="18"/>
          <w:lang w:val="en-US"/>
          <w14:ligatures w14:val="none"/>
        </w:rPr>
        <w:t xml:space="preserve"> HH 706-21, and </w:t>
      </w:r>
      <w:r w:rsidRPr="006D4DCA">
        <w:rPr>
          <w:rFonts w:eastAsia="Calibri" w:cstheme="minorHAnsi"/>
          <w:i/>
          <w:iCs/>
          <w:kern w:val="0"/>
          <w:sz w:val="18"/>
          <w:szCs w:val="18"/>
          <w:lang w:val="en-US"/>
          <w14:ligatures w14:val="none"/>
        </w:rPr>
        <w:t>Pauline Mandigo v Tadzoka Paswarayi &amp; Ors</w:t>
      </w:r>
      <w:r w:rsidRPr="006D4DCA">
        <w:rPr>
          <w:rFonts w:eastAsia="Calibri" w:cstheme="minorHAnsi"/>
          <w:kern w:val="0"/>
          <w:sz w:val="18"/>
          <w:szCs w:val="18"/>
          <w:lang w:val="en-US"/>
          <w14:ligatures w14:val="none"/>
        </w:rPr>
        <w:t xml:space="preserve"> HH 244-18.</w:t>
      </w:r>
      <w:r w:rsidR="00634BC5" w:rsidRPr="006D4DCA">
        <w:rPr>
          <w:rFonts w:eastAsia="Calibri" w:cstheme="minorHAnsi"/>
          <w:kern w:val="0"/>
          <w:sz w:val="18"/>
          <w:szCs w:val="18"/>
          <w:lang w:val="en-US"/>
          <w14:ligatures w14:val="none"/>
        </w:rPr>
        <w:t xml:space="preserve"> See also </w:t>
      </w:r>
      <w:r w:rsidR="00634BC5" w:rsidRPr="006D4DCA">
        <w:rPr>
          <w:rFonts w:eastAsia="Calibri" w:cstheme="minorHAnsi"/>
          <w:i/>
          <w:iCs/>
          <w:kern w:val="0"/>
          <w:sz w:val="18"/>
          <w:szCs w:val="18"/>
          <w:lang w:val="en-US"/>
          <w14:ligatures w14:val="none"/>
        </w:rPr>
        <w:t>Redan Gas (Pvt) Ltd v Mashora</w:t>
      </w:r>
      <w:r w:rsidR="00634BC5" w:rsidRPr="006D4DCA">
        <w:rPr>
          <w:rFonts w:eastAsia="Calibri" w:cstheme="minorHAnsi"/>
          <w:kern w:val="0"/>
          <w:sz w:val="18"/>
          <w:szCs w:val="18"/>
          <w:lang w:val="en-US"/>
          <w14:ligatures w14:val="none"/>
        </w:rPr>
        <w:t xml:space="preserve"> HH 702-22; </w:t>
      </w:r>
      <w:r w:rsidR="00634BC5" w:rsidRPr="006D4DCA">
        <w:rPr>
          <w:rFonts w:eastAsia="Calibri" w:cstheme="minorHAnsi"/>
          <w:i/>
          <w:iCs/>
          <w:kern w:val="0"/>
          <w:sz w:val="18"/>
          <w:szCs w:val="18"/>
          <w:lang w:val="en-US"/>
          <w14:ligatures w14:val="none"/>
        </w:rPr>
        <w:t>Jefferson Banda &amp; Ors v Walter Taranhike &amp; Ors</w:t>
      </w:r>
      <w:r w:rsidR="00634BC5" w:rsidRPr="006D4DCA">
        <w:rPr>
          <w:rFonts w:eastAsia="Calibri" w:cstheme="minorHAnsi"/>
          <w:kern w:val="0"/>
          <w:sz w:val="18"/>
          <w:szCs w:val="18"/>
          <w:lang w:val="en-US"/>
          <w14:ligatures w14:val="none"/>
        </w:rPr>
        <w:t xml:space="preserve"> HH 875-</w:t>
      </w:r>
      <w:r w:rsidR="004B16B3" w:rsidRPr="006D4DCA">
        <w:rPr>
          <w:rFonts w:eastAsia="Calibri" w:cstheme="minorHAnsi"/>
          <w:kern w:val="0"/>
          <w:sz w:val="18"/>
          <w:szCs w:val="18"/>
          <w:lang w:val="en-US"/>
          <w14:ligatures w14:val="none"/>
        </w:rPr>
        <w:t>22; and</w:t>
      </w:r>
      <w:r w:rsidR="006D4DCA" w:rsidRPr="006D4DCA">
        <w:rPr>
          <w:rFonts w:eastAsia="Calibri" w:cstheme="minorHAnsi"/>
          <w:kern w:val="0"/>
          <w:sz w:val="18"/>
          <w:szCs w:val="18"/>
          <w:lang w:val="en-US"/>
          <w14:ligatures w14:val="none"/>
        </w:rPr>
        <w:t xml:space="preserve"> </w:t>
      </w:r>
      <w:r w:rsidR="004B16B3" w:rsidRPr="006D4DCA">
        <w:rPr>
          <w:rFonts w:eastAsia="Calibri" w:cstheme="minorHAnsi"/>
          <w:kern w:val="0"/>
          <w:sz w:val="18"/>
          <w:szCs w:val="18"/>
          <w:lang w:val="en-US"/>
          <w14:ligatures w14:val="none"/>
        </w:rPr>
        <w:t>also,</w:t>
      </w:r>
      <w:r w:rsidR="006D4DCA" w:rsidRPr="006D4DCA">
        <w:rPr>
          <w:rFonts w:eastAsia="Calibri" w:cstheme="minorHAnsi"/>
          <w:kern w:val="0"/>
          <w:sz w:val="18"/>
          <w:szCs w:val="18"/>
          <w:lang w:val="en-US"/>
          <w14:ligatures w14:val="none"/>
        </w:rPr>
        <w:t xml:space="preserve"> comparatively </w:t>
      </w:r>
      <w:r w:rsidR="006D4DCA" w:rsidRPr="006D4DCA">
        <w:rPr>
          <w:rFonts w:eastAsia="Calibri" w:cstheme="minorHAnsi"/>
          <w:i/>
          <w:iCs/>
          <w:kern w:val="0"/>
          <w:sz w:val="18"/>
          <w:szCs w:val="18"/>
          <w:lang w:val="en-US"/>
          <w14:ligatures w14:val="none"/>
        </w:rPr>
        <w:t>Tendai</w:t>
      </w:r>
      <w:r w:rsidR="00634BC5" w:rsidRPr="006D4DCA">
        <w:rPr>
          <w:rFonts w:eastAsia="Calibri" w:cstheme="minorHAnsi"/>
          <w:i/>
          <w:iCs/>
          <w:kern w:val="0"/>
          <w:sz w:val="18"/>
          <w:szCs w:val="18"/>
          <w:lang w:val="en-US"/>
          <w14:ligatures w14:val="none"/>
        </w:rPr>
        <w:t xml:space="preserve"> Richman Chigodora v The State</w:t>
      </w:r>
      <w:r w:rsidR="00634BC5" w:rsidRPr="006D4DCA">
        <w:rPr>
          <w:rFonts w:eastAsia="Calibri" w:cstheme="minorHAnsi"/>
          <w:kern w:val="0"/>
          <w:sz w:val="18"/>
          <w:szCs w:val="18"/>
          <w:lang w:val="en-US"/>
          <w14:ligatures w14:val="none"/>
        </w:rPr>
        <w:t xml:space="preserve"> HH 47-</w:t>
      </w:r>
      <w:r w:rsidR="006D4DCA" w:rsidRPr="006D4DCA">
        <w:rPr>
          <w:rFonts w:eastAsia="Calibri" w:cstheme="minorHAnsi"/>
          <w:kern w:val="0"/>
          <w:sz w:val="18"/>
          <w:szCs w:val="18"/>
          <w:lang w:val="en-US"/>
          <w14:ligatures w14:val="none"/>
        </w:rPr>
        <w:t xml:space="preserve">20; </w:t>
      </w:r>
      <w:r w:rsidR="006D4DCA" w:rsidRPr="006D4DCA">
        <w:rPr>
          <w:rFonts w:eastAsia="Calibri" w:cstheme="minorHAnsi"/>
          <w:i/>
          <w:iCs/>
          <w:kern w:val="0"/>
          <w:sz w:val="18"/>
          <w:szCs w:val="18"/>
          <w:lang w:val="en-US"/>
          <w14:ligatures w14:val="none"/>
        </w:rPr>
        <w:t>Moyo</w:t>
      </w:r>
      <w:r w:rsidR="00634BC5" w:rsidRPr="006D4DCA">
        <w:rPr>
          <w:rFonts w:eastAsia="Calibri" w:cstheme="minorHAnsi"/>
          <w:i/>
          <w:iCs/>
          <w:kern w:val="0"/>
          <w:sz w:val="18"/>
          <w:szCs w:val="18"/>
          <w:lang w:val="en-US"/>
          <w14:ligatures w14:val="none"/>
        </w:rPr>
        <w:t xml:space="preserve"> v Moyo &amp; 2 Ors</w:t>
      </w:r>
      <w:r w:rsidR="00634BC5" w:rsidRPr="006D4DCA">
        <w:rPr>
          <w:rFonts w:eastAsia="Calibri" w:cstheme="minorHAnsi"/>
          <w:kern w:val="0"/>
          <w:sz w:val="18"/>
          <w:szCs w:val="18"/>
          <w:lang w:val="en-US"/>
          <w14:ligatures w14:val="none"/>
        </w:rPr>
        <w:t xml:space="preserve"> HB 33-</w:t>
      </w:r>
      <w:r w:rsidR="004B16B3" w:rsidRPr="006D4DCA">
        <w:rPr>
          <w:rFonts w:eastAsia="Calibri" w:cstheme="minorHAnsi"/>
          <w:kern w:val="0"/>
          <w:sz w:val="18"/>
          <w:szCs w:val="18"/>
          <w:lang w:val="en-US"/>
          <w14:ligatures w14:val="none"/>
        </w:rPr>
        <w:t>06.</w:t>
      </w:r>
    </w:p>
  </w:footnote>
  <w:footnote w:id="2">
    <w:p w14:paraId="69365C2E" w14:textId="3FED3299" w:rsidR="00641761" w:rsidRDefault="00641761">
      <w:pPr>
        <w:pStyle w:val="FootnoteText"/>
      </w:pPr>
      <w:r>
        <w:rPr>
          <w:rStyle w:val="FootnoteReference"/>
        </w:rPr>
        <w:footnoteRef/>
      </w:r>
      <w:r>
        <w:t xml:space="preserve"> Cited with approval in </w:t>
      </w:r>
      <w:r w:rsidRPr="00641761">
        <w:rPr>
          <w:i/>
          <w:iCs/>
        </w:rPr>
        <w:t>Read v Gardiner</w:t>
      </w:r>
      <w:r>
        <w:t xml:space="preserve"> (supra).</w:t>
      </w:r>
    </w:p>
  </w:footnote>
  <w:footnote w:id="3">
    <w:p w14:paraId="470D602D" w14:textId="5B6CCE03" w:rsidR="004B07C5" w:rsidRPr="004B07C5" w:rsidRDefault="004B07C5">
      <w:pPr>
        <w:pStyle w:val="FootnoteText"/>
        <w:rPr>
          <w:rFonts w:cstheme="minorHAnsi"/>
        </w:rPr>
      </w:pPr>
      <w:r>
        <w:rPr>
          <w:rStyle w:val="FootnoteReference"/>
        </w:rPr>
        <w:footnoteRef/>
      </w:r>
      <w:r>
        <w:t xml:space="preserve"> </w:t>
      </w:r>
      <w:r w:rsidRPr="004B07C5">
        <w:rPr>
          <w:rFonts w:cstheme="minorHAnsi"/>
        </w:rPr>
        <w:t xml:space="preserve">The learned judge was restating his remarks in an earlier decision being </w:t>
      </w:r>
      <w:r w:rsidRPr="004B07C5">
        <w:rPr>
          <w:rFonts w:cstheme="minorHAnsi"/>
          <w:i/>
          <w:iCs/>
        </w:rPr>
        <w:t>Kwaramba</w:t>
      </w:r>
      <w:r w:rsidRPr="004B07C5">
        <w:rPr>
          <w:rFonts w:eastAsia="Calibri" w:cstheme="minorHAnsi"/>
          <w:i/>
          <w:iCs/>
          <w:kern w:val="0"/>
          <w:lang w:val="en-US"/>
          <w14:ligatures w14:val="none"/>
        </w:rPr>
        <w:t xml:space="preserve"> v Winshop Enterprises</w:t>
      </w:r>
      <w:r w:rsidRPr="004B07C5">
        <w:rPr>
          <w:rFonts w:eastAsia="Calibri" w:cstheme="minorHAnsi"/>
          <w:i/>
          <w:kern w:val="0"/>
          <w:lang w:val="en-US"/>
          <w14:ligatures w14:val="none"/>
        </w:rPr>
        <w:t xml:space="preserve"> (Pvt) Ltd and others</w:t>
      </w:r>
      <w:r w:rsidRPr="004B07C5">
        <w:rPr>
          <w:rFonts w:eastAsia="Calibri" w:cstheme="minorHAnsi"/>
          <w:kern w:val="0"/>
          <w:lang w:val="en-US"/>
          <w14:ligatures w14:val="none"/>
        </w:rPr>
        <w:t xml:space="preserve"> HC 788/15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443122766"/>
      <w:docPartObj>
        <w:docPartGallery w:val="Page Numbers (Top of Page)"/>
        <w:docPartUnique/>
      </w:docPartObj>
    </w:sdtPr>
    <w:sdtEndPr>
      <w:rPr>
        <w:noProof/>
      </w:rPr>
    </w:sdtEndPr>
    <w:sdtContent>
      <w:p w14:paraId="56853DC0" w14:textId="549AA017" w:rsidR="003E397B" w:rsidRPr="004D72E7" w:rsidRDefault="003E397B" w:rsidP="003E397B">
        <w:pPr>
          <w:pStyle w:val="Header"/>
          <w:jc w:val="right"/>
          <w:rPr>
            <w:b/>
            <w:bCs/>
            <w:noProof/>
            <w:sz w:val="20"/>
            <w:szCs w:val="20"/>
          </w:rPr>
        </w:pPr>
        <w:r w:rsidRPr="004D72E7">
          <w:rPr>
            <w:b/>
            <w:bCs/>
            <w:sz w:val="20"/>
            <w:szCs w:val="20"/>
          </w:rPr>
          <w:fldChar w:fldCharType="begin"/>
        </w:r>
        <w:r w:rsidRPr="004D72E7">
          <w:rPr>
            <w:b/>
            <w:bCs/>
            <w:sz w:val="20"/>
            <w:szCs w:val="20"/>
          </w:rPr>
          <w:instrText xml:space="preserve"> PAGE   \* MERGEFORMAT </w:instrText>
        </w:r>
        <w:r w:rsidRPr="004D72E7">
          <w:rPr>
            <w:b/>
            <w:bCs/>
            <w:sz w:val="20"/>
            <w:szCs w:val="20"/>
          </w:rPr>
          <w:fldChar w:fldCharType="separate"/>
        </w:r>
        <w:r w:rsidR="00C176B7">
          <w:rPr>
            <w:b/>
            <w:bCs/>
            <w:noProof/>
            <w:sz w:val="20"/>
            <w:szCs w:val="20"/>
          </w:rPr>
          <w:t>1</w:t>
        </w:r>
        <w:r w:rsidRPr="004D72E7">
          <w:rPr>
            <w:b/>
            <w:bCs/>
            <w:noProof/>
            <w:sz w:val="20"/>
            <w:szCs w:val="20"/>
          </w:rPr>
          <w:fldChar w:fldCharType="end"/>
        </w:r>
      </w:p>
      <w:p w14:paraId="25E14B3E" w14:textId="7F41AE43" w:rsidR="003E397B" w:rsidRPr="004D72E7" w:rsidRDefault="003E397B" w:rsidP="003E397B">
        <w:pPr>
          <w:pStyle w:val="Header"/>
          <w:rPr>
            <w:b/>
            <w:bCs/>
            <w:noProof/>
            <w:sz w:val="20"/>
            <w:szCs w:val="20"/>
          </w:rPr>
        </w:pPr>
        <w:r w:rsidRPr="004D72E7">
          <w:rPr>
            <w:b/>
            <w:bCs/>
            <w:noProof/>
            <w:sz w:val="20"/>
            <w:szCs w:val="20"/>
          </w:rPr>
          <w:t>HH</w:t>
        </w:r>
        <w:r w:rsidR="004D72E7" w:rsidRPr="004D72E7">
          <w:rPr>
            <w:b/>
            <w:bCs/>
            <w:noProof/>
            <w:sz w:val="20"/>
            <w:szCs w:val="20"/>
          </w:rPr>
          <w:t xml:space="preserve"> 77-24</w:t>
        </w:r>
      </w:p>
      <w:p w14:paraId="5E060C76" w14:textId="62AF41E2" w:rsidR="003E397B" w:rsidRPr="004D72E7" w:rsidRDefault="003E397B" w:rsidP="003E397B">
        <w:pPr>
          <w:pStyle w:val="Header"/>
          <w:rPr>
            <w:b/>
            <w:bCs/>
            <w:noProof/>
            <w:sz w:val="20"/>
            <w:szCs w:val="20"/>
          </w:rPr>
        </w:pPr>
        <w:r w:rsidRPr="004D72E7">
          <w:rPr>
            <w:b/>
            <w:bCs/>
            <w:noProof/>
            <w:sz w:val="20"/>
            <w:szCs w:val="20"/>
          </w:rPr>
          <w:t>HCHC</w:t>
        </w:r>
        <w:r w:rsidR="00C5377E" w:rsidRPr="004D72E7">
          <w:rPr>
            <w:b/>
            <w:bCs/>
            <w:noProof/>
            <w:sz w:val="20"/>
            <w:szCs w:val="20"/>
          </w:rPr>
          <w:t>176/23</w:t>
        </w:r>
      </w:p>
    </w:sdtContent>
  </w:sdt>
  <w:p w14:paraId="248A65A8" w14:textId="77777777" w:rsidR="003E397B" w:rsidRDefault="003E39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7EE"/>
    <w:multiLevelType w:val="hybridMultilevel"/>
    <w:tmpl w:val="1EEE120C"/>
    <w:lvl w:ilvl="0" w:tplc="30090001">
      <w:start w:val="1"/>
      <w:numFmt w:val="bullet"/>
      <w:lvlText w:val=""/>
      <w:lvlJc w:val="left"/>
      <w:pPr>
        <w:ind w:left="1445" w:hanging="360"/>
      </w:pPr>
      <w:rPr>
        <w:rFonts w:ascii="Symbol" w:hAnsi="Symbol" w:hint="default"/>
      </w:rPr>
    </w:lvl>
    <w:lvl w:ilvl="1" w:tplc="30090003" w:tentative="1">
      <w:start w:val="1"/>
      <w:numFmt w:val="bullet"/>
      <w:lvlText w:val="o"/>
      <w:lvlJc w:val="left"/>
      <w:pPr>
        <w:ind w:left="2165" w:hanging="360"/>
      </w:pPr>
      <w:rPr>
        <w:rFonts w:ascii="Courier New" w:hAnsi="Courier New" w:cs="Courier New" w:hint="default"/>
      </w:rPr>
    </w:lvl>
    <w:lvl w:ilvl="2" w:tplc="30090005" w:tentative="1">
      <w:start w:val="1"/>
      <w:numFmt w:val="bullet"/>
      <w:lvlText w:val=""/>
      <w:lvlJc w:val="left"/>
      <w:pPr>
        <w:ind w:left="2885" w:hanging="360"/>
      </w:pPr>
      <w:rPr>
        <w:rFonts w:ascii="Wingdings" w:hAnsi="Wingdings" w:hint="default"/>
      </w:rPr>
    </w:lvl>
    <w:lvl w:ilvl="3" w:tplc="30090001" w:tentative="1">
      <w:start w:val="1"/>
      <w:numFmt w:val="bullet"/>
      <w:lvlText w:val=""/>
      <w:lvlJc w:val="left"/>
      <w:pPr>
        <w:ind w:left="3605" w:hanging="360"/>
      </w:pPr>
      <w:rPr>
        <w:rFonts w:ascii="Symbol" w:hAnsi="Symbol" w:hint="default"/>
      </w:rPr>
    </w:lvl>
    <w:lvl w:ilvl="4" w:tplc="30090003" w:tentative="1">
      <w:start w:val="1"/>
      <w:numFmt w:val="bullet"/>
      <w:lvlText w:val="o"/>
      <w:lvlJc w:val="left"/>
      <w:pPr>
        <w:ind w:left="4325" w:hanging="360"/>
      </w:pPr>
      <w:rPr>
        <w:rFonts w:ascii="Courier New" w:hAnsi="Courier New" w:cs="Courier New" w:hint="default"/>
      </w:rPr>
    </w:lvl>
    <w:lvl w:ilvl="5" w:tplc="30090005" w:tentative="1">
      <w:start w:val="1"/>
      <w:numFmt w:val="bullet"/>
      <w:lvlText w:val=""/>
      <w:lvlJc w:val="left"/>
      <w:pPr>
        <w:ind w:left="5045" w:hanging="360"/>
      </w:pPr>
      <w:rPr>
        <w:rFonts w:ascii="Wingdings" w:hAnsi="Wingdings" w:hint="default"/>
      </w:rPr>
    </w:lvl>
    <w:lvl w:ilvl="6" w:tplc="30090001" w:tentative="1">
      <w:start w:val="1"/>
      <w:numFmt w:val="bullet"/>
      <w:lvlText w:val=""/>
      <w:lvlJc w:val="left"/>
      <w:pPr>
        <w:ind w:left="5765" w:hanging="360"/>
      </w:pPr>
      <w:rPr>
        <w:rFonts w:ascii="Symbol" w:hAnsi="Symbol" w:hint="default"/>
      </w:rPr>
    </w:lvl>
    <w:lvl w:ilvl="7" w:tplc="30090003" w:tentative="1">
      <w:start w:val="1"/>
      <w:numFmt w:val="bullet"/>
      <w:lvlText w:val="o"/>
      <w:lvlJc w:val="left"/>
      <w:pPr>
        <w:ind w:left="6485" w:hanging="360"/>
      </w:pPr>
      <w:rPr>
        <w:rFonts w:ascii="Courier New" w:hAnsi="Courier New" w:cs="Courier New" w:hint="default"/>
      </w:rPr>
    </w:lvl>
    <w:lvl w:ilvl="8" w:tplc="30090005" w:tentative="1">
      <w:start w:val="1"/>
      <w:numFmt w:val="bullet"/>
      <w:lvlText w:val=""/>
      <w:lvlJc w:val="left"/>
      <w:pPr>
        <w:ind w:left="7205" w:hanging="360"/>
      </w:pPr>
      <w:rPr>
        <w:rFonts w:ascii="Wingdings" w:hAnsi="Wingdings" w:hint="default"/>
      </w:rPr>
    </w:lvl>
  </w:abstractNum>
  <w:abstractNum w:abstractNumId="1" w15:restartNumberingAfterBreak="0">
    <w:nsid w:val="006F5C7F"/>
    <w:multiLevelType w:val="hybridMultilevel"/>
    <w:tmpl w:val="61043B4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E04FA"/>
    <w:multiLevelType w:val="hybridMultilevel"/>
    <w:tmpl w:val="262001EC"/>
    <w:lvl w:ilvl="0" w:tplc="3009001B">
      <w:start w:val="1"/>
      <w:numFmt w:val="lowerRoman"/>
      <w:lvlText w:val="%1."/>
      <w:lvlJc w:val="right"/>
      <w:pPr>
        <w:ind w:left="2165" w:hanging="360"/>
      </w:pPr>
    </w:lvl>
    <w:lvl w:ilvl="1" w:tplc="30090019" w:tentative="1">
      <w:start w:val="1"/>
      <w:numFmt w:val="lowerLetter"/>
      <w:lvlText w:val="%2."/>
      <w:lvlJc w:val="left"/>
      <w:pPr>
        <w:ind w:left="2885" w:hanging="360"/>
      </w:pPr>
    </w:lvl>
    <w:lvl w:ilvl="2" w:tplc="3009001B" w:tentative="1">
      <w:start w:val="1"/>
      <w:numFmt w:val="lowerRoman"/>
      <w:lvlText w:val="%3."/>
      <w:lvlJc w:val="right"/>
      <w:pPr>
        <w:ind w:left="3605" w:hanging="180"/>
      </w:pPr>
    </w:lvl>
    <w:lvl w:ilvl="3" w:tplc="3009000F" w:tentative="1">
      <w:start w:val="1"/>
      <w:numFmt w:val="decimal"/>
      <w:lvlText w:val="%4."/>
      <w:lvlJc w:val="left"/>
      <w:pPr>
        <w:ind w:left="4325" w:hanging="360"/>
      </w:pPr>
    </w:lvl>
    <w:lvl w:ilvl="4" w:tplc="30090019" w:tentative="1">
      <w:start w:val="1"/>
      <w:numFmt w:val="lowerLetter"/>
      <w:lvlText w:val="%5."/>
      <w:lvlJc w:val="left"/>
      <w:pPr>
        <w:ind w:left="5045" w:hanging="360"/>
      </w:pPr>
    </w:lvl>
    <w:lvl w:ilvl="5" w:tplc="3009001B" w:tentative="1">
      <w:start w:val="1"/>
      <w:numFmt w:val="lowerRoman"/>
      <w:lvlText w:val="%6."/>
      <w:lvlJc w:val="right"/>
      <w:pPr>
        <w:ind w:left="5765" w:hanging="180"/>
      </w:pPr>
    </w:lvl>
    <w:lvl w:ilvl="6" w:tplc="3009000F" w:tentative="1">
      <w:start w:val="1"/>
      <w:numFmt w:val="decimal"/>
      <w:lvlText w:val="%7."/>
      <w:lvlJc w:val="left"/>
      <w:pPr>
        <w:ind w:left="6485" w:hanging="360"/>
      </w:pPr>
    </w:lvl>
    <w:lvl w:ilvl="7" w:tplc="30090019" w:tentative="1">
      <w:start w:val="1"/>
      <w:numFmt w:val="lowerLetter"/>
      <w:lvlText w:val="%8."/>
      <w:lvlJc w:val="left"/>
      <w:pPr>
        <w:ind w:left="7205" w:hanging="360"/>
      </w:pPr>
    </w:lvl>
    <w:lvl w:ilvl="8" w:tplc="3009001B" w:tentative="1">
      <w:start w:val="1"/>
      <w:numFmt w:val="lowerRoman"/>
      <w:lvlText w:val="%9."/>
      <w:lvlJc w:val="right"/>
      <w:pPr>
        <w:ind w:left="7925" w:hanging="180"/>
      </w:pPr>
    </w:lvl>
  </w:abstractNum>
  <w:abstractNum w:abstractNumId="3" w15:restartNumberingAfterBreak="0">
    <w:nsid w:val="0FBE1CAE"/>
    <w:multiLevelType w:val="hybridMultilevel"/>
    <w:tmpl w:val="D656409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858642A"/>
    <w:multiLevelType w:val="hybridMultilevel"/>
    <w:tmpl w:val="D2C42A36"/>
    <w:lvl w:ilvl="0" w:tplc="36A6FC04">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16521D"/>
    <w:multiLevelType w:val="hybridMultilevel"/>
    <w:tmpl w:val="BBA2AD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EF814B5"/>
    <w:multiLevelType w:val="hybridMultilevel"/>
    <w:tmpl w:val="23A6E3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7B"/>
    <w:rsid w:val="00055642"/>
    <w:rsid w:val="00063852"/>
    <w:rsid w:val="000673E0"/>
    <w:rsid w:val="00070C20"/>
    <w:rsid w:val="00071C6A"/>
    <w:rsid w:val="000A35C4"/>
    <w:rsid w:val="00195FF0"/>
    <w:rsid w:val="002054D6"/>
    <w:rsid w:val="002B26E3"/>
    <w:rsid w:val="002D1D9C"/>
    <w:rsid w:val="00313ED6"/>
    <w:rsid w:val="00315A0C"/>
    <w:rsid w:val="003706D3"/>
    <w:rsid w:val="00387915"/>
    <w:rsid w:val="003D59AE"/>
    <w:rsid w:val="003E397B"/>
    <w:rsid w:val="00460BBD"/>
    <w:rsid w:val="004701B9"/>
    <w:rsid w:val="00486B64"/>
    <w:rsid w:val="004B07C5"/>
    <w:rsid w:val="004B16B3"/>
    <w:rsid w:val="004B1D78"/>
    <w:rsid w:val="004D72E7"/>
    <w:rsid w:val="005219FD"/>
    <w:rsid w:val="00590D90"/>
    <w:rsid w:val="005A3214"/>
    <w:rsid w:val="005C3742"/>
    <w:rsid w:val="005D5748"/>
    <w:rsid w:val="00634BC5"/>
    <w:rsid w:val="00641761"/>
    <w:rsid w:val="00685CB9"/>
    <w:rsid w:val="006D4DCA"/>
    <w:rsid w:val="00705F8F"/>
    <w:rsid w:val="0072506E"/>
    <w:rsid w:val="00743640"/>
    <w:rsid w:val="007A4A3D"/>
    <w:rsid w:val="007F3BDC"/>
    <w:rsid w:val="00884F01"/>
    <w:rsid w:val="00887266"/>
    <w:rsid w:val="009075F7"/>
    <w:rsid w:val="00941473"/>
    <w:rsid w:val="00981349"/>
    <w:rsid w:val="009D2ECD"/>
    <w:rsid w:val="00A00765"/>
    <w:rsid w:val="00A36D11"/>
    <w:rsid w:val="00AA25FE"/>
    <w:rsid w:val="00AB26E6"/>
    <w:rsid w:val="00B128DA"/>
    <w:rsid w:val="00B757D8"/>
    <w:rsid w:val="00C12A4B"/>
    <w:rsid w:val="00C176B7"/>
    <w:rsid w:val="00C4675E"/>
    <w:rsid w:val="00C5377E"/>
    <w:rsid w:val="00C81B46"/>
    <w:rsid w:val="00CC0E1C"/>
    <w:rsid w:val="00D028DC"/>
    <w:rsid w:val="00D32611"/>
    <w:rsid w:val="00D435E5"/>
    <w:rsid w:val="00DC5446"/>
    <w:rsid w:val="00E21971"/>
    <w:rsid w:val="00E34360"/>
    <w:rsid w:val="00E71764"/>
    <w:rsid w:val="00E938B9"/>
    <w:rsid w:val="00EB3A35"/>
    <w:rsid w:val="00EC1839"/>
    <w:rsid w:val="00F47F14"/>
    <w:rsid w:val="00F534FA"/>
    <w:rsid w:val="00F86DEC"/>
    <w:rsid w:val="00F87BDF"/>
    <w:rsid w:val="00FE35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3B55"/>
  <w15:chartTrackingRefBased/>
  <w15:docId w15:val="{775630D8-A3D1-4ADA-BF41-35D57FCE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97B"/>
  </w:style>
  <w:style w:type="paragraph" w:styleId="Footer">
    <w:name w:val="footer"/>
    <w:basedOn w:val="Normal"/>
    <w:link w:val="FooterChar"/>
    <w:uiPriority w:val="99"/>
    <w:unhideWhenUsed/>
    <w:rsid w:val="003E3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97B"/>
  </w:style>
  <w:style w:type="paragraph" w:styleId="NoSpacing">
    <w:name w:val="No Spacing"/>
    <w:uiPriority w:val="1"/>
    <w:qFormat/>
    <w:rsid w:val="00C5377E"/>
    <w:pPr>
      <w:spacing w:after="0" w:line="240" w:lineRule="auto"/>
    </w:pPr>
  </w:style>
  <w:style w:type="paragraph" w:styleId="ListParagraph">
    <w:name w:val="List Paragraph"/>
    <w:basedOn w:val="Normal"/>
    <w:uiPriority w:val="34"/>
    <w:qFormat/>
    <w:rsid w:val="003D59AE"/>
    <w:pPr>
      <w:ind w:left="720"/>
      <w:contextualSpacing/>
    </w:pPr>
  </w:style>
  <w:style w:type="paragraph" w:styleId="FootnoteText">
    <w:name w:val="footnote text"/>
    <w:basedOn w:val="Normal"/>
    <w:link w:val="FootnoteTextChar"/>
    <w:uiPriority w:val="99"/>
    <w:unhideWhenUsed/>
    <w:rsid w:val="00981349"/>
    <w:pPr>
      <w:spacing w:after="0" w:line="240" w:lineRule="auto"/>
    </w:pPr>
    <w:rPr>
      <w:sz w:val="20"/>
      <w:szCs w:val="20"/>
    </w:rPr>
  </w:style>
  <w:style w:type="character" w:customStyle="1" w:styleId="FootnoteTextChar">
    <w:name w:val="Footnote Text Char"/>
    <w:basedOn w:val="DefaultParagraphFont"/>
    <w:link w:val="FootnoteText"/>
    <w:uiPriority w:val="99"/>
    <w:rsid w:val="00981349"/>
    <w:rPr>
      <w:sz w:val="20"/>
      <w:szCs w:val="20"/>
    </w:rPr>
  </w:style>
  <w:style w:type="character" w:styleId="FootnoteReference">
    <w:name w:val="footnote reference"/>
    <w:basedOn w:val="DefaultParagraphFont"/>
    <w:uiPriority w:val="99"/>
    <w:semiHidden/>
    <w:unhideWhenUsed/>
    <w:rsid w:val="00981349"/>
    <w:rPr>
      <w:vertAlign w:val="superscript"/>
    </w:rPr>
  </w:style>
  <w:style w:type="paragraph" w:customStyle="1" w:styleId="Default">
    <w:name w:val="Default"/>
    <w:rsid w:val="007F3BD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2024-03-01T09:53:00Z</dcterms:created>
  <dcterms:modified xsi:type="dcterms:W3CDTF">2024-03-01T09:53:00Z</dcterms:modified>
</cp:coreProperties>
</file>