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C7" w:rsidRPr="00C6752E" w:rsidRDefault="004454C7" w:rsidP="004454C7">
      <w:pPr>
        <w:spacing w:line="360" w:lineRule="auto"/>
        <w:jc w:val="both"/>
        <w:rPr>
          <w:b/>
        </w:rPr>
      </w:pPr>
      <w:r w:rsidRPr="00C6752E">
        <w:rPr>
          <w:b/>
        </w:rPr>
        <w:t>IN TH</w:t>
      </w:r>
      <w:r>
        <w:rPr>
          <w:b/>
        </w:rPr>
        <w:t>E LABOUR COURT OF ZIMBABWE</w:t>
      </w:r>
      <w:r>
        <w:rPr>
          <w:b/>
        </w:rPr>
        <w:tab/>
        <w:t xml:space="preserve"> JUDGMENT NO. LC/H/</w:t>
      </w:r>
      <w:r w:rsidR="00021F77">
        <w:rPr>
          <w:b/>
        </w:rPr>
        <w:t>340</w:t>
      </w:r>
      <w:r>
        <w:rPr>
          <w:b/>
        </w:rPr>
        <w:t>/2016</w:t>
      </w:r>
    </w:p>
    <w:p w:rsidR="004454C7" w:rsidRDefault="004454C7" w:rsidP="004454C7">
      <w:pPr>
        <w:spacing w:line="360" w:lineRule="auto"/>
        <w:jc w:val="both"/>
        <w:rPr>
          <w:b/>
        </w:rPr>
      </w:pPr>
      <w:r>
        <w:rPr>
          <w:b/>
        </w:rPr>
        <w:t>HARARE, 10 MAY 2016</w:t>
      </w:r>
      <w:r w:rsidR="000C3976">
        <w:rPr>
          <w:b/>
        </w:rPr>
        <w:tab/>
      </w:r>
      <w:r>
        <w:rPr>
          <w:b/>
        </w:rPr>
        <w:tab/>
      </w:r>
      <w:r>
        <w:rPr>
          <w:b/>
        </w:rPr>
        <w:tab/>
      </w:r>
      <w:r>
        <w:rPr>
          <w:b/>
        </w:rPr>
        <w:tab/>
        <w:t xml:space="preserve">       </w:t>
      </w:r>
      <w:r w:rsidR="000C3976">
        <w:rPr>
          <w:b/>
        </w:rPr>
        <w:t xml:space="preserve">     </w:t>
      </w:r>
      <w:r w:rsidRPr="00C6752E">
        <w:rPr>
          <w:b/>
        </w:rPr>
        <w:t>CASE NO. LC/</w:t>
      </w:r>
      <w:r>
        <w:rPr>
          <w:b/>
        </w:rPr>
        <w:t>H/494/14</w:t>
      </w:r>
    </w:p>
    <w:p w:rsidR="004454C7" w:rsidRDefault="004454C7" w:rsidP="004454C7">
      <w:pPr>
        <w:spacing w:line="360" w:lineRule="auto"/>
        <w:jc w:val="both"/>
        <w:rPr>
          <w:b/>
        </w:rPr>
      </w:pPr>
      <w:r>
        <w:rPr>
          <w:b/>
        </w:rPr>
        <w:t xml:space="preserve">AND </w:t>
      </w:r>
      <w:r w:rsidR="000C3976">
        <w:rPr>
          <w:b/>
        </w:rPr>
        <w:t>27 MAY</w:t>
      </w:r>
      <w:r>
        <w:rPr>
          <w:b/>
        </w:rPr>
        <w:t xml:space="preserve"> 2016</w:t>
      </w:r>
    </w:p>
    <w:p w:rsidR="004454C7" w:rsidRDefault="004454C7" w:rsidP="004454C7">
      <w:pPr>
        <w:spacing w:line="360" w:lineRule="auto"/>
        <w:jc w:val="both"/>
      </w:pPr>
      <w:r w:rsidRPr="00C6752E">
        <w:t>In the matter between:-</w:t>
      </w:r>
    </w:p>
    <w:p w:rsidR="004454C7" w:rsidRPr="00C6752E" w:rsidRDefault="004454C7" w:rsidP="004454C7">
      <w:pPr>
        <w:jc w:val="both"/>
      </w:pPr>
    </w:p>
    <w:p w:rsidR="004454C7" w:rsidRDefault="00E9173A" w:rsidP="004454C7">
      <w:pPr>
        <w:jc w:val="both"/>
        <w:outlineLvl w:val="0"/>
        <w:rPr>
          <w:b/>
        </w:rPr>
      </w:pPr>
      <w:r>
        <w:rPr>
          <w:b/>
        </w:rPr>
        <w:t>PAUL</w:t>
      </w:r>
      <w:r w:rsidR="00C03032">
        <w:rPr>
          <w:b/>
        </w:rPr>
        <w:t>A</w:t>
      </w:r>
      <w:bookmarkStart w:id="0" w:name="_GoBack"/>
      <w:bookmarkEnd w:id="0"/>
      <w:r>
        <w:rPr>
          <w:b/>
        </w:rPr>
        <w:t xml:space="preserve"> KACHIDZA</w:t>
      </w:r>
      <w:r w:rsidR="005D432A">
        <w:rPr>
          <w:b/>
        </w:rPr>
        <w:tab/>
      </w:r>
      <w:r w:rsidR="005D432A">
        <w:rPr>
          <w:b/>
        </w:rPr>
        <w:tab/>
      </w:r>
      <w:r>
        <w:rPr>
          <w:b/>
        </w:rPr>
        <w:tab/>
      </w:r>
      <w:r>
        <w:rPr>
          <w:b/>
        </w:rPr>
        <w:tab/>
      </w:r>
      <w:r w:rsidR="004454C7">
        <w:rPr>
          <w:b/>
        </w:rPr>
        <w:tab/>
      </w:r>
      <w:r w:rsidR="004454C7">
        <w:rPr>
          <w:b/>
        </w:rPr>
        <w:tab/>
      </w:r>
      <w:r w:rsidR="004454C7">
        <w:rPr>
          <w:b/>
        </w:rPr>
        <w:tab/>
      </w:r>
      <w:r w:rsidR="004454C7">
        <w:rPr>
          <w:b/>
        </w:rPr>
        <w:tab/>
        <w:t>Appellant</w:t>
      </w:r>
    </w:p>
    <w:p w:rsidR="004454C7" w:rsidRDefault="004454C7" w:rsidP="004454C7">
      <w:pPr>
        <w:jc w:val="both"/>
        <w:outlineLvl w:val="0"/>
        <w:rPr>
          <w:b/>
        </w:rPr>
      </w:pPr>
    </w:p>
    <w:p w:rsidR="004454C7" w:rsidRDefault="004454C7" w:rsidP="004454C7">
      <w:pPr>
        <w:jc w:val="both"/>
        <w:outlineLvl w:val="0"/>
      </w:pPr>
      <w:r w:rsidRPr="00C6752E">
        <w:t>And</w:t>
      </w:r>
    </w:p>
    <w:p w:rsidR="004454C7" w:rsidRPr="00C6752E" w:rsidRDefault="004454C7" w:rsidP="004454C7">
      <w:pPr>
        <w:jc w:val="both"/>
        <w:outlineLvl w:val="0"/>
      </w:pPr>
    </w:p>
    <w:p w:rsidR="004454C7" w:rsidRDefault="00E9173A" w:rsidP="004454C7">
      <w:pPr>
        <w:jc w:val="both"/>
        <w:rPr>
          <w:b/>
        </w:rPr>
      </w:pPr>
      <w:r>
        <w:rPr>
          <w:b/>
        </w:rPr>
        <w:t xml:space="preserve">PARIRENYATWA </w:t>
      </w:r>
      <w:r w:rsidR="005D432A">
        <w:rPr>
          <w:b/>
        </w:rPr>
        <w:t>GROUP OF HOSPITALS</w:t>
      </w:r>
      <w:r w:rsidR="004454C7">
        <w:rPr>
          <w:b/>
        </w:rPr>
        <w:tab/>
      </w:r>
      <w:r w:rsidR="004454C7">
        <w:rPr>
          <w:b/>
        </w:rPr>
        <w:tab/>
      </w:r>
      <w:r w:rsidR="005D432A">
        <w:rPr>
          <w:b/>
        </w:rPr>
        <w:tab/>
      </w:r>
      <w:r w:rsidR="005D432A">
        <w:rPr>
          <w:b/>
        </w:rPr>
        <w:tab/>
      </w:r>
      <w:r w:rsidR="004454C7">
        <w:rPr>
          <w:b/>
        </w:rPr>
        <w:t>Respondent</w:t>
      </w:r>
    </w:p>
    <w:p w:rsidR="004454C7" w:rsidRPr="00C6752E" w:rsidRDefault="004454C7" w:rsidP="004454C7">
      <w:pPr>
        <w:jc w:val="both"/>
        <w:rPr>
          <w:b/>
        </w:rPr>
      </w:pPr>
    </w:p>
    <w:p w:rsidR="004454C7" w:rsidRDefault="004454C7" w:rsidP="004454C7">
      <w:pPr>
        <w:jc w:val="both"/>
        <w:outlineLvl w:val="0"/>
      </w:pPr>
      <w:r w:rsidRPr="00C6752E">
        <w:t>Before Honourable</w:t>
      </w:r>
      <w:r>
        <w:t xml:space="preserve"> B.S.</w:t>
      </w:r>
      <w:r w:rsidRPr="00C6752E">
        <w:t xml:space="preserve"> </w:t>
      </w:r>
      <w:r>
        <w:t>Chidziva, Judge</w:t>
      </w:r>
    </w:p>
    <w:p w:rsidR="004454C7" w:rsidRDefault="004454C7" w:rsidP="004454C7">
      <w:pPr>
        <w:jc w:val="both"/>
      </w:pPr>
    </w:p>
    <w:p w:rsidR="004454C7" w:rsidRPr="00DC0454" w:rsidRDefault="004454C7" w:rsidP="004454C7">
      <w:pPr>
        <w:jc w:val="both"/>
      </w:pPr>
      <w:r>
        <w:tab/>
      </w:r>
      <w:r>
        <w:tab/>
      </w:r>
      <w:r>
        <w:tab/>
        <w:t xml:space="preserve"> </w:t>
      </w:r>
      <w:r w:rsidRPr="00C6752E">
        <w:rPr>
          <w:b/>
        </w:rPr>
        <w:tab/>
      </w:r>
      <w:r w:rsidRPr="00C6752E">
        <w:rPr>
          <w:b/>
        </w:rPr>
        <w:tab/>
      </w:r>
    </w:p>
    <w:p w:rsidR="004454C7" w:rsidRDefault="005D432A" w:rsidP="004454C7">
      <w:pPr>
        <w:spacing w:line="360" w:lineRule="auto"/>
        <w:jc w:val="both"/>
        <w:rPr>
          <w:b/>
        </w:rPr>
      </w:pPr>
      <w:r>
        <w:rPr>
          <w:b/>
        </w:rPr>
        <w:t xml:space="preserve">For </w:t>
      </w:r>
      <w:r w:rsidR="004454C7">
        <w:rPr>
          <w:b/>
        </w:rPr>
        <w:t>Appellant</w:t>
      </w:r>
      <w:r w:rsidR="004454C7">
        <w:rPr>
          <w:b/>
        </w:rPr>
        <w:tab/>
      </w:r>
      <w:r>
        <w:rPr>
          <w:b/>
        </w:rPr>
        <w:tab/>
      </w:r>
      <w:r w:rsidR="000E76DB">
        <w:rPr>
          <w:b/>
        </w:rPr>
        <w:t>Mr K. Masasire (Legal Practitioner)</w:t>
      </w:r>
      <w:r w:rsidR="004454C7">
        <w:rPr>
          <w:b/>
        </w:rPr>
        <w:tab/>
      </w:r>
    </w:p>
    <w:p w:rsidR="004454C7" w:rsidRDefault="004454C7" w:rsidP="000E76DB">
      <w:pPr>
        <w:spacing w:line="360" w:lineRule="auto"/>
        <w:ind w:left="720" w:hanging="720"/>
        <w:jc w:val="both"/>
        <w:rPr>
          <w:b/>
        </w:rPr>
      </w:pPr>
      <w:r>
        <w:rPr>
          <w:b/>
        </w:rPr>
        <w:t>For Respondent</w:t>
      </w:r>
      <w:r>
        <w:rPr>
          <w:b/>
        </w:rPr>
        <w:tab/>
      </w:r>
      <w:r>
        <w:rPr>
          <w:b/>
        </w:rPr>
        <w:tab/>
      </w:r>
      <w:r w:rsidR="000E76DB">
        <w:rPr>
          <w:b/>
        </w:rPr>
        <w:t xml:space="preserve">Mr C. T. Gutu </w:t>
      </w:r>
      <w:r w:rsidR="00EA2064">
        <w:rPr>
          <w:b/>
        </w:rPr>
        <w:t xml:space="preserve">(Legal </w:t>
      </w:r>
      <w:r w:rsidR="006A27B0">
        <w:rPr>
          <w:b/>
        </w:rPr>
        <w:t>Officer</w:t>
      </w:r>
      <w:r w:rsidR="00EA2064">
        <w:rPr>
          <w:b/>
        </w:rPr>
        <w:t>)</w:t>
      </w:r>
    </w:p>
    <w:p w:rsidR="00EA2064" w:rsidRDefault="00EA2064" w:rsidP="000E76DB">
      <w:pPr>
        <w:spacing w:line="360" w:lineRule="auto"/>
        <w:ind w:left="720" w:hanging="720"/>
        <w:jc w:val="both"/>
        <w:rPr>
          <w:b/>
        </w:rPr>
      </w:pPr>
    </w:p>
    <w:p w:rsidR="004454C7" w:rsidRDefault="004454C7" w:rsidP="004454C7">
      <w:pPr>
        <w:jc w:val="both"/>
        <w:outlineLvl w:val="0"/>
        <w:rPr>
          <w:b/>
        </w:rPr>
      </w:pPr>
      <w:r>
        <w:rPr>
          <w:b/>
        </w:rPr>
        <w:t>CHIDZIVA, J:</w:t>
      </w:r>
    </w:p>
    <w:p w:rsidR="004454C7" w:rsidRDefault="004454C7" w:rsidP="004454C7">
      <w:pPr>
        <w:spacing w:line="360" w:lineRule="auto"/>
        <w:jc w:val="both"/>
      </w:pPr>
    </w:p>
    <w:p w:rsidR="00B41FD4" w:rsidRDefault="00B41FD4" w:rsidP="004454C7">
      <w:pPr>
        <w:spacing w:line="360" w:lineRule="auto"/>
        <w:jc w:val="both"/>
      </w:pPr>
    </w:p>
    <w:p w:rsidR="000F5411" w:rsidRDefault="005166A2" w:rsidP="00B41FD4">
      <w:pPr>
        <w:spacing w:line="360" w:lineRule="auto"/>
        <w:ind w:firstLine="720"/>
        <w:jc w:val="both"/>
      </w:pPr>
      <w:r>
        <w:t>Appellant a registered General Nurse at Parirenyatwa was charged f</w:t>
      </w:r>
      <w:r w:rsidR="005003AC">
        <w:t xml:space="preserve">or stealing 21 Metronidazole tablets which </w:t>
      </w:r>
      <w:r w:rsidR="00C670E2">
        <w:t>had been prescribed for a patient who had since been discharged.  She was found guilty by the Disciplinary Committee and was discharged from employment.  The Appellant appealed to the Health Services Board and the Board partially upheld the appeal and ruled as follows,</w:t>
      </w:r>
    </w:p>
    <w:p w:rsidR="00C670E2" w:rsidRDefault="00C670E2" w:rsidP="00B41FD4">
      <w:pPr>
        <w:jc w:val="both"/>
      </w:pPr>
    </w:p>
    <w:p w:rsidR="00404423" w:rsidRPr="00B41FD4" w:rsidRDefault="00C670E2" w:rsidP="00B41FD4">
      <w:pPr>
        <w:spacing w:line="276" w:lineRule="auto"/>
        <w:jc w:val="both"/>
        <w:rPr>
          <w:sz w:val="22"/>
          <w:szCs w:val="22"/>
        </w:rPr>
      </w:pPr>
      <w:r>
        <w:tab/>
      </w:r>
      <w:r w:rsidR="00404423" w:rsidRPr="00B41FD4">
        <w:rPr>
          <w:sz w:val="22"/>
          <w:szCs w:val="22"/>
        </w:rPr>
        <w:t>“(i)</w:t>
      </w:r>
      <w:r w:rsidR="00404423" w:rsidRPr="00B41FD4">
        <w:rPr>
          <w:sz w:val="22"/>
          <w:szCs w:val="22"/>
        </w:rPr>
        <w:tab/>
        <w:t>The determination that Appellant</w:t>
      </w:r>
      <w:r w:rsidR="00606576" w:rsidRPr="00B41FD4">
        <w:rPr>
          <w:sz w:val="22"/>
          <w:szCs w:val="22"/>
        </w:rPr>
        <w:t xml:space="preserve"> is guilty be upheld.</w:t>
      </w:r>
    </w:p>
    <w:p w:rsidR="00606576" w:rsidRPr="00B41FD4" w:rsidRDefault="00606576" w:rsidP="00B41FD4">
      <w:pPr>
        <w:spacing w:line="276" w:lineRule="auto"/>
        <w:ind w:left="1440" w:hanging="720"/>
        <w:jc w:val="both"/>
        <w:rPr>
          <w:sz w:val="22"/>
          <w:szCs w:val="22"/>
        </w:rPr>
      </w:pPr>
      <w:r w:rsidRPr="00B41FD4">
        <w:rPr>
          <w:sz w:val="22"/>
          <w:szCs w:val="22"/>
        </w:rPr>
        <w:t xml:space="preserve"> (ii)</w:t>
      </w:r>
      <w:r w:rsidRPr="00B41FD4">
        <w:rPr>
          <w:sz w:val="22"/>
          <w:szCs w:val="22"/>
        </w:rPr>
        <w:tab/>
        <w:t xml:space="preserve">The discharge penalty be set aside and be </w:t>
      </w:r>
      <w:r w:rsidR="00AD475F" w:rsidRPr="00B41FD4">
        <w:rPr>
          <w:sz w:val="22"/>
          <w:szCs w:val="22"/>
        </w:rPr>
        <w:t>substituted with a fine equivalent to one month’s salary and a reprimand valued for</w:t>
      </w:r>
      <w:r w:rsidR="00975F9E" w:rsidRPr="00B41FD4">
        <w:rPr>
          <w:sz w:val="22"/>
          <w:szCs w:val="22"/>
        </w:rPr>
        <w:t xml:space="preserve"> five years.</w:t>
      </w:r>
    </w:p>
    <w:p w:rsidR="00975F9E" w:rsidRPr="00B41FD4" w:rsidRDefault="00975F9E" w:rsidP="00B41FD4">
      <w:pPr>
        <w:spacing w:line="276" w:lineRule="auto"/>
        <w:ind w:left="1440" w:hanging="720"/>
        <w:jc w:val="both"/>
        <w:rPr>
          <w:sz w:val="22"/>
          <w:szCs w:val="22"/>
        </w:rPr>
      </w:pPr>
      <w:r w:rsidRPr="00B41FD4">
        <w:rPr>
          <w:sz w:val="22"/>
          <w:szCs w:val="22"/>
        </w:rPr>
        <w:t xml:space="preserve"> (iii)</w:t>
      </w:r>
      <w:r w:rsidRPr="00B41FD4">
        <w:rPr>
          <w:sz w:val="22"/>
          <w:szCs w:val="22"/>
        </w:rPr>
        <w:tab/>
        <w:t>That Appellant be transferred to another station.</w:t>
      </w:r>
    </w:p>
    <w:p w:rsidR="00975F9E" w:rsidRPr="00B41FD4" w:rsidRDefault="00975F9E" w:rsidP="00B41FD4">
      <w:pPr>
        <w:spacing w:line="276" w:lineRule="auto"/>
        <w:ind w:left="1440" w:hanging="720"/>
        <w:jc w:val="both"/>
        <w:rPr>
          <w:sz w:val="22"/>
          <w:szCs w:val="22"/>
        </w:rPr>
      </w:pPr>
      <w:r w:rsidRPr="00B41FD4">
        <w:rPr>
          <w:sz w:val="22"/>
          <w:szCs w:val="22"/>
        </w:rPr>
        <w:t xml:space="preserve"> (iv)</w:t>
      </w:r>
      <w:r w:rsidRPr="00B41FD4">
        <w:rPr>
          <w:sz w:val="22"/>
          <w:szCs w:val="22"/>
        </w:rPr>
        <w:tab/>
        <w:t>The period between discharge and re</w:t>
      </w:r>
      <w:r w:rsidR="00E134D5" w:rsidRPr="00B41FD4">
        <w:rPr>
          <w:sz w:val="22"/>
          <w:szCs w:val="22"/>
        </w:rPr>
        <w:t>sumption of duty be treated as leave without pay.”</w:t>
      </w:r>
    </w:p>
    <w:p w:rsidR="00352074" w:rsidRDefault="00352074" w:rsidP="00B41FD4">
      <w:pPr>
        <w:jc w:val="both"/>
      </w:pPr>
    </w:p>
    <w:p w:rsidR="00352074" w:rsidRDefault="00352074" w:rsidP="00352074">
      <w:pPr>
        <w:spacing w:line="360" w:lineRule="auto"/>
        <w:jc w:val="both"/>
      </w:pPr>
      <w:r>
        <w:t>The Appellant has appealed against penalty number 3 and 4.</w:t>
      </w:r>
    </w:p>
    <w:p w:rsidR="00352074" w:rsidRDefault="00352074" w:rsidP="00352074">
      <w:pPr>
        <w:spacing w:line="360" w:lineRule="auto"/>
        <w:jc w:val="both"/>
      </w:pPr>
    </w:p>
    <w:p w:rsidR="00352074" w:rsidRDefault="00352074" w:rsidP="00B41FD4">
      <w:pPr>
        <w:spacing w:line="360" w:lineRule="auto"/>
        <w:ind w:firstLine="720"/>
        <w:jc w:val="both"/>
      </w:pPr>
      <w:r>
        <w:t xml:space="preserve">The </w:t>
      </w:r>
      <w:r w:rsidR="00EA3BD5">
        <w:t>Appellant’s</w:t>
      </w:r>
      <w:r>
        <w:t xml:space="preserve"> grounds</w:t>
      </w:r>
      <w:r w:rsidR="002203DF">
        <w:t xml:space="preserve"> of appeal are that,</w:t>
      </w:r>
    </w:p>
    <w:p w:rsidR="002203DF" w:rsidRDefault="002203DF" w:rsidP="00352074">
      <w:pPr>
        <w:spacing w:line="360" w:lineRule="auto"/>
        <w:jc w:val="both"/>
      </w:pPr>
    </w:p>
    <w:p w:rsidR="002203DF" w:rsidRDefault="002203DF" w:rsidP="002203DF">
      <w:pPr>
        <w:pStyle w:val="ListParagraph"/>
        <w:numPr>
          <w:ilvl w:val="0"/>
          <w:numId w:val="1"/>
        </w:numPr>
        <w:spacing w:line="360" w:lineRule="auto"/>
        <w:jc w:val="both"/>
      </w:pPr>
      <w:r>
        <w:lastRenderedPageBreak/>
        <w:t>The Health Service</w:t>
      </w:r>
      <w:r w:rsidR="00A61676">
        <w:t xml:space="preserve">s Board’s penalty was too excessive, unreasonable and </w:t>
      </w:r>
      <w:r w:rsidR="00641E99">
        <w:t>unfair,</w:t>
      </w:r>
    </w:p>
    <w:p w:rsidR="00641E99" w:rsidRDefault="00641E99" w:rsidP="002203DF">
      <w:pPr>
        <w:pStyle w:val="ListParagraph"/>
        <w:numPr>
          <w:ilvl w:val="0"/>
          <w:numId w:val="1"/>
        </w:numPr>
        <w:spacing w:line="360" w:lineRule="auto"/>
        <w:jc w:val="both"/>
      </w:pPr>
      <w:r>
        <w:t xml:space="preserve">The Health Service Board erred and misdirected itself on a point of law in ruling that the period between a </w:t>
      </w:r>
      <w:r w:rsidR="001F5FD1">
        <w:t>discharge and</w:t>
      </w:r>
      <w:r w:rsidR="00134910">
        <w:t xml:space="preserve"> resumption of duty be treated as leave without pay yet the Appellant</w:t>
      </w:r>
      <w:r w:rsidR="00CA3DAC">
        <w:t xml:space="preserve"> has to be reinstated back to his original position and was not on leave or apply one.</w:t>
      </w:r>
    </w:p>
    <w:p w:rsidR="00CA3DAC" w:rsidRDefault="00CA3DAC" w:rsidP="007F3C6F">
      <w:pPr>
        <w:jc w:val="both"/>
      </w:pPr>
    </w:p>
    <w:p w:rsidR="00830FE6" w:rsidRDefault="00830FE6" w:rsidP="00CA3DAC">
      <w:pPr>
        <w:spacing w:line="360" w:lineRule="auto"/>
        <w:jc w:val="both"/>
      </w:pPr>
      <w:r>
        <w:t>The Respondent in response submitted that,</w:t>
      </w:r>
    </w:p>
    <w:p w:rsidR="00830FE6" w:rsidRDefault="00830FE6" w:rsidP="007F3C6F">
      <w:pPr>
        <w:jc w:val="both"/>
      </w:pPr>
    </w:p>
    <w:p w:rsidR="00830FE6" w:rsidRDefault="00830FE6" w:rsidP="00830FE6">
      <w:pPr>
        <w:pStyle w:val="ListParagraph"/>
        <w:numPr>
          <w:ilvl w:val="0"/>
          <w:numId w:val="2"/>
        </w:numPr>
        <w:spacing w:line="360" w:lineRule="auto"/>
        <w:jc w:val="both"/>
      </w:pPr>
      <w:r>
        <w:t>There is no reason why the Appellant should be paid for the period between the date of discharge and the date of reinstatement following her appeal to the Respondent.</w:t>
      </w:r>
    </w:p>
    <w:p w:rsidR="00830FE6" w:rsidRDefault="00830FE6" w:rsidP="00830FE6">
      <w:pPr>
        <w:pStyle w:val="ListParagraph"/>
        <w:numPr>
          <w:ilvl w:val="0"/>
          <w:numId w:val="2"/>
        </w:numPr>
        <w:spacing w:line="360" w:lineRule="auto"/>
        <w:jc w:val="both"/>
      </w:pPr>
      <w:r>
        <w:t>Appellant was found guilty of misconduct on theft allegation which is a serious offence.</w:t>
      </w:r>
    </w:p>
    <w:p w:rsidR="00830FE6" w:rsidRDefault="00830FE6" w:rsidP="007F3C6F">
      <w:pPr>
        <w:jc w:val="both"/>
      </w:pPr>
    </w:p>
    <w:p w:rsidR="00830FE6" w:rsidRDefault="00830FE6" w:rsidP="00830FE6">
      <w:pPr>
        <w:spacing w:line="360" w:lineRule="auto"/>
        <w:jc w:val="both"/>
      </w:pPr>
      <w:r>
        <w:t>It is common cause that,</w:t>
      </w:r>
    </w:p>
    <w:p w:rsidR="00830FE6" w:rsidRDefault="00830FE6" w:rsidP="007F3C6F">
      <w:pPr>
        <w:jc w:val="both"/>
      </w:pPr>
    </w:p>
    <w:p w:rsidR="00AB6106" w:rsidRDefault="00830FE6" w:rsidP="00830FE6">
      <w:pPr>
        <w:pStyle w:val="ListParagraph"/>
        <w:numPr>
          <w:ilvl w:val="0"/>
          <w:numId w:val="3"/>
        </w:numPr>
        <w:spacing w:line="360" w:lineRule="auto"/>
        <w:jc w:val="both"/>
      </w:pPr>
      <w:r>
        <w:t xml:space="preserve">Appellant was found guilty of a serious offence which goes to </w:t>
      </w:r>
      <w:r w:rsidR="00AB6106">
        <w:t>root of the contract.</w:t>
      </w:r>
    </w:p>
    <w:p w:rsidR="00AB6106" w:rsidRDefault="00AB6106" w:rsidP="00830FE6">
      <w:pPr>
        <w:pStyle w:val="ListParagraph"/>
        <w:numPr>
          <w:ilvl w:val="0"/>
          <w:numId w:val="3"/>
        </w:numPr>
        <w:spacing w:line="360" w:lineRule="auto"/>
        <w:jc w:val="both"/>
      </w:pPr>
      <w:r>
        <w:t>It took Appellant a year to be reinstated and this followed the intervention of the Ministry of Health.</w:t>
      </w:r>
    </w:p>
    <w:p w:rsidR="00543833" w:rsidRDefault="00AB6106" w:rsidP="00830FE6">
      <w:pPr>
        <w:pStyle w:val="ListParagraph"/>
        <w:numPr>
          <w:ilvl w:val="0"/>
          <w:numId w:val="3"/>
        </w:numPr>
        <w:spacing w:line="360" w:lineRule="auto"/>
        <w:jc w:val="both"/>
      </w:pPr>
      <w:r>
        <w:t>Appe</w:t>
      </w:r>
      <w:r w:rsidR="00543833">
        <w:t>llant stole medication that had been prescribed for a patient who had been discharged.</w:t>
      </w:r>
    </w:p>
    <w:p w:rsidR="00543833" w:rsidRDefault="00543833" w:rsidP="007F3C6F">
      <w:pPr>
        <w:jc w:val="both"/>
      </w:pPr>
    </w:p>
    <w:p w:rsidR="00EA4E92" w:rsidRDefault="007B6385" w:rsidP="00C2715D">
      <w:pPr>
        <w:spacing w:line="360" w:lineRule="auto"/>
        <w:ind w:firstLine="720"/>
        <w:jc w:val="both"/>
      </w:pPr>
      <w:r>
        <w:t>The Appellant has been convicted of a serious offence which goes to the root of the contract.  She breached the trust that was imposed on her by the employer.  Dismissal was the most appropriate penalty.  Therefore a penalty of transfer and non-payment of salary until resumption of duty is reasonable.  A penalty of transfer i</w:t>
      </w:r>
      <w:r w:rsidR="00EA4E92">
        <w:t xml:space="preserve">s provided for in section 50 (1) is of the Code.  Recovery of </w:t>
      </w:r>
      <w:r w:rsidR="00C2715D">
        <w:t>remuneration</w:t>
      </w:r>
      <w:r w:rsidR="00EA4E92">
        <w:t xml:space="preserve"> is also provided for under section 50 (1</w:t>
      </w:r>
      <w:r w:rsidR="007F3C6F">
        <w:t>) (</w:t>
      </w:r>
      <w:r w:rsidR="00EA4E92">
        <w:t>g) of the Code of Conduct.</w:t>
      </w:r>
    </w:p>
    <w:p w:rsidR="001F6806" w:rsidRDefault="001F6806" w:rsidP="00C2715D">
      <w:pPr>
        <w:spacing w:line="360" w:lineRule="auto"/>
        <w:ind w:firstLine="720"/>
        <w:jc w:val="both"/>
      </w:pPr>
    </w:p>
    <w:p w:rsidR="001F6806" w:rsidRDefault="001F6806" w:rsidP="007F3C6F">
      <w:pPr>
        <w:spacing w:line="360" w:lineRule="auto"/>
        <w:ind w:firstLine="720"/>
        <w:jc w:val="both"/>
      </w:pPr>
      <w:r>
        <w:t>Recovery of remuneration is also provided for under Section 50 (1</w:t>
      </w:r>
      <w:r w:rsidR="007F3C6F">
        <w:t>) (</w:t>
      </w:r>
      <w:r>
        <w:t>g) of the Code of Conduct.</w:t>
      </w:r>
    </w:p>
    <w:p w:rsidR="001F6806" w:rsidRDefault="001F6806" w:rsidP="007F3C6F">
      <w:pPr>
        <w:ind w:firstLine="720"/>
        <w:jc w:val="both"/>
      </w:pPr>
    </w:p>
    <w:p w:rsidR="001F6806" w:rsidRDefault="001F6806" w:rsidP="00C2715D">
      <w:pPr>
        <w:spacing w:line="360" w:lineRule="auto"/>
        <w:ind w:firstLine="720"/>
        <w:jc w:val="both"/>
      </w:pPr>
      <w:r>
        <w:lastRenderedPageBreak/>
        <w:t xml:space="preserve">Since the decision of the Health </w:t>
      </w:r>
      <w:r w:rsidR="00855E76">
        <w:t>Services Board</w:t>
      </w:r>
      <w:r w:rsidR="00BA1FF5">
        <w:t xml:space="preserve"> the Appellant has not been transferred.  The Legal Practitioner </w:t>
      </w:r>
      <w:r w:rsidR="008A195F">
        <w:t>Mr</w:t>
      </w:r>
      <w:r w:rsidR="0098558A">
        <w:t xml:space="preserve"> Masasire indicated that Appellant had not been transferred</w:t>
      </w:r>
      <w:r w:rsidR="00637622">
        <w:t xml:space="preserve"> due to lack of vacancies.  If</w:t>
      </w:r>
      <w:r w:rsidR="00F46683">
        <w:t xml:space="preserve"> the Ministry’s advert</w:t>
      </w:r>
      <w:r w:rsidR="009F7032">
        <w:t xml:space="preserve">ising vacancies for nurses </w:t>
      </w:r>
      <w:r w:rsidR="00637622">
        <w:t>one assumes that</w:t>
      </w:r>
      <w:r w:rsidR="009F7032">
        <w:t xml:space="preserve"> there are vacancies even in rural areas where Appellant can be transferred to.</w:t>
      </w:r>
      <w:r w:rsidR="00637622">
        <w:t xml:space="preserve">  The Appellant has been treated with great lenience</w:t>
      </w:r>
      <w:r w:rsidR="00DC0BF1">
        <w:t>.</w:t>
      </w:r>
    </w:p>
    <w:p w:rsidR="00A82401" w:rsidRDefault="00A82401" w:rsidP="007F3C6F">
      <w:pPr>
        <w:ind w:firstLine="720"/>
        <w:jc w:val="both"/>
      </w:pPr>
    </w:p>
    <w:p w:rsidR="00A82401" w:rsidRDefault="00B26570" w:rsidP="00C2715D">
      <w:pPr>
        <w:spacing w:line="360" w:lineRule="auto"/>
        <w:ind w:firstLine="720"/>
        <w:jc w:val="both"/>
      </w:pPr>
      <w:r>
        <w:t>This app</w:t>
      </w:r>
      <w:r w:rsidR="00DC0BF1">
        <w:t>eal has been on abuse of court</w:t>
      </w:r>
      <w:r>
        <w:t xml:space="preserve"> process by the Appellant.  She should be at home because of the nature of the </w:t>
      </w:r>
      <w:r w:rsidR="005F6315">
        <w:t>offence that she committed.  Appellant in fact should be grateful to the Health</w:t>
      </w:r>
      <w:r w:rsidR="001C0545">
        <w:t xml:space="preserve"> Services Board for </w:t>
      </w:r>
      <w:r w:rsidR="001649D6">
        <w:t>imposing such</w:t>
      </w:r>
      <w:r w:rsidR="00E14C32">
        <w:t xml:space="preserve"> a </w:t>
      </w:r>
      <w:r w:rsidR="00D83BA0">
        <w:t>lenient</w:t>
      </w:r>
      <w:r w:rsidR="00E14C32">
        <w:t xml:space="preserve"> penalty </w:t>
      </w:r>
      <w:r w:rsidR="00D83BA0">
        <w:t>on law.  Her colleagues who committed similar offences have been dismissed and are being dis</w:t>
      </w:r>
      <w:r w:rsidR="00B43C9B">
        <w:t>missed</w:t>
      </w:r>
      <w:r w:rsidR="00772D40">
        <w:t xml:space="preserve"> from employment.</w:t>
      </w:r>
    </w:p>
    <w:p w:rsidR="00772D40" w:rsidRDefault="00772D40" w:rsidP="00C2715D">
      <w:pPr>
        <w:spacing w:line="360" w:lineRule="auto"/>
        <w:ind w:firstLine="720"/>
        <w:jc w:val="both"/>
      </w:pPr>
    </w:p>
    <w:p w:rsidR="00772D40" w:rsidRDefault="00772D40" w:rsidP="00772D40">
      <w:pPr>
        <w:spacing w:line="360" w:lineRule="auto"/>
        <w:jc w:val="both"/>
      </w:pPr>
      <w:r>
        <w:t>To that end therefore it is ordered that the appeal be and is hereby dismissed with costs.</w:t>
      </w:r>
    </w:p>
    <w:p w:rsidR="00635AD7" w:rsidRDefault="00635AD7" w:rsidP="00772D40">
      <w:pPr>
        <w:spacing w:line="360" w:lineRule="auto"/>
        <w:jc w:val="both"/>
      </w:pPr>
    </w:p>
    <w:p w:rsidR="00635AD7" w:rsidRDefault="00635AD7" w:rsidP="00772D40">
      <w:pPr>
        <w:spacing w:line="360" w:lineRule="auto"/>
        <w:jc w:val="both"/>
      </w:pPr>
    </w:p>
    <w:p w:rsidR="00635AD7" w:rsidRDefault="00635AD7" w:rsidP="00772D40">
      <w:pPr>
        <w:spacing w:line="360" w:lineRule="auto"/>
        <w:jc w:val="both"/>
      </w:pPr>
      <w:r w:rsidRPr="007F3C6F">
        <w:rPr>
          <w:i/>
        </w:rPr>
        <w:t>Musoni Law Chambers</w:t>
      </w:r>
      <w:r w:rsidR="00704791">
        <w:t>, appellant’s legal practitioners</w:t>
      </w:r>
    </w:p>
    <w:p w:rsidR="00830FE6" w:rsidRDefault="00F24E52" w:rsidP="00543833">
      <w:pPr>
        <w:spacing w:line="360" w:lineRule="auto"/>
        <w:jc w:val="both"/>
      </w:pPr>
      <w:r>
        <w:t xml:space="preserve">                                       </w:t>
      </w:r>
    </w:p>
    <w:sectPr w:rsidR="00830FE6" w:rsidSect="00CA1DD7">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3FD" w:rsidRDefault="00FF73FD" w:rsidP="00CA1DD7">
      <w:r>
        <w:separator/>
      </w:r>
    </w:p>
  </w:endnote>
  <w:endnote w:type="continuationSeparator" w:id="0">
    <w:p w:rsidR="00FF73FD" w:rsidRDefault="00FF73FD" w:rsidP="00CA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543598"/>
      <w:docPartObj>
        <w:docPartGallery w:val="Page Numbers (Bottom of Page)"/>
        <w:docPartUnique/>
      </w:docPartObj>
    </w:sdtPr>
    <w:sdtEndPr>
      <w:rPr>
        <w:noProof/>
      </w:rPr>
    </w:sdtEndPr>
    <w:sdtContent>
      <w:p w:rsidR="00B23228" w:rsidRDefault="00B23228">
        <w:pPr>
          <w:pStyle w:val="Footer"/>
          <w:jc w:val="center"/>
        </w:pPr>
        <w:r>
          <w:fldChar w:fldCharType="begin"/>
        </w:r>
        <w:r>
          <w:instrText xml:space="preserve"> PAGE   \* MERGEFORMAT </w:instrText>
        </w:r>
        <w:r>
          <w:fldChar w:fldCharType="separate"/>
        </w:r>
        <w:r w:rsidR="00C03032">
          <w:rPr>
            <w:noProof/>
          </w:rPr>
          <w:t>3</w:t>
        </w:r>
        <w:r>
          <w:rPr>
            <w:noProof/>
          </w:rPr>
          <w:fldChar w:fldCharType="end"/>
        </w:r>
      </w:p>
    </w:sdtContent>
  </w:sdt>
  <w:p w:rsidR="00B23228" w:rsidRDefault="00B23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3FD" w:rsidRDefault="00FF73FD" w:rsidP="00CA1DD7">
      <w:r>
        <w:separator/>
      </w:r>
    </w:p>
  </w:footnote>
  <w:footnote w:type="continuationSeparator" w:id="0">
    <w:p w:rsidR="00FF73FD" w:rsidRDefault="00FF73FD" w:rsidP="00CA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DD7" w:rsidRPr="00CA1DD7" w:rsidRDefault="00CA1DD7">
    <w:pPr>
      <w:pStyle w:val="Header"/>
      <w:rPr>
        <w:lang w:val="en-ZW"/>
      </w:rPr>
    </w:pPr>
    <w:r>
      <w:rPr>
        <w:lang w:val="en-ZW"/>
      </w:rPr>
      <w:tab/>
    </w:r>
    <w:r>
      <w:rPr>
        <w:lang w:val="en-ZW"/>
      </w:rPr>
      <w:tab/>
      <w:t>JUDGMENT NO. LC/H/</w:t>
    </w:r>
    <w:r w:rsidR="006E270F">
      <w:rPr>
        <w:lang w:val="en-ZW"/>
      </w:rPr>
      <w:t>340</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846F3"/>
    <w:multiLevelType w:val="hybridMultilevel"/>
    <w:tmpl w:val="7C42580E"/>
    <w:lvl w:ilvl="0" w:tplc="A986FE7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CCB236D"/>
    <w:multiLevelType w:val="hybridMultilevel"/>
    <w:tmpl w:val="609CA388"/>
    <w:lvl w:ilvl="0" w:tplc="701091A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3673065"/>
    <w:multiLevelType w:val="hybridMultilevel"/>
    <w:tmpl w:val="1EA282C8"/>
    <w:lvl w:ilvl="0" w:tplc="FBA6C80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4C7"/>
    <w:rsid w:val="00021F77"/>
    <w:rsid w:val="00032AB8"/>
    <w:rsid w:val="000C3976"/>
    <w:rsid w:val="000E76DB"/>
    <w:rsid w:val="000F5411"/>
    <w:rsid w:val="00134910"/>
    <w:rsid w:val="001649D6"/>
    <w:rsid w:val="001C0545"/>
    <w:rsid w:val="001F5FD1"/>
    <w:rsid w:val="001F6806"/>
    <w:rsid w:val="002203DF"/>
    <w:rsid w:val="00352074"/>
    <w:rsid w:val="003918DE"/>
    <w:rsid w:val="00404423"/>
    <w:rsid w:val="0043133B"/>
    <w:rsid w:val="004454C7"/>
    <w:rsid w:val="004576F9"/>
    <w:rsid w:val="005003AC"/>
    <w:rsid w:val="00516387"/>
    <w:rsid w:val="005166A2"/>
    <w:rsid w:val="00534DC1"/>
    <w:rsid w:val="00543833"/>
    <w:rsid w:val="005D432A"/>
    <w:rsid w:val="005D58D8"/>
    <w:rsid w:val="005F6315"/>
    <w:rsid w:val="00606576"/>
    <w:rsid w:val="00635AD7"/>
    <w:rsid w:val="00637622"/>
    <w:rsid w:val="00641E99"/>
    <w:rsid w:val="006A27B0"/>
    <w:rsid w:val="006C172E"/>
    <w:rsid w:val="006E270F"/>
    <w:rsid w:val="00704791"/>
    <w:rsid w:val="00772D40"/>
    <w:rsid w:val="007A1284"/>
    <w:rsid w:val="007B6385"/>
    <w:rsid w:val="007D7A2A"/>
    <w:rsid w:val="007F3C6F"/>
    <w:rsid w:val="008103D9"/>
    <w:rsid w:val="00830FE6"/>
    <w:rsid w:val="00846670"/>
    <w:rsid w:val="00855E76"/>
    <w:rsid w:val="008A195F"/>
    <w:rsid w:val="00902F28"/>
    <w:rsid w:val="00975F9E"/>
    <w:rsid w:val="009845C8"/>
    <w:rsid w:val="0098558A"/>
    <w:rsid w:val="009D3987"/>
    <w:rsid w:val="009F7032"/>
    <w:rsid w:val="00A35E84"/>
    <w:rsid w:val="00A52D60"/>
    <w:rsid w:val="00A61676"/>
    <w:rsid w:val="00A76CCA"/>
    <w:rsid w:val="00A82401"/>
    <w:rsid w:val="00AB6106"/>
    <w:rsid w:val="00AD475F"/>
    <w:rsid w:val="00B23228"/>
    <w:rsid w:val="00B26570"/>
    <w:rsid w:val="00B41FD4"/>
    <w:rsid w:val="00B43C9B"/>
    <w:rsid w:val="00BA1FF5"/>
    <w:rsid w:val="00C03032"/>
    <w:rsid w:val="00C2715D"/>
    <w:rsid w:val="00C670E2"/>
    <w:rsid w:val="00CA1DD7"/>
    <w:rsid w:val="00CA3DAC"/>
    <w:rsid w:val="00D15AA1"/>
    <w:rsid w:val="00D43ED7"/>
    <w:rsid w:val="00D83BA0"/>
    <w:rsid w:val="00DC0BF1"/>
    <w:rsid w:val="00E11DF4"/>
    <w:rsid w:val="00E134D5"/>
    <w:rsid w:val="00E14789"/>
    <w:rsid w:val="00E14C32"/>
    <w:rsid w:val="00E9173A"/>
    <w:rsid w:val="00EA2064"/>
    <w:rsid w:val="00EA23BE"/>
    <w:rsid w:val="00EA3BD5"/>
    <w:rsid w:val="00EA4E92"/>
    <w:rsid w:val="00F24E52"/>
    <w:rsid w:val="00F46683"/>
    <w:rsid w:val="00F80650"/>
    <w:rsid w:val="00F81387"/>
    <w:rsid w:val="00FE697B"/>
    <w:rsid w:val="00FF73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4C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3DF"/>
    <w:pPr>
      <w:ind w:left="720"/>
      <w:contextualSpacing/>
    </w:pPr>
  </w:style>
  <w:style w:type="paragraph" w:styleId="Header">
    <w:name w:val="header"/>
    <w:basedOn w:val="Normal"/>
    <w:link w:val="HeaderChar"/>
    <w:uiPriority w:val="99"/>
    <w:unhideWhenUsed/>
    <w:rsid w:val="00CA1DD7"/>
    <w:pPr>
      <w:tabs>
        <w:tab w:val="center" w:pos="4513"/>
        <w:tab w:val="right" w:pos="9026"/>
      </w:tabs>
    </w:pPr>
  </w:style>
  <w:style w:type="character" w:customStyle="1" w:styleId="HeaderChar">
    <w:name w:val="Header Char"/>
    <w:basedOn w:val="DefaultParagraphFont"/>
    <w:link w:val="Header"/>
    <w:uiPriority w:val="99"/>
    <w:rsid w:val="00CA1DD7"/>
    <w:rPr>
      <w:rFonts w:ascii="Tahoma" w:eastAsia="Times New Roman" w:hAnsi="Tahoma" w:cs="Times New Roman"/>
      <w:sz w:val="24"/>
      <w:szCs w:val="24"/>
      <w:lang w:val="en-US"/>
    </w:rPr>
  </w:style>
  <w:style w:type="paragraph" w:styleId="Footer">
    <w:name w:val="footer"/>
    <w:basedOn w:val="Normal"/>
    <w:link w:val="FooterChar"/>
    <w:uiPriority w:val="99"/>
    <w:unhideWhenUsed/>
    <w:rsid w:val="00CA1DD7"/>
    <w:pPr>
      <w:tabs>
        <w:tab w:val="center" w:pos="4513"/>
        <w:tab w:val="right" w:pos="9026"/>
      </w:tabs>
    </w:pPr>
  </w:style>
  <w:style w:type="character" w:customStyle="1" w:styleId="FooterChar">
    <w:name w:val="Footer Char"/>
    <w:basedOn w:val="DefaultParagraphFont"/>
    <w:link w:val="Footer"/>
    <w:uiPriority w:val="99"/>
    <w:rsid w:val="00CA1DD7"/>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4C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3DF"/>
    <w:pPr>
      <w:ind w:left="720"/>
      <w:contextualSpacing/>
    </w:pPr>
  </w:style>
  <w:style w:type="paragraph" w:styleId="Header">
    <w:name w:val="header"/>
    <w:basedOn w:val="Normal"/>
    <w:link w:val="HeaderChar"/>
    <w:uiPriority w:val="99"/>
    <w:unhideWhenUsed/>
    <w:rsid w:val="00CA1DD7"/>
    <w:pPr>
      <w:tabs>
        <w:tab w:val="center" w:pos="4513"/>
        <w:tab w:val="right" w:pos="9026"/>
      </w:tabs>
    </w:pPr>
  </w:style>
  <w:style w:type="character" w:customStyle="1" w:styleId="HeaderChar">
    <w:name w:val="Header Char"/>
    <w:basedOn w:val="DefaultParagraphFont"/>
    <w:link w:val="Header"/>
    <w:uiPriority w:val="99"/>
    <w:rsid w:val="00CA1DD7"/>
    <w:rPr>
      <w:rFonts w:ascii="Tahoma" w:eastAsia="Times New Roman" w:hAnsi="Tahoma" w:cs="Times New Roman"/>
      <w:sz w:val="24"/>
      <w:szCs w:val="24"/>
      <w:lang w:val="en-US"/>
    </w:rPr>
  </w:style>
  <w:style w:type="paragraph" w:styleId="Footer">
    <w:name w:val="footer"/>
    <w:basedOn w:val="Normal"/>
    <w:link w:val="FooterChar"/>
    <w:uiPriority w:val="99"/>
    <w:unhideWhenUsed/>
    <w:rsid w:val="00CA1DD7"/>
    <w:pPr>
      <w:tabs>
        <w:tab w:val="center" w:pos="4513"/>
        <w:tab w:val="right" w:pos="9026"/>
      </w:tabs>
    </w:pPr>
  </w:style>
  <w:style w:type="character" w:customStyle="1" w:styleId="FooterChar">
    <w:name w:val="Footer Char"/>
    <w:basedOn w:val="DefaultParagraphFont"/>
    <w:link w:val="Footer"/>
    <w:uiPriority w:val="99"/>
    <w:rsid w:val="00CA1DD7"/>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DB8A7-A741-4492-A900-19A826BC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29</cp:revision>
  <dcterms:created xsi:type="dcterms:W3CDTF">2016-05-17T09:07:00Z</dcterms:created>
  <dcterms:modified xsi:type="dcterms:W3CDTF">2016-05-26T13:43:00Z</dcterms:modified>
</cp:coreProperties>
</file>