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A1" w:rsidRDefault="005C7BD9" w:rsidP="005C7BD9">
      <w:pPr>
        <w:spacing w:line="360" w:lineRule="auto"/>
        <w:jc w:val="both"/>
        <w:rPr>
          <w:b/>
          <w:sz w:val="28"/>
          <w:szCs w:val="28"/>
        </w:rPr>
      </w:pPr>
      <w:r>
        <w:rPr>
          <w:b/>
          <w:sz w:val="28"/>
          <w:szCs w:val="28"/>
        </w:rPr>
        <w:t>IN THE LABOUR COURT OF ZIMBABWE                 JUDGMENT NO LC/H/723/13</w:t>
      </w:r>
    </w:p>
    <w:p w:rsidR="005C7BD9" w:rsidRDefault="005C7BD9" w:rsidP="005C7BD9">
      <w:pPr>
        <w:spacing w:line="360" w:lineRule="auto"/>
        <w:jc w:val="both"/>
        <w:rPr>
          <w:b/>
          <w:sz w:val="28"/>
          <w:szCs w:val="28"/>
        </w:rPr>
      </w:pPr>
      <w:r>
        <w:rPr>
          <w:b/>
          <w:sz w:val="28"/>
          <w:szCs w:val="28"/>
        </w:rPr>
        <w:t>HELD AT HARARE 28</w:t>
      </w:r>
      <w:r w:rsidRPr="005C7BD9">
        <w:rPr>
          <w:b/>
          <w:sz w:val="28"/>
          <w:szCs w:val="28"/>
          <w:vertAlign w:val="superscript"/>
        </w:rPr>
        <w:t>TH</w:t>
      </w:r>
      <w:r>
        <w:rPr>
          <w:b/>
          <w:sz w:val="28"/>
          <w:szCs w:val="28"/>
        </w:rPr>
        <w:t xml:space="preserve"> NOVEMBER 2013              CASE NO LC/H/290/13</w:t>
      </w:r>
    </w:p>
    <w:p w:rsidR="00A42251" w:rsidRDefault="00A42251" w:rsidP="005C7BD9">
      <w:pPr>
        <w:spacing w:line="360" w:lineRule="auto"/>
        <w:jc w:val="both"/>
        <w:rPr>
          <w:b/>
          <w:sz w:val="28"/>
          <w:szCs w:val="28"/>
        </w:rPr>
      </w:pPr>
      <w:r>
        <w:rPr>
          <w:b/>
          <w:sz w:val="28"/>
          <w:szCs w:val="28"/>
        </w:rPr>
        <w:t>AND 3 JANUARY 2014</w:t>
      </w:r>
      <w:bookmarkStart w:id="0" w:name="_GoBack"/>
      <w:bookmarkEnd w:id="0"/>
    </w:p>
    <w:p w:rsidR="005C7BD9" w:rsidRDefault="005C7BD9" w:rsidP="005C7BD9">
      <w:pPr>
        <w:spacing w:line="360" w:lineRule="auto"/>
        <w:jc w:val="both"/>
        <w:rPr>
          <w:b/>
          <w:sz w:val="28"/>
          <w:szCs w:val="28"/>
        </w:rPr>
      </w:pPr>
    </w:p>
    <w:p w:rsidR="005C7BD9" w:rsidRDefault="005C7BD9" w:rsidP="005C7BD9">
      <w:pPr>
        <w:spacing w:line="360" w:lineRule="auto"/>
        <w:jc w:val="both"/>
        <w:rPr>
          <w:b/>
          <w:sz w:val="28"/>
          <w:szCs w:val="28"/>
        </w:rPr>
      </w:pPr>
      <w:r>
        <w:rPr>
          <w:b/>
          <w:sz w:val="28"/>
          <w:szCs w:val="28"/>
        </w:rPr>
        <w:t>PAUL CHINYAMA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Appellant</w:t>
      </w:r>
    </w:p>
    <w:p w:rsidR="005C7BD9" w:rsidRDefault="005C7BD9" w:rsidP="005C7BD9">
      <w:pPr>
        <w:spacing w:line="360" w:lineRule="auto"/>
        <w:jc w:val="both"/>
        <w:rPr>
          <w:b/>
          <w:sz w:val="28"/>
          <w:szCs w:val="28"/>
        </w:rPr>
      </w:pPr>
      <w:r>
        <w:rPr>
          <w:b/>
          <w:sz w:val="28"/>
          <w:szCs w:val="28"/>
        </w:rPr>
        <w:t>PARAMOUNT EXPORTS</w:t>
      </w:r>
      <w:r>
        <w:rPr>
          <w:b/>
          <w:sz w:val="28"/>
          <w:szCs w:val="28"/>
        </w:rPr>
        <w:tab/>
      </w:r>
      <w:r>
        <w:rPr>
          <w:b/>
          <w:sz w:val="28"/>
          <w:szCs w:val="28"/>
        </w:rPr>
        <w:tab/>
      </w:r>
      <w:r>
        <w:rPr>
          <w:b/>
          <w:sz w:val="28"/>
          <w:szCs w:val="28"/>
        </w:rPr>
        <w:tab/>
      </w:r>
      <w:r>
        <w:rPr>
          <w:b/>
          <w:sz w:val="28"/>
          <w:szCs w:val="28"/>
        </w:rPr>
        <w:tab/>
      </w:r>
      <w:r>
        <w:rPr>
          <w:b/>
          <w:sz w:val="28"/>
          <w:szCs w:val="28"/>
        </w:rPr>
        <w:tab/>
        <w:t>Respondent</w:t>
      </w:r>
    </w:p>
    <w:p w:rsidR="005C7BD9" w:rsidRDefault="008C6D4E" w:rsidP="005C7BD9">
      <w:pPr>
        <w:spacing w:line="360" w:lineRule="auto"/>
        <w:jc w:val="both"/>
        <w:rPr>
          <w:b/>
          <w:sz w:val="28"/>
          <w:szCs w:val="28"/>
        </w:rPr>
      </w:pPr>
      <w:r>
        <w:rPr>
          <w:b/>
          <w:sz w:val="28"/>
          <w:szCs w:val="28"/>
        </w:rPr>
        <w:t>(PRIVATE</w:t>
      </w:r>
      <w:r w:rsidR="005C7BD9">
        <w:rPr>
          <w:b/>
          <w:sz w:val="28"/>
          <w:szCs w:val="28"/>
        </w:rPr>
        <w:t>) LIMITED</w:t>
      </w:r>
    </w:p>
    <w:p w:rsidR="005C7BD9" w:rsidRDefault="005C7BD9" w:rsidP="005C7BD9">
      <w:pPr>
        <w:spacing w:line="360" w:lineRule="auto"/>
        <w:jc w:val="both"/>
        <w:rPr>
          <w:b/>
          <w:sz w:val="28"/>
          <w:szCs w:val="28"/>
        </w:rPr>
      </w:pPr>
    </w:p>
    <w:p w:rsidR="005C7BD9" w:rsidRDefault="005C7BD9" w:rsidP="005C7BD9">
      <w:pPr>
        <w:spacing w:line="360" w:lineRule="auto"/>
        <w:jc w:val="both"/>
        <w:rPr>
          <w:sz w:val="28"/>
          <w:szCs w:val="28"/>
        </w:rPr>
      </w:pPr>
      <w:r>
        <w:rPr>
          <w:sz w:val="28"/>
          <w:szCs w:val="28"/>
        </w:rPr>
        <w:t>Before The Honourable G Musariri, Judge</w:t>
      </w:r>
    </w:p>
    <w:p w:rsidR="005C7BD9" w:rsidRDefault="005C7BD9" w:rsidP="005C7BD9">
      <w:pPr>
        <w:spacing w:line="360" w:lineRule="auto"/>
        <w:jc w:val="both"/>
        <w:rPr>
          <w:b/>
          <w:sz w:val="28"/>
          <w:szCs w:val="28"/>
        </w:rPr>
      </w:pPr>
      <w:r>
        <w:rPr>
          <w:b/>
          <w:sz w:val="28"/>
          <w:szCs w:val="28"/>
        </w:rPr>
        <w:t xml:space="preserve">For Appellant </w:t>
      </w:r>
      <w:r>
        <w:rPr>
          <w:b/>
          <w:sz w:val="28"/>
          <w:szCs w:val="28"/>
        </w:rPr>
        <w:tab/>
      </w:r>
      <w:r>
        <w:rPr>
          <w:b/>
          <w:sz w:val="28"/>
          <w:szCs w:val="28"/>
        </w:rPr>
        <w:tab/>
        <w:t xml:space="preserve">Mr K </w:t>
      </w:r>
      <w:proofErr w:type="spellStart"/>
      <w:r>
        <w:rPr>
          <w:b/>
          <w:sz w:val="28"/>
          <w:szCs w:val="28"/>
        </w:rPr>
        <w:t>Guteni</w:t>
      </w:r>
      <w:proofErr w:type="spellEnd"/>
      <w:r>
        <w:rPr>
          <w:b/>
          <w:sz w:val="28"/>
          <w:szCs w:val="28"/>
        </w:rPr>
        <w:t>, Unionist</w:t>
      </w:r>
    </w:p>
    <w:p w:rsidR="005C7BD9" w:rsidRDefault="005C7BD9" w:rsidP="005C7BD9">
      <w:pPr>
        <w:spacing w:line="360" w:lineRule="auto"/>
        <w:jc w:val="both"/>
        <w:rPr>
          <w:b/>
          <w:sz w:val="28"/>
          <w:szCs w:val="28"/>
        </w:rPr>
      </w:pPr>
      <w:r>
        <w:rPr>
          <w:b/>
          <w:sz w:val="28"/>
          <w:szCs w:val="28"/>
        </w:rPr>
        <w:t>For Respondent</w:t>
      </w:r>
      <w:r>
        <w:rPr>
          <w:b/>
          <w:sz w:val="28"/>
          <w:szCs w:val="28"/>
        </w:rPr>
        <w:tab/>
      </w:r>
      <w:r>
        <w:rPr>
          <w:b/>
          <w:sz w:val="28"/>
          <w:szCs w:val="28"/>
        </w:rPr>
        <w:tab/>
        <w:t xml:space="preserve">Ms G </w:t>
      </w:r>
      <w:proofErr w:type="spellStart"/>
      <w:r>
        <w:rPr>
          <w:b/>
          <w:sz w:val="28"/>
          <w:szCs w:val="28"/>
        </w:rPr>
        <w:t>Ncube</w:t>
      </w:r>
      <w:proofErr w:type="spellEnd"/>
      <w:r>
        <w:rPr>
          <w:b/>
          <w:sz w:val="28"/>
          <w:szCs w:val="28"/>
        </w:rPr>
        <w:t>, Attorney</w:t>
      </w:r>
    </w:p>
    <w:p w:rsidR="005C7BD9" w:rsidRDefault="005C7BD9" w:rsidP="005C7BD9">
      <w:pPr>
        <w:spacing w:line="360" w:lineRule="auto"/>
        <w:jc w:val="both"/>
        <w:rPr>
          <w:sz w:val="28"/>
          <w:szCs w:val="28"/>
        </w:rPr>
      </w:pPr>
    </w:p>
    <w:p w:rsidR="005C7BD9" w:rsidRDefault="005C7BD9" w:rsidP="005C7BD9">
      <w:pPr>
        <w:spacing w:line="360" w:lineRule="auto"/>
        <w:jc w:val="both"/>
        <w:rPr>
          <w:b/>
          <w:sz w:val="28"/>
          <w:szCs w:val="28"/>
        </w:rPr>
      </w:pPr>
      <w:r>
        <w:rPr>
          <w:b/>
          <w:sz w:val="28"/>
          <w:szCs w:val="28"/>
        </w:rPr>
        <w:t>MUSARIRI, G:</w:t>
      </w:r>
    </w:p>
    <w:p w:rsidR="005C7BD9" w:rsidRDefault="005C7BD9" w:rsidP="005C7BD9">
      <w:pPr>
        <w:spacing w:line="360" w:lineRule="auto"/>
        <w:jc w:val="both"/>
        <w:rPr>
          <w:b/>
          <w:sz w:val="28"/>
          <w:szCs w:val="28"/>
        </w:rPr>
      </w:pPr>
    </w:p>
    <w:p w:rsidR="005C7BD9" w:rsidRDefault="005C7BD9" w:rsidP="005C7BD9">
      <w:pPr>
        <w:spacing w:line="360" w:lineRule="auto"/>
        <w:jc w:val="both"/>
        <w:rPr>
          <w:sz w:val="28"/>
          <w:szCs w:val="28"/>
        </w:rPr>
      </w:pPr>
      <w:r>
        <w:rPr>
          <w:sz w:val="28"/>
          <w:szCs w:val="28"/>
        </w:rPr>
        <w:t>Appellant’s grounds of appeal read as follows;</w:t>
      </w:r>
    </w:p>
    <w:p w:rsidR="005C7BD9" w:rsidRDefault="005C7BD9" w:rsidP="00FD59AC">
      <w:pPr>
        <w:spacing w:after="0" w:line="360" w:lineRule="auto"/>
        <w:ind w:left="720"/>
        <w:jc w:val="both"/>
        <w:rPr>
          <w:i/>
          <w:sz w:val="28"/>
          <w:szCs w:val="28"/>
        </w:rPr>
      </w:pPr>
      <w:r>
        <w:rPr>
          <w:i/>
          <w:sz w:val="28"/>
          <w:szCs w:val="28"/>
        </w:rPr>
        <w:t>“The Respondent was wrong in erring that I was sitting on a final warning before the alleged offence was committed.</w:t>
      </w:r>
    </w:p>
    <w:p w:rsidR="005C7BD9" w:rsidRDefault="005C7BD9" w:rsidP="00FD59AC">
      <w:pPr>
        <w:spacing w:after="0" w:line="360" w:lineRule="auto"/>
        <w:ind w:left="720"/>
        <w:jc w:val="both"/>
        <w:rPr>
          <w:i/>
          <w:sz w:val="28"/>
          <w:szCs w:val="28"/>
        </w:rPr>
      </w:pPr>
      <w:r>
        <w:rPr>
          <w:i/>
          <w:sz w:val="28"/>
          <w:szCs w:val="28"/>
        </w:rPr>
        <w:t>I was never brought to a hearing where the Disciplinary Committee came up with a final warning.  It is disputed.</w:t>
      </w:r>
    </w:p>
    <w:p w:rsidR="005C7BD9" w:rsidRDefault="005C7BD9" w:rsidP="005C7BD9">
      <w:pPr>
        <w:spacing w:line="360" w:lineRule="auto"/>
        <w:ind w:left="720"/>
        <w:jc w:val="both"/>
        <w:rPr>
          <w:i/>
          <w:sz w:val="28"/>
          <w:szCs w:val="28"/>
        </w:rPr>
      </w:pPr>
      <w:r>
        <w:rPr>
          <w:i/>
          <w:sz w:val="28"/>
          <w:szCs w:val="28"/>
        </w:rPr>
        <w:t>The Respondent</w:t>
      </w:r>
      <w:r w:rsidR="00FD59AC">
        <w:rPr>
          <w:i/>
          <w:sz w:val="28"/>
          <w:szCs w:val="28"/>
        </w:rPr>
        <w:t xml:space="preserve"> in terminating my services never got lenient given that I had served the company for nearly 20 years without any problem.</w:t>
      </w:r>
    </w:p>
    <w:p w:rsidR="00FD59AC" w:rsidRDefault="00FD59AC" w:rsidP="00FD59AC">
      <w:pPr>
        <w:spacing w:after="0" w:line="360" w:lineRule="auto"/>
        <w:ind w:left="720"/>
        <w:jc w:val="both"/>
        <w:rPr>
          <w:i/>
          <w:sz w:val="28"/>
          <w:szCs w:val="28"/>
        </w:rPr>
      </w:pPr>
      <w:r>
        <w:rPr>
          <w:i/>
          <w:sz w:val="28"/>
          <w:szCs w:val="28"/>
        </w:rPr>
        <w:lastRenderedPageBreak/>
        <w:t>I feel it was really constructive dismissal as I was not reprimanded.  If Respondent considered my service I would have either given a final warning or demotion either to general hand as being educational than being punitive on my part.</w:t>
      </w:r>
    </w:p>
    <w:p w:rsidR="00FD59AC" w:rsidRDefault="00FD59AC" w:rsidP="00FD59AC">
      <w:pPr>
        <w:spacing w:after="0" w:line="360" w:lineRule="auto"/>
        <w:ind w:left="720"/>
        <w:jc w:val="both"/>
        <w:rPr>
          <w:i/>
          <w:sz w:val="28"/>
          <w:szCs w:val="28"/>
        </w:rPr>
      </w:pPr>
      <w:r>
        <w:rPr>
          <w:i/>
          <w:sz w:val="28"/>
          <w:szCs w:val="28"/>
        </w:rPr>
        <w:t>Furthermore from the reports made as proof no witnesses were brought by the Respondent to testify in person thereby denying me the existence of natural justice see the documented annexed thereto for consideration.</w:t>
      </w:r>
    </w:p>
    <w:p w:rsidR="00FD59AC" w:rsidRDefault="00FD59AC" w:rsidP="00FD59AC">
      <w:pPr>
        <w:spacing w:after="0" w:line="360" w:lineRule="auto"/>
        <w:ind w:left="720"/>
        <w:jc w:val="both"/>
        <w:rPr>
          <w:i/>
          <w:sz w:val="28"/>
          <w:szCs w:val="28"/>
        </w:rPr>
      </w:pPr>
      <w:r>
        <w:rPr>
          <w:i/>
          <w:sz w:val="28"/>
          <w:szCs w:val="28"/>
        </w:rPr>
        <w:t>That is all I can say.”</w:t>
      </w:r>
    </w:p>
    <w:p w:rsidR="00FD59AC" w:rsidRDefault="00FD59AC" w:rsidP="00FD59AC">
      <w:pPr>
        <w:spacing w:after="0" w:line="360" w:lineRule="auto"/>
        <w:jc w:val="both"/>
        <w:rPr>
          <w:sz w:val="28"/>
          <w:szCs w:val="28"/>
        </w:rPr>
      </w:pPr>
    </w:p>
    <w:p w:rsidR="00FD59AC" w:rsidRDefault="00FD59AC" w:rsidP="00FD59AC">
      <w:pPr>
        <w:spacing w:after="0" w:line="360" w:lineRule="auto"/>
        <w:jc w:val="both"/>
        <w:rPr>
          <w:sz w:val="28"/>
          <w:szCs w:val="28"/>
        </w:rPr>
      </w:pPr>
      <w:r>
        <w:rPr>
          <w:sz w:val="28"/>
          <w:szCs w:val="28"/>
        </w:rPr>
        <w:t>Respondent opposed the appeal.  Its Response pointed out that,</w:t>
      </w:r>
    </w:p>
    <w:p w:rsidR="00FD59AC" w:rsidRDefault="00FD59AC" w:rsidP="00FD59AC">
      <w:pPr>
        <w:spacing w:after="0" w:line="360" w:lineRule="auto"/>
        <w:ind w:left="1440" w:hanging="720"/>
        <w:jc w:val="both"/>
        <w:rPr>
          <w:i/>
          <w:sz w:val="28"/>
          <w:szCs w:val="28"/>
        </w:rPr>
      </w:pPr>
      <w:r>
        <w:rPr>
          <w:i/>
          <w:sz w:val="28"/>
          <w:szCs w:val="28"/>
        </w:rPr>
        <w:t>“1.</w:t>
      </w:r>
      <w:r>
        <w:rPr>
          <w:i/>
          <w:sz w:val="28"/>
          <w:szCs w:val="28"/>
        </w:rPr>
        <w:tab/>
        <w:t>The appeal does not appear to be an appeal against the decision of the NEC Appeals Board, but against the decision of the Respondent, which was upheld by the Appeals Board.</w:t>
      </w:r>
    </w:p>
    <w:p w:rsidR="00FD59AC" w:rsidRDefault="00FD59AC" w:rsidP="00FD59AC">
      <w:pPr>
        <w:spacing w:after="0" w:line="360" w:lineRule="auto"/>
        <w:ind w:left="1440" w:hanging="720"/>
        <w:jc w:val="both"/>
        <w:rPr>
          <w:i/>
          <w:sz w:val="28"/>
          <w:szCs w:val="28"/>
        </w:rPr>
      </w:pPr>
      <w:r>
        <w:rPr>
          <w:i/>
          <w:sz w:val="28"/>
          <w:szCs w:val="28"/>
        </w:rPr>
        <w:t>2.</w:t>
      </w:r>
      <w:r>
        <w:rPr>
          <w:i/>
          <w:sz w:val="28"/>
          <w:szCs w:val="28"/>
        </w:rPr>
        <w:tab/>
        <w:t>Appellant was on a final written warning, valid for 12 months, given on 3 October 2012.</w:t>
      </w:r>
    </w:p>
    <w:p w:rsidR="00FD59AC" w:rsidRDefault="00FD59AC" w:rsidP="00FD59AC">
      <w:pPr>
        <w:spacing w:after="0" w:line="360" w:lineRule="auto"/>
        <w:ind w:left="1440" w:hanging="720"/>
        <w:jc w:val="both"/>
        <w:rPr>
          <w:i/>
          <w:sz w:val="28"/>
          <w:szCs w:val="28"/>
        </w:rPr>
      </w:pPr>
      <w:r>
        <w:rPr>
          <w:i/>
          <w:sz w:val="28"/>
          <w:szCs w:val="28"/>
        </w:rPr>
        <w:t>3.</w:t>
      </w:r>
      <w:r>
        <w:rPr>
          <w:i/>
          <w:sz w:val="28"/>
          <w:szCs w:val="28"/>
        </w:rPr>
        <w:tab/>
        <w:t>Appellant’s length of service was considered by both Respondent and the NEC Appeals Board.</w:t>
      </w:r>
    </w:p>
    <w:p w:rsidR="00FD59AC" w:rsidRDefault="00FD59AC" w:rsidP="00FD59AC">
      <w:pPr>
        <w:spacing w:after="0" w:line="360" w:lineRule="auto"/>
        <w:ind w:left="1440" w:hanging="720"/>
        <w:jc w:val="both"/>
        <w:rPr>
          <w:i/>
          <w:sz w:val="28"/>
          <w:szCs w:val="28"/>
        </w:rPr>
      </w:pPr>
      <w:r>
        <w:rPr>
          <w:i/>
          <w:sz w:val="28"/>
          <w:szCs w:val="28"/>
        </w:rPr>
        <w:t>4.</w:t>
      </w:r>
      <w:r>
        <w:rPr>
          <w:i/>
          <w:sz w:val="28"/>
          <w:szCs w:val="28"/>
        </w:rPr>
        <w:tab/>
        <w:t>Appellant admitted the offence before the Disciplinary and Grievance Committee, and evidence was given before the Disciplinary and Grievance Committee, and before the NEC Appeals Board, which enable</w:t>
      </w:r>
      <w:r w:rsidR="006E2DF7">
        <w:rPr>
          <w:i/>
          <w:sz w:val="28"/>
          <w:szCs w:val="28"/>
        </w:rPr>
        <w:t>d</w:t>
      </w:r>
      <w:r>
        <w:rPr>
          <w:i/>
          <w:sz w:val="28"/>
          <w:szCs w:val="28"/>
        </w:rPr>
        <w:t xml:space="preserve"> both bodies to make a decision.”</w:t>
      </w:r>
    </w:p>
    <w:p w:rsidR="00FD59AC" w:rsidRDefault="00FD59AC" w:rsidP="00FD59AC">
      <w:pPr>
        <w:spacing w:after="0" w:line="360" w:lineRule="auto"/>
        <w:jc w:val="both"/>
        <w:rPr>
          <w:sz w:val="28"/>
          <w:szCs w:val="28"/>
        </w:rPr>
      </w:pPr>
    </w:p>
    <w:p w:rsidR="0018453D" w:rsidRDefault="00FD59AC" w:rsidP="00FD59AC">
      <w:pPr>
        <w:spacing w:after="0" w:line="360" w:lineRule="auto"/>
        <w:jc w:val="both"/>
        <w:rPr>
          <w:sz w:val="28"/>
          <w:szCs w:val="28"/>
        </w:rPr>
      </w:pPr>
      <w:r>
        <w:rPr>
          <w:sz w:val="28"/>
          <w:szCs w:val="28"/>
        </w:rPr>
        <w:t>The appeal raises really one main point to say the penalty of dismissal was excessive in the circumstances. It disputes the existe</w:t>
      </w:r>
      <w:r w:rsidR="003E5398">
        <w:rPr>
          <w:sz w:val="28"/>
          <w:szCs w:val="28"/>
        </w:rPr>
        <w:t xml:space="preserve">nce of a final warning and avers that Appellant’s length of service was not considered.  Appellant relied on a warning which is filed of record. It is dated </w:t>
      </w:r>
      <w:r w:rsidR="003E5398">
        <w:rPr>
          <w:sz w:val="28"/>
          <w:szCs w:val="28"/>
          <w:u w:val="single"/>
        </w:rPr>
        <w:t>3</w:t>
      </w:r>
      <w:r w:rsidR="003E5398" w:rsidRPr="003E5398">
        <w:rPr>
          <w:sz w:val="28"/>
          <w:szCs w:val="28"/>
          <w:u w:val="single"/>
          <w:vertAlign w:val="superscript"/>
        </w:rPr>
        <w:t>rd</w:t>
      </w:r>
      <w:r w:rsidR="003E5398">
        <w:rPr>
          <w:sz w:val="28"/>
          <w:szCs w:val="28"/>
          <w:u w:val="single"/>
        </w:rPr>
        <w:t xml:space="preserve"> October 2012.</w:t>
      </w:r>
      <w:r w:rsidR="003E5398">
        <w:rPr>
          <w:sz w:val="28"/>
          <w:szCs w:val="28"/>
        </w:rPr>
        <w:t xml:space="preserve">  Appellant’s name is given as the employee.  The offence is classified as “Major Offence; </w:t>
      </w:r>
      <w:r w:rsidR="003E5398">
        <w:rPr>
          <w:sz w:val="28"/>
          <w:szCs w:val="28"/>
        </w:rPr>
        <w:lastRenderedPageBreak/>
        <w:t xml:space="preserve">Inefficiency in work performance.”    The warning reads “You are hereby issued with a final written warning which expires after 12 months.  Any similar offence will lead to your dismissal.”  Appellant and his representative both signed the warning on the date it was issued.  This warning was not challenged.  The allegation that it was not preceded by a hearing does not hold </w:t>
      </w:r>
      <w:r w:rsidR="006E2DF7">
        <w:rPr>
          <w:sz w:val="28"/>
          <w:szCs w:val="28"/>
        </w:rPr>
        <w:t>water</w:t>
      </w:r>
      <w:r w:rsidR="003E5398">
        <w:rPr>
          <w:sz w:val="28"/>
          <w:szCs w:val="28"/>
        </w:rPr>
        <w:t xml:space="preserve">.  If </w:t>
      </w:r>
      <w:r w:rsidR="006E2DF7">
        <w:rPr>
          <w:sz w:val="28"/>
          <w:szCs w:val="28"/>
        </w:rPr>
        <w:t>he was aggrieved</w:t>
      </w:r>
      <w:r w:rsidR="003E5398">
        <w:rPr>
          <w:sz w:val="28"/>
          <w:szCs w:val="28"/>
        </w:rPr>
        <w:t xml:space="preserve">, Appellant should have challenged the warning.  He let it stand and therefore he was bound by it.  The alleged offence (Gross incompetence) leading to his dismissal was committed on the </w:t>
      </w:r>
    </w:p>
    <w:p w:rsidR="00FD59AC" w:rsidRDefault="003E5398" w:rsidP="00FD59AC">
      <w:pPr>
        <w:spacing w:after="0" w:line="360" w:lineRule="auto"/>
        <w:jc w:val="both"/>
        <w:rPr>
          <w:sz w:val="28"/>
          <w:szCs w:val="28"/>
        </w:rPr>
      </w:pPr>
      <w:r>
        <w:rPr>
          <w:sz w:val="28"/>
          <w:szCs w:val="28"/>
          <w:u w:val="single"/>
        </w:rPr>
        <w:t>24</w:t>
      </w:r>
      <w:r w:rsidRPr="003E5398">
        <w:rPr>
          <w:sz w:val="28"/>
          <w:szCs w:val="28"/>
          <w:u w:val="single"/>
          <w:vertAlign w:val="superscript"/>
        </w:rPr>
        <w:t>th</w:t>
      </w:r>
      <w:r>
        <w:rPr>
          <w:sz w:val="28"/>
          <w:szCs w:val="28"/>
          <w:u w:val="single"/>
        </w:rPr>
        <w:t xml:space="preserve"> October 2012</w:t>
      </w:r>
      <w:r w:rsidRPr="003E5398">
        <w:rPr>
          <w:sz w:val="28"/>
          <w:szCs w:val="28"/>
        </w:rPr>
        <w:t>.   The charge was effectively admitted by Appellant</w:t>
      </w:r>
      <w:r>
        <w:rPr>
          <w:sz w:val="28"/>
          <w:szCs w:val="28"/>
        </w:rPr>
        <w:t xml:space="preserve">.  This was within a </w:t>
      </w:r>
      <w:r w:rsidRPr="006E2DF7">
        <w:rPr>
          <w:sz w:val="28"/>
          <w:szCs w:val="28"/>
          <w:u w:val="single"/>
        </w:rPr>
        <w:t>month</w:t>
      </w:r>
      <w:r>
        <w:rPr>
          <w:sz w:val="28"/>
          <w:szCs w:val="28"/>
        </w:rPr>
        <w:t xml:space="preserve"> of the issuance of the warning.  Therefore Respondent was within its rights to take the warning as aggravation</w:t>
      </w:r>
      <w:r w:rsidR="006E2DF7">
        <w:rPr>
          <w:sz w:val="28"/>
          <w:szCs w:val="28"/>
        </w:rPr>
        <w:t xml:space="preserve"> of</w:t>
      </w:r>
      <w:r>
        <w:rPr>
          <w:sz w:val="28"/>
          <w:szCs w:val="28"/>
        </w:rPr>
        <w:t xml:space="preserve"> the misconduct.  The record suggests that Appellant had a history of misconduct relating to his work performance</w:t>
      </w:r>
      <w:r w:rsidR="00D761F3">
        <w:rPr>
          <w:sz w:val="28"/>
          <w:szCs w:val="28"/>
        </w:rPr>
        <w:t xml:space="preserve">.  In the circumstances Respondent was justified in terminating </w:t>
      </w:r>
      <w:r w:rsidR="006E2DF7">
        <w:rPr>
          <w:sz w:val="28"/>
          <w:szCs w:val="28"/>
        </w:rPr>
        <w:t>Appellant’s</w:t>
      </w:r>
      <w:r w:rsidR="00D761F3">
        <w:rPr>
          <w:sz w:val="28"/>
          <w:szCs w:val="28"/>
        </w:rPr>
        <w:t xml:space="preserve"> employment.</w:t>
      </w:r>
    </w:p>
    <w:p w:rsidR="00D761F3" w:rsidRDefault="00D761F3" w:rsidP="00FD59AC">
      <w:pPr>
        <w:spacing w:after="0" w:line="360" w:lineRule="auto"/>
        <w:jc w:val="both"/>
        <w:rPr>
          <w:sz w:val="28"/>
          <w:szCs w:val="28"/>
        </w:rPr>
      </w:pPr>
    </w:p>
    <w:p w:rsidR="00D761F3" w:rsidRDefault="00D761F3" w:rsidP="00FD59AC">
      <w:pPr>
        <w:spacing w:after="0" w:line="360" w:lineRule="auto"/>
        <w:jc w:val="both"/>
        <w:rPr>
          <w:sz w:val="28"/>
          <w:szCs w:val="28"/>
        </w:rPr>
      </w:pPr>
    </w:p>
    <w:p w:rsidR="00D761F3" w:rsidRDefault="00D761F3" w:rsidP="00FD59AC">
      <w:pPr>
        <w:spacing w:after="0" w:line="360" w:lineRule="auto"/>
        <w:jc w:val="both"/>
        <w:rPr>
          <w:sz w:val="28"/>
          <w:szCs w:val="28"/>
        </w:rPr>
      </w:pPr>
      <w:r>
        <w:rPr>
          <w:sz w:val="28"/>
          <w:szCs w:val="28"/>
        </w:rPr>
        <w:t>Wherefore it is ordered that;</w:t>
      </w:r>
    </w:p>
    <w:p w:rsidR="00D761F3" w:rsidRDefault="00D761F3" w:rsidP="00FD59AC">
      <w:pPr>
        <w:spacing w:after="0" w:line="360" w:lineRule="auto"/>
        <w:jc w:val="both"/>
        <w:rPr>
          <w:sz w:val="28"/>
          <w:szCs w:val="28"/>
        </w:rPr>
      </w:pPr>
    </w:p>
    <w:p w:rsidR="00D761F3" w:rsidRDefault="00D761F3" w:rsidP="00D761F3">
      <w:pPr>
        <w:pStyle w:val="ListParagraph"/>
        <w:numPr>
          <w:ilvl w:val="0"/>
          <w:numId w:val="1"/>
        </w:numPr>
        <w:spacing w:after="0" w:line="360" w:lineRule="auto"/>
        <w:jc w:val="both"/>
        <w:rPr>
          <w:sz w:val="28"/>
          <w:szCs w:val="28"/>
        </w:rPr>
      </w:pPr>
      <w:r>
        <w:rPr>
          <w:sz w:val="28"/>
          <w:szCs w:val="28"/>
        </w:rPr>
        <w:t xml:space="preserve"> The appeal is hereby dismissed; and</w:t>
      </w:r>
    </w:p>
    <w:p w:rsidR="00D761F3" w:rsidRDefault="00D761F3" w:rsidP="00D761F3">
      <w:pPr>
        <w:pStyle w:val="ListParagraph"/>
        <w:spacing w:after="0" w:line="360" w:lineRule="auto"/>
        <w:jc w:val="both"/>
        <w:rPr>
          <w:sz w:val="28"/>
          <w:szCs w:val="28"/>
        </w:rPr>
      </w:pPr>
    </w:p>
    <w:p w:rsidR="00D761F3" w:rsidRDefault="00D761F3" w:rsidP="00D761F3">
      <w:pPr>
        <w:pStyle w:val="ListParagraph"/>
        <w:numPr>
          <w:ilvl w:val="0"/>
          <w:numId w:val="1"/>
        </w:numPr>
        <w:spacing w:after="0" w:line="360" w:lineRule="auto"/>
        <w:jc w:val="both"/>
        <w:rPr>
          <w:sz w:val="28"/>
          <w:szCs w:val="28"/>
        </w:rPr>
      </w:pPr>
      <w:r>
        <w:rPr>
          <w:sz w:val="28"/>
          <w:szCs w:val="28"/>
        </w:rPr>
        <w:t>Each party shall bear its own costs.</w:t>
      </w:r>
    </w:p>
    <w:p w:rsidR="00D761F3" w:rsidRPr="00D761F3" w:rsidRDefault="00D761F3" w:rsidP="00D761F3">
      <w:pPr>
        <w:pStyle w:val="ListParagraph"/>
        <w:rPr>
          <w:sz w:val="28"/>
          <w:szCs w:val="28"/>
        </w:rPr>
      </w:pPr>
    </w:p>
    <w:p w:rsidR="00D761F3" w:rsidRDefault="00D761F3" w:rsidP="00D761F3">
      <w:pPr>
        <w:spacing w:after="0" w:line="360" w:lineRule="auto"/>
        <w:jc w:val="both"/>
        <w:rPr>
          <w:sz w:val="28"/>
          <w:szCs w:val="28"/>
        </w:rPr>
      </w:pPr>
    </w:p>
    <w:p w:rsidR="00D761F3" w:rsidRDefault="00D761F3" w:rsidP="00D761F3">
      <w:pPr>
        <w:spacing w:after="0" w:line="360" w:lineRule="auto"/>
        <w:jc w:val="both"/>
        <w:rPr>
          <w:sz w:val="28"/>
          <w:szCs w:val="28"/>
        </w:rPr>
      </w:pPr>
    </w:p>
    <w:p w:rsidR="00D761F3" w:rsidRDefault="00D761F3" w:rsidP="00D761F3">
      <w:pPr>
        <w:spacing w:after="0" w:line="360" w:lineRule="auto"/>
        <w:ind w:left="5040"/>
        <w:jc w:val="both"/>
        <w:rPr>
          <w:b/>
          <w:sz w:val="28"/>
          <w:szCs w:val="28"/>
        </w:rPr>
      </w:pPr>
      <w:r>
        <w:rPr>
          <w:b/>
          <w:sz w:val="28"/>
          <w:szCs w:val="28"/>
        </w:rPr>
        <w:t>G. MUSARIRI</w:t>
      </w:r>
    </w:p>
    <w:p w:rsidR="00D761F3" w:rsidRPr="00D761F3" w:rsidRDefault="00D761F3" w:rsidP="00D761F3">
      <w:pPr>
        <w:spacing w:after="0" w:line="360" w:lineRule="auto"/>
        <w:ind w:left="5040"/>
        <w:jc w:val="both"/>
        <w:rPr>
          <w:b/>
          <w:sz w:val="28"/>
          <w:szCs w:val="28"/>
          <w:u w:val="single"/>
        </w:rPr>
      </w:pPr>
      <w:r>
        <w:rPr>
          <w:b/>
          <w:sz w:val="28"/>
          <w:szCs w:val="28"/>
          <w:u w:val="single"/>
        </w:rPr>
        <w:t>JUDGE</w:t>
      </w:r>
    </w:p>
    <w:sectPr w:rsidR="00D761F3" w:rsidRPr="00D761F3" w:rsidSect="00FD59A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AC" w:rsidRDefault="00166BAC" w:rsidP="00FD59AC">
      <w:pPr>
        <w:spacing w:after="0" w:line="240" w:lineRule="auto"/>
      </w:pPr>
      <w:r>
        <w:separator/>
      </w:r>
    </w:p>
  </w:endnote>
  <w:endnote w:type="continuationSeparator" w:id="0">
    <w:p w:rsidR="00166BAC" w:rsidRDefault="00166BAC" w:rsidP="00FD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492122"/>
      <w:docPartObj>
        <w:docPartGallery w:val="Page Numbers (Bottom of Page)"/>
        <w:docPartUnique/>
      </w:docPartObj>
    </w:sdtPr>
    <w:sdtEndPr>
      <w:rPr>
        <w:noProof/>
      </w:rPr>
    </w:sdtEndPr>
    <w:sdtContent>
      <w:p w:rsidR="003E5398" w:rsidRDefault="003E5398">
        <w:pPr>
          <w:pStyle w:val="Footer"/>
          <w:jc w:val="right"/>
        </w:pPr>
        <w:r>
          <w:fldChar w:fldCharType="begin"/>
        </w:r>
        <w:r>
          <w:instrText xml:space="preserve"> PAGE   \* MERGEFORMAT </w:instrText>
        </w:r>
        <w:r>
          <w:fldChar w:fldCharType="separate"/>
        </w:r>
        <w:r w:rsidR="00A42251">
          <w:rPr>
            <w:noProof/>
          </w:rPr>
          <w:t>3</w:t>
        </w:r>
        <w:r>
          <w:rPr>
            <w:noProof/>
          </w:rPr>
          <w:fldChar w:fldCharType="end"/>
        </w:r>
      </w:p>
    </w:sdtContent>
  </w:sdt>
  <w:p w:rsidR="003E5398" w:rsidRDefault="003E5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AC" w:rsidRDefault="00166BAC" w:rsidP="00FD59AC">
      <w:pPr>
        <w:spacing w:after="0" w:line="240" w:lineRule="auto"/>
      </w:pPr>
      <w:r>
        <w:separator/>
      </w:r>
    </w:p>
  </w:footnote>
  <w:footnote w:type="continuationSeparator" w:id="0">
    <w:p w:rsidR="00166BAC" w:rsidRDefault="00166BAC" w:rsidP="00FD5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398" w:rsidRDefault="003E5398" w:rsidP="00FD59AC">
    <w:pPr>
      <w:spacing w:line="360" w:lineRule="auto"/>
      <w:ind w:left="4320" w:firstLine="720"/>
      <w:jc w:val="both"/>
      <w:rPr>
        <w:b/>
        <w:sz w:val="28"/>
        <w:szCs w:val="28"/>
      </w:rPr>
    </w:pPr>
    <w:r>
      <w:rPr>
        <w:b/>
        <w:sz w:val="28"/>
        <w:szCs w:val="28"/>
      </w:rPr>
      <w:t>JUDGMENT NO LC/H/723/13</w:t>
    </w:r>
  </w:p>
  <w:p w:rsidR="003E5398" w:rsidRDefault="003E5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7CC1"/>
    <w:multiLevelType w:val="hybridMultilevel"/>
    <w:tmpl w:val="8690E2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BD9"/>
    <w:rsid w:val="00166BAC"/>
    <w:rsid w:val="0018453D"/>
    <w:rsid w:val="00396CA1"/>
    <w:rsid w:val="003E5398"/>
    <w:rsid w:val="00424457"/>
    <w:rsid w:val="005C7BD9"/>
    <w:rsid w:val="006E2DF7"/>
    <w:rsid w:val="006F5BD5"/>
    <w:rsid w:val="007319CC"/>
    <w:rsid w:val="008C6D4E"/>
    <w:rsid w:val="00A42251"/>
    <w:rsid w:val="00D761F3"/>
    <w:rsid w:val="00EC1A70"/>
    <w:rsid w:val="00FD59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AC"/>
  </w:style>
  <w:style w:type="paragraph" w:styleId="Footer">
    <w:name w:val="footer"/>
    <w:basedOn w:val="Normal"/>
    <w:link w:val="FooterChar"/>
    <w:uiPriority w:val="99"/>
    <w:unhideWhenUsed/>
    <w:rsid w:val="00FD5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9AC"/>
  </w:style>
  <w:style w:type="paragraph" w:styleId="ListParagraph">
    <w:name w:val="List Paragraph"/>
    <w:basedOn w:val="Normal"/>
    <w:uiPriority w:val="34"/>
    <w:qFormat/>
    <w:rsid w:val="00D761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AC"/>
  </w:style>
  <w:style w:type="paragraph" w:styleId="Footer">
    <w:name w:val="footer"/>
    <w:basedOn w:val="Normal"/>
    <w:link w:val="FooterChar"/>
    <w:uiPriority w:val="99"/>
    <w:unhideWhenUsed/>
    <w:rsid w:val="00FD5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9AC"/>
  </w:style>
  <w:style w:type="paragraph" w:styleId="ListParagraph">
    <w:name w:val="List Paragraph"/>
    <w:basedOn w:val="Normal"/>
    <w:uiPriority w:val="34"/>
    <w:qFormat/>
    <w:rsid w:val="00D76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7</cp:revision>
  <cp:lastPrinted>2013-12-17T08:05:00Z</cp:lastPrinted>
  <dcterms:created xsi:type="dcterms:W3CDTF">2013-12-17T07:21:00Z</dcterms:created>
  <dcterms:modified xsi:type="dcterms:W3CDTF">2013-12-20T06:19:00Z</dcterms:modified>
</cp:coreProperties>
</file>