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MUNHUMUMWE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</w:t>
      </w:r>
      <w:r w:rsidR="00C20ABA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ET NCUBE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SINDISO BHEBHE</w:t>
      </w:r>
      <w:bookmarkStart w:id="0" w:name="_GoBack"/>
      <w:bookmarkEnd w:id="0"/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ISABEL SUKOLUHLE KANYISAI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VERILY NKOMO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MONICA MANATSE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SAMKELO KWANIKE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DREAM ALIVE-CO-OPERATIVE (PVT) LTD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BRILLIANCE MOYO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PATIENT BANDA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CHARITY MOYO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GIVA VUNDLA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THANDEKILE KAWENYA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SICHELESILE NKOMAZANA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NKOSINOTHANDO MXOTSHWA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SIBONISIWE LUNGA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SIKHANYISIWE MPOFU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RENE NTOMBIYELANGA TSHULU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NOKUTHULA NCUBE SIBANDA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SIBONGINKOSI NDIMANDE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SHINGIRAI KAMUDYARIWA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BEKEZELA NKALA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CHIEDZA ZIYAMBE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TERESIA SIBANDA MPOFU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TRACY ANNE KOLTS-WEBB</w:t>
      </w:r>
    </w:p>
    <w:p w:rsidR="00157F44" w:rsidRDefault="00157F44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CAROLINE PHANSI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CHARITY NDLOVU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SANDISILE NONTOBEKO SIBANDA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D21C23" w:rsidRDefault="00411169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QOKI ZINDLOVUKAZI INVESTMENTS (PRIVATE) LIMITED</w:t>
      </w:r>
    </w:p>
    <w:p w:rsidR="00411169" w:rsidRDefault="00411169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411169" w:rsidRDefault="00411169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SINDAKU DEVELOPERS (PRIVATE) LIMITED</w:t>
      </w: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9ED" w:rsidRDefault="008D09ED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1C23" w:rsidRDefault="00D21C23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HIGH COURT OF ZIMBABWE</w:t>
      </w:r>
    </w:p>
    <w:p w:rsidR="00D21C23" w:rsidRDefault="00D21C23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KABASA J</w:t>
      </w:r>
    </w:p>
    <w:p w:rsidR="00D21C23" w:rsidRDefault="00D62D17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BULAWAYO 13 OCTOBER 2025 </w:t>
      </w:r>
    </w:p>
    <w:p w:rsidR="00D21C23" w:rsidRDefault="00D21C23" w:rsidP="008D09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C23" w:rsidRDefault="00D21C23" w:rsidP="008D09E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Opposed Application</w:t>
      </w:r>
      <w:r w:rsidR="00D62D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Summary Judgment</w:t>
      </w:r>
    </w:p>
    <w:p w:rsidR="00D62D17" w:rsidRDefault="00157F44" w:rsidP="008D09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 tempore</w:t>
      </w:r>
      <w:r w:rsidR="00D62D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judgment</w:t>
      </w:r>
    </w:p>
    <w:p w:rsidR="00D62D17" w:rsidRDefault="00D62D17" w:rsidP="008D09ED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21C23" w:rsidRPr="00D62D17" w:rsidRDefault="00D62D17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2D17">
        <w:rPr>
          <w:rFonts w:ascii="Times New Roman" w:hAnsi="Times New Roman" w:cs="Times New Roman"/>
          <w:i/>
          <w:iCs/>
          <w:sz w:val="24"/>
          <w:szCs w:val="24"/>
        </w:rPr>
        <w:t>M.E.P Moyo</w:t>
      </w:r>
      <w:r w:rsidR="00D21C23" w:rsidRPr="00D62D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62D17">
        <w:rPr>
          <w:rFonts w:ascii="Times New Roman" w:hAnsi="Times New Roman" w:cs="Times New Roman"/>
          <w:sz w:val="24"/>
          <w:szCs w:val="24"/>
        </w:rPr>
        <w:t>for the applicants</w:t>
      </w:r>
    </w:p>
    <w:p w:rsidR="00D21C23" w:rsidRDefault="00D62D17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2D17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D62D17">
        <w:rPr>
          <w:rFonts w:ascii="Times New Roman" w:hAnsi="Times New Roman" w:cs="Times New Roman"/>
          <w:i/>
          <w:sz w:val="24"/>
          <w:szCs w:val="24"/>
        </w:rPr>
        <w:t>Mashavakure</w:t>
      </w:r>
      <w:proofErr w:type="spellEnd"/>
      <w:r w:rsidR="00D21C23" w:rsidRPr="00D62D17">
        <w:rPr>
          <w:rFonts w:ascii="Times New Roman" w:hAnsi="Times New Roman" w:cs="Times New Roman"/>
          <w:sz w:val="24"/>
          <w:szCs w:val="24"/>
        </w:rPr>
        <w:t xml:space="preserve">, for the </w:t>
      </w:r>
      <w:r w:rsidRPr="00D62D17">
        <w:rPr>
          <w:rFonts w:ascii="Times New Roman" w:hAnsi="Times New Roman" w:cs="Times New Roman"/>
          <w:sz w:val="24"/>
          <w:szCs w:val="24"/>
        </w:rPr>
        <w:t>1</w:t>
      </w:r>
      <w:r w:rsidRPr="00D62D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62D17">
        <w:rPr>
          <w:rFonts w:ascii="Times New Roman" w:hAnsi="Times New Roman" w:cs="Times New Roman"/>
          <w:sz w:val="24"/>
          <w:szCs w:val="24"/>
        </w:rPr>
        <w:t xml:space="preserve"> </w:t>
      </w:r>
      <w:r w:rsidR="00D21C23" w:rsidRPr="00D62D17">
        <w:rPr>
          <w:rFonts w:ascii="Times New Roman" w:hAnsi="Times New Roman" w:cs="Times New Roman"/>
          <w:sz w:val="24"/>
          <w:szCs w:val="24"/>
        </w:rPr>
        <w:t>respondent</w:t>
      </w:r>
      <w:r w:rsidR="0077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D17" w:rsidRPr="00D62D17" w:rsidRDefault="00D62D17" w:rsidP="008D09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2D17">
        <w:rPr>
          <w:rFonts w:ascii="Times New Roman" w:hAnsi="Times New Roman" w:cs="Times New Roman"/>
          <w:sz w:val="24"/>
          <w:szCs w:val="24"/>
        </w:rPr>
        <w:t>No appearance for the 2</w:t>
      </w:r>
      <w:r w:rsidRPr="00D62D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62D17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D62D17" w:rsidRDefault="00D62D17" w:rsidP="008D09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B46" w:rsidRDefault="00D21C23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KABASA J</w:t>
      </w:r>
      <w:r w:rsidR="00BC52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C52D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After hearing argument in this application for Summary judgment, I granted the application against the 1</w:t>
      </w:r>
      <w:r w:rsidR="00BC52D4" w:rsidRPr="00BC52D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BC52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</w:t>
      </w:r>
      <w:r w:rsidR="00335E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with costs.</w:t>
      </w:r>
      <w:r w:rsidR="00BC52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I gave my reasons in an </w:t>
      </w:r>
      <w:r w:rsidR="00BC52D4" w:rsidRPr="0025184A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ex tempore</w:t>
      </w:r>
      <w:r w:rsidR="00BC52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judgment.  I have now been requested for written reasons.  These are my reasons:-</w:t>
      </w:r>
    </w:p>
    <w:p w:rsidR="00BC52D4" w:rsidRDefault="00BC52D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On 17 April 2024 the appl</w:t>
      </w:r>
      <w:r w:rsidR="002518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icants (plaintiffs) issued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out summons against the respondents claiming payment of US$154 000 jointly, and severally, the one paying the other to be absolved.</w:t>
      </w:r>
    </w:p>
    <w:p w:rsidR="00BC52D4" w:rsidRDefault="00BC52D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US$154 000 was paid to the 1</w:t>
      </w:r>
      <w:r w:rsidRPr="00BC52D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specifically for the development and construction of roads on a piece of land being the remaining extent of subdivision B of Willsgrove situate in the district of Bulawayo m</w:t>
      </w:r>
      <w:r w:rsidR="002518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easuring 30,6353 ha held under Deed of 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ransfer No. 1882/2013.</w:t>
      </w:r>
    </w:p>
    <w:p w:rsidR="00BC52D4" w:rsidRDefault="00BC52D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applicants paid the said amount following the purchase of the property which was so purchased through the 1</w:t>
      </w:r>
      <w:r w:rsidRPr="00BC52D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respondent.  The land had to be subdivided and in pursuance of that US$154 000 was paid to the 1</w:t>
      </w:r>
      <w:r w:rsidRPr="00BC52D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who was to hold it in trust until transfer of the property.  The work was to be tendered out and a contractor chosen from those who would have responded</w:t>
      </w:r>
      <w:r w:rsidR="001709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the tender.</w:t>
      </w:r>
    </w:p>
    <w:p w:rsidR="001A4B73" w:rsidRDefault="001A4B73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1A4B7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respondent, contrary to the agreement, handed over the US$154 000 to the 2</w:t>
      </w:r>
      <w:r w:rsidRPr="001A4B7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before a tender was flighted and the property transferred.</w:t>
      </w:r>
      <w:r w:rsidR="0011776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This was not with the applicants’ approval.  The work was not performed and the applicants demanded the US$154 000 which the respondents failed to pay.</w:t>
      </w:r>
    </w:p>
    <w:p w:rsidR="0011776E" w:rsidRDefault="0011776E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11776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entered an appearance to defend but the 2</w:t>
      </w:r>
      <w:r w:rsidRPr="0011776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did not and was duly barred.  Summary judgment could therefore not be sought against the 2</w:t>
      </w:r>
      <w:r w:rsidRPr="0011776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and at the hearing of the matter, 2</w:t>
      </w:r>
      <w:r w:rsidRPr="0011776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did not appear and the opposing papers were expunged from the record as they ought not to have been filed in the first place.</w:t>
      </w:r>
    </w:p>
    <w:p w:rsidR="00095002" w:rsidRDefault="00095002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respondent’s opposition was hinged on the contention that the payment of the money to the 2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was done on behalf of the applicants.  The 2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did some work and 2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had to clarify the nature of such work.  The payment of the US$154 000 was without malicious intent and the 1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is in the process of claiming a refund from the 2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due to non-fulfillment of the mandate 1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gave to 2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respondent.  Until such refund the 1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is in no position to pay the applicants.</w:t>
      </w:r>
    </w:p>
    <w:p w:rsidR="00095002" w:rsidRDefault="00095002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issue therefore was whether the 1</w:t>
      </w:r>
      <w:r w:rsidRPr="0009500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had a </w:t>
      </w:r>
      <w:r w:rsidRPr="0025184A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bona fide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 in the circumstances.  The requirements to be satisfied in an application for summary judgment were aptly captured by both counsel.</w:t>
      </w:r>
    </w:p>
    <w:p w:rsidR="00095002" w:rsidRDefault="00F447AC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court has to be satisfied that the entry of appearance to defend is solely for the purposes of delay.  Summary judgment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is a drastic remedy as it effectively closes the door on the other party.  (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Taven</w:t>
      </w:r>
      <w:r w:rsidR="00170908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have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 &amp; Machingauta Legal Practitioners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The Messenger of Court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 53-14, 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Bastin 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 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Madzima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 37-20, 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Oak Holdings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r w:rsidR="00B63600" w:rsidRPr="00DB49ED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Chiadzwa</w:t>
      </w:r>
      <w:r w:rsidR="00B6360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 136-85).</w:t>
      </w:r>
    </w:p>
    <w:p w:rsidR="00B63600" w:rsidRDefault="0058735E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58735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does not deny receiving the US$154 000 from the applicants.  The purpose</w:t>
      </w:r>
      <w:r w:rsidR="009770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 which that money was to be used is also not denied.  The fact that that purpose was not realised is equally not denied.</w:t>
      </w:r>
    </w:p>
    <w:p w:rsidR="009770F6" w:rsidRDefault="009770F6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9770F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did not disclose with any degree of clarity what its defence is.  A sweeping statement to the effect that the US$154 000 was paid to the 2</w:t>
      </w:r>
      <w:r w:rsidRPr="009770F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who did some work was what could be gleaned from the opposing affidavit deposed to by a Director of the 1</w:t>
      </w:r>
      <w:r w:rsidRPr="009770F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respondent.  The 1</w:t>
      </w:r>
      <w:r w:rsidRPr="009770F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respondent’s defence is at best a bare </w:t>
      </w:r>
      <w:r w:rsidR="00F44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denial. It amounts to a glossing over of the </w:t>
      </w:r>
      <w:r w:rsidR="008E5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issues. One gets the impression that the 1</w:t>
      </w:r>
      <w:r w:rsidR="008E568C" w:rsidRPr="008E568C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8E5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is merely trying to evade liability by making vague statements.</w:t>
      </w:r>
    </w:p>
    <w:p w:rsidR="00B332B3" w:rsidRDefault="009770F6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inescapable impression created by the 1</w:t>
      </w:r>
      <w:r w:rsidRPr="009770F6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is that the refund </w:t>
      </w:r>
      <w:r w:rsidR="00B332B3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the applicants is due but can only be paid after 1</w:t>
      </w:r>
      <w:r w:rsidR="00B332B3"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B332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is refunded by the 2</w:t>
      </w:r>
      <w:r w:rsidR="00B332B3"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B332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respondent.</w:t>
      </w:r>
    </w:p>
    <w:p w:rsidR="00B332B3" w:rsidRDefault="00B332B3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What is it that the 2</w:t>
      </w:r>
      <w:r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did, if anything?  The 1</w:t>
      </w:r>
      <w:r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merely says the 2</w:t>
      </w:r>
      <w:r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must explain what it did.</w:t>
      </w:r>
    </w:p>
    <w:p w:rsidR="00B332B3" w:rsidRDefault="00B332B3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Are bare denials a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bona fide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 capable of defeating an application for Summary judgment?  I think not.</w:t>
      </w:r>
    </w:p>
    <w:p w:rsidR="00EB4D4D" w:rsidRDefault="00B332B3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The 1</w:t>
      </w:r>
      <w:r w:rsidRPr="00B332B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</w:t>
      </w:r>
      <w:r w:rsidR="00311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nt does not dispute the amount, does not di</w:t>
      </w:r>
      <w:r w:rsidR="00BF40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spute receiving it an</w:t>
      </w:r>
      <w:r w:rsidR="00CF319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 does not dispute that work that was supposed to be done in order to fulfill the obligations stipulated before issuance of a sub-division permit was not done.  The vague explanation that “some work” was done with no particularity of what work it was cannot amount to a </w:t>
      </w:r>
      <w:r w:rsidR="00CF3191"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bona fide</w:t>
      </w:r>
      <w:r w:rsidR="00CF319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defence.  The admission that the applicants are due for a refund puts paid to any semblance of a possible defence.</w:t>
      </w:r>
    </w:p>
    <w:p w:rsidR="009770F6" w:rsidRDefault="00EB4D4D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Granted Summary judgment is a drastic remedy but where it is meant to prevent an abuse of court process, such a remedy ought to afford an applicant who has an unassailable claim a quick remedy without necessarily expending money and time going through the motions of a trial.  (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Christmas (Pvt) Limited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Stutchburg &amp; Anor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1973 RLR 277,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Meek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Kruger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1958 (3) SA 154 (1),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Nyangoni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Mugawazi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HH 809-22.)</w:t>
      </w:r>
    </w:p>
    <w:p w:rsidR="00D8215B" w:rsidRDefault="00D8215B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 found no ‘mere possibility of success’ on 1</w:t>
      </w:r>
      <w:r w:rsidRPr="00D8215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</w:t>
      </w:r>
      <w:r w:rsidR="00CE63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’s part to warrant allowing the matter to proceed to trial.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Niri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Co</w:t>
      </w:r>
      <w:r w:rsidR="0042772F"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leman &amp; Ors </w:t>
      </w:r>
      <w:r w:rsidR="004277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2002 (2) ZLR 580) 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equally found no possibility of an injustice being done against the 1</w:t>
      </w:r>
      <w:r w:rsidRPr="00D8215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(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Siphambili &amp; Anor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proofErr w:type="spellStart"/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Siphambili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HB 209-23)</w:t>
      </w:r>
      <w:r w:rsidR="006102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E63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by the grant of the application for summary judgment.</w:t>
      </w:r>
    </w:p>
    <w:p w:rsidR="004E482C" w:rsidRDefault="004E482C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1</w:t>
      </w:r>
      <w:r w:rsidRPr="004E482C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respondent, with its vague statements and bare denials, did not show that it has a 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prima facie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 which should be given a chance at trial.  (</w:t>
      </w:r>
      <w:r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Hales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</w:t>
      </w:r>
      <w:r w:rsidR="008666C0"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Doverick (Pvt) Limited</w:t>
      </w:r>
      <w:r w:rsidR="008666C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1998 (2) ZLR 235.)</w:t>
      </w:r>
    </w:p>
    <w:p w:rsidR="008666C0" w:rsidRDefault="008666C0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 had occasion to ask counsel for the 1</w:t>
      </w:r>
      <w:r w:rsidRPr="008666C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what she saw as the triable issues which would be referred to trial.  Counsel submitted that the parties’ agreement stipulates</w:t>
      </w:r>
      <w:r w:rsidR="00E858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that a 7 day notice period should be given to the one in default to rectify such default before litigation.  The lack of </w:t>
      </w:r>
      <w:r w:rsidR="00E8586C" w:rsidRPr="00281395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bona fides</w:t>
      </w:r>
      <w:r w:rsidR="00E858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could not have been clearer as such was never raised in opposing the application.  This was demonstrative </w:t>
      </w:r>
      <w:r w:rsidR="007935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of the attempts at finding something to say in order to defeat the summary judgment application.</w:t>
      </w:r>
    </w:p>
    <w:p w:rsidR="007935F4" w:rsidRDefault="007935F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 matter cannot possibly be referred to trial to determine “whether or not the plaintiffs must await a refund to 1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defendant by 2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defendant before their refund is processed.”  There are no triable issues and whether the 1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2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will eventually resolve their own issue as regards what the 2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allegedly did, is not a matter to be elevated into a </w:t>
      </w:r>
      <w:r w:rsidRPr="00F06AD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bona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f</w:t>
      </w:r>
      <w:r w:rsidRPr="00F06AD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 for purposes of defeating the summary judgment application.</w:t>
      </w:r>
    </w:p>
    <w:p w:rsidR="007935F4" w:rsidRDefault="007935F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I therefore held the view that the 1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 had no </w:t>
      </w:r>
      <w:r w:rsidRPr="00F06AD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bona fide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defence to the applicants’ claim and appearance to defend was entered for the sole purpose of buying time.</w:t>
      </w:r>
    </w:p>
    <w:p w:rsidR="007935F4" w:rsidRDefault="007935F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 light of the observation I had already made regarding the 2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respondent’s participation or inclusion as a party in the Summary judgment application, the order granted was amended so as to exclude the 2</w:t>
      </w:r>
      <w:r w:rsidRPr="007935F4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respondent.</w:t>
      </w:r>
    </w:p>
    <w:p w:rsidR="007935F4" w:rsidRDefault="007935F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As regards costs, I was not persuaded that a case had been made for punitive costs and so declined to award costs at that scale.  I found nothing deserving of censure to warrant punitive costs.</w:t>
      </w:r>
    </w:p>
    <w:p w:rsidR="007935F4" w:rsidRDefault="007935F4" w:rsidP="008D09ED">
      <w:pPr>
        <w:spacing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It is for the foregoing reasons that I granted the application for summary judgment. </w:t>
      </w:r>
    </w:p>
    <w:p w:rsidR="006102B8" w:rsidRDefault="006102B8" w:rsidP="006102B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6102B8" w:rsidRDefault="006102B8" w:rsidP="006102B8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6102B8" w:rsidRPr="006102B8" w:rsidRDefault="006102B8" w:rsidP="006102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102B8">
        <w:rPr>
          <w:rFonts w:ascii="Times New Roman" w:hAnsi="Times New Roman" w:cs="Times New Roman"/>
          <w:i/>
          <w:sz w:val="24"/>
          <w:szCs w:val="24"/>
        </w:rPr>
        <w:t>Nkomo</w:t>
      </w:r>
      <w:proofErr w:type="spellEnd"/>
      <w:r w:rsidRPr="006102B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102B8">
        <w:rPr>
          <w:rFonts w:ascii="Times New Roman" w:hAnsi="Times New Roman" w:cs="Times New Roman"/>
          <w:i/>
          <w:sz w:val="24"/>
          <w:szCs w:val="24"/>
        </w:rPr>
        <w:t>Sibanda</w:t>
      </w:r>
      <w:proofErr w:type="spellEnd"/>
      <w:r w:rsidR="00DC6C0E">
        <w:rPr>
          <w:rFonts w:ascii="Times New Roman" w:hAnsi="Times New Roman" w:cs="Times New Roman"/>
          <w:sz w:val="24"/>
          <w:szCs w:val="24"/>
        </w:rPr>
        <w:t>, plaintiffs,</w:t>
      </w:r>
      <w:r w:rsidRPr="006102B8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6102B8" w:rsidRPr="006102B8" w:rsidRDefault="006102B8" w:rsidP="006102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102B8">
        <w:rPr>
          <w:rFonts w:ascii="Times New Roman" w:hAnsi="Times New Roman" w:cs="Times New Roman"/>
          <w:i/>
          <w:sz w:val="24"/>
          <w:szCs w:val="24"/>
        </w:rPr>
        <w:t>Ncube</w:t>
      </w:r>
      <w:proofErr w:type="spellEnd"/>
      <w:r w:rsidRPr="006102B8">
        <w:rPr>
          <w:rFonts w:ascii="Times New Roman" w:hAnsi="Times New Roman" w:cs="Times New Roman"/>
          <w:i/>
          <w:sz w:val="24"/>
          <w:szCs w:val="24"/>
        </w:rPr>
        <w:t xml:space="preserve"> and Partners</w:t>
      </w:r>
      <w:r w:rsidRPr="006102B8">
        <w:rPr>
          <w:rFonts w:ascii="Times New Roman" w:hAnsi="Times New Roman" w:cs="Times New Roman"/>
          <w:sz w:val="24"/>
          <w:szCs w:val="24"/>
        </w:rPr>
        <w:t>, 1</w:t>
      </w:r>
      <w:r w:rsidRPr="006102B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102B8">
        <w:rPr>
          <w:rFonts w:ascii="Times New Roman" w:hAnsi="Times New Roman" w:cs="Times New Roman"/>
          <w:sz w:val="24"/>
          <w:szCs w:val="24"/>
        </w:rPr>
        <w:t xml:space="preserve"> defendant’s legal practitioners</w:t>
      </w:r>
    </w:p>
    <w:p w:rsidR="006102B8" w:rsidRPr="006102B8" w:rsidRDefault="006102B8" w:rsidP="006102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102B8">
        <w:rPr>
          <w:rFonts w:ascii="Times New Roman" w:hAnsi="Times New Roman" w:cs="Times New Roman"/>
          <w:i/>
          <w:sz w:val="24"/>
          <w:szCs w:val="24"/>
        </w:rPr>
        <w:t>Shenje</w:t>
      </w:r>
      <w:proofErr w:type="spellEnd"/>
      <w:r w:rsidRPr="006102B8">
        <w:rPr>
          <w:rFonts w:ascii="Times New Roman" w:hAnsi="Times New Roman" w:cs="Times New Roman"/>
          <w:i/>
          <w:sz w:val="24"/>
          <w:szCs w:val="24"/>
        </w:rPr>
        <w:t xml:space="preserve"> and Company</w:t>
      </w:r>
      <w:r w:rsidRPr="006102B8">
        <w:rPr>
          <w:rFonts w:ascii="Times New Roman" w:hAnsi="Times New Roman" w:cs="Times New Roman"/>
          <w:sz w:val="24"/>
          <w:szCs w:val="24"/>
        </w:rPr>
        <w:t>, 2</w:t>
      </w:r>
      <w:r w:rsidRPr="006102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102B8">
        <w:rPr>
          <w:rFonts w:ascii="Times New Roman" w:hAnsi="Times New Roman" w:cs="Times New Roman"/>
          <w:sz w:val="24"/>
          <w:szCs w:val="24"/>
        </w:rPr>
        <w:t xml:space="preserve"> defendant’s legal practitioners</w:t>
      </w:r>
    </w:p>
    <w:sectPr w:rsidR="006102B8" w:rsidRPr="006102B8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8C" w:rsidRDefault="00C3468C" w:rsidP="00591FED">
      <w:pPr>
        <w:spacing w:after="0" w:line="240" w:lineRule="auto"/>
      </w:pPr>
      <w:r>
        <w:separator/>
      </w:r>
    </w:p>
  </w:endnote>
  <w:endnote w:type="continuationSeparator" w:id="0">
    <w:p w:rsidR="00C3468C" w:rsidRDefault="00C3468C" w:rsidP="0059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8C" w:rsidRDefault="00C3468C" w:rsidP="00591FED">
      <w:pPr>
        <w:spacing w:after="0" w:line="240" w:lineRule="auto"/>
      </w:pPr>
      <w:r>
        <w:separator/>
      </w:r>
    </w:p>
  </w:footnote>
  <w:footnote w:type="continuationSeparator" w:id="0">
    <w:p w:rsidR="00C3468C" w:rsidRDefault="00C3468C" w:rsidP="0059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6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D09ED" w:rsidRPr="008D09ED" w:rsidRDefault="00591FE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D0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09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0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44A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D09E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8D09ED" w:rsidRPr="008D09ED" w:rsidRDefault="008D09E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D09ED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28189A">
          <w:rPr>
            <w:rFonts w:ascii="Times New Roman" w:hAnsi="Times New Roman" w:cs="Times New Roman"/>
            <w:noProof/>
            <w:sz w:val="24"/>
            <w:szCs w:val="24"/>
          </w:rPr>
          <w:t xml:space="preserve"> 178/25</w:t>
        </w:r>
      </w:p>
      <w:p w:rsidR="00591FED" w:rsidRPr="008D09ED" w:rsidRDefault="008D09E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09ED">
          <w:rPr>
            <w:rFonts w:ascii="Times New Roman" w:hAnsi="Times New Roman" w:cs="Times New Roman"/>
            <w:noProof/>
            <w:sz w:val="24"/>
            <w:szCs w:val="24"/>
          </w:rPr>
          <w:t>HCBC 560/24</w:t>
        </w:r>
      </w:p>
    </w:sdtContent>
  </w:sdt>
  <w:p w:rsidR="00591FED" w:rsidRDefault="00591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23"/>
    <w:rsid w:val="00020B46"/>
    <w:rsid w:val="00095002"/>
    <w:rsid w:val="000A1613"/>
    <w:rsid w:val="000E5AD9"/>
    <w:rsid w:val="0011306C"/>
    <w:rsid w:val="0011776E"/>
    <w:rsid w:val="00157F44"/>
    <w:rsid w:val="00170908"/>
    <w:rsid w:val="001A4B73"/>
    <w:rsid w:val="001D53B7"/>
    <w:rsid w:val="00202915"/>
    <w:rsid w:val="00211B1D"/>
    <w:rsid w:val="0025184A"/>
    <w:rsid w:val="00281395"/>
    <w:rsid w:val="0028189A"/>
    <w:rsid w:val="003117D7"/>
    <w:rsid w:val="00335E41"/>
    <w:rsid w:val="003C366B"/>
    <w:rsid w:val="00404119"/>
    <w:rsid w:val="00411169"/>
    <w:rsid w:val="0042772F"/>
    <w:rsid w:val="00464497"/>
    <w:rsid w:val="004915C7"/>
    <w:rsid w:val="00496140"/>
    <w:rsid w:val="004B3673"/>
    <w:rsid w:val="004C239A"/>
    <w:rsid w:val="004E482C"/>
    <w:rsid w:val="0054208D"/>
    <w:rsid w:val="0058735E"/>
    <w:rsid w:val="00591FED"/>
    <w:rsid w:val="006102B8"/>
    <w:rsid w:val="0063763C"/>
    <w:rsid w:val="006A5E3F"/>
    <w:rsid w:val="007124C5"/>
    <w:rsid w:val="0075297E"/>
    <w:rsid w:val="00777A9A"/>
    <w:rsid w:val="0078238D"/>
    <w:rsid w:val="00787FB6"/>
    <w:rsid w:val="007935F4"/>
    <w:rsid w:val="00836D0E"/>
    <w:rsid w:val="008666C0"/>
    <w:rsid w:val="0086788B"/>
    <w:rsid w:val="008C4C41"/>
    <w:rsid w:val="008D09ED"/>
    <w:rsid w:val="008E07BA"/>
    <w:rsid w:val="008E568C"/>
    <w:rsid w:val="009068FD"/>
    <w:rsid w:val="009770F6"/>
    <w:rsid w:val="00A1186E"/>
    <w:rsid w:val="00B00E4E"/>
    <w:rsid w:val="00B332B3"/>
    <w:rsid w:val="00B63600"/>
    <w:rsid w:val="00BC52D4"/>
    <w:rsid w:val="00BD4E23"/>
    <w:rsid w:val="00BF40B7"/>
    <w:rsid w:val="00C20ABA"/>
    <w:rsid w:val="00C246DE"/>
    <w:rsid w:val="00C3468C"/>
    <w:rsid w:val="00CC4EA0"/>
    <w:rsid w:val="00CD5C48"/>
    <w:rsid w:val="00CE6379"/>
    <w:rsid w:val="00CF3191"/>
    <w:rsid w:val="00CF61F4"/>
    <w:rsid w:val="00D21C23"/>
    <w:rsid w:val="00D46C63"/>
    <w:rsid w:val="00D62D17"/>
    <w:rsid w:val="00D8215B"/>
    <w:rsid w:val="00D950E0"/>
    <w:rsid w:val="00DB49ED"/>
    <w:rsid w:val="00DC3E44"/>
    <w:rsid w:val="00DC6C0E"/>
    <w:rsid w:val="00E8586C"/>
    <w:rsid w:val="00EB4D4D"/>
    <w:rsid w:val="00ED44A5"/>
    <w:rsid w:val="00F06AD9"/>
    <w:rsid w:val="00F36260"/>
    <w:rsid w:val="00F4438A"/>
    <w:rsid w:val="00F447AC"/>
    <w:rsid w:val="00FA4B83"/>
    <w:rsid w:val="00FB38C2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DEA4-542D-4D22-8B7A-CB15F8EE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W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23"/>
    <w:pPr>
      <w:spacing w:line="252" w:lineRule="auto"/>
    </w:pPr>
    <w:rPr>
      <w:rFonts w:eastAsiaTheme="minorHAnsi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C23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1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ED"/>
    <w:rPr>
      <w:rFonts w:eastAsiaTheme="minorHAnsi"/>
      <w:kern w:val="2"/>
      <w:lang w:val="en-US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91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ED"/>
    <w:rPr>
      <w:rFonts w:eastAsiaTheme="minorHAns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97</cp:revision>
  <dcterms:created xsi:type="dcterms:W3CDTF">2025-10-20T07:43:00Z</dcterms:created>
  <dcterms:modified xsi:type="dcterms:W3CDTF">2025-10-21T13:01:00Z</dcterms:modified>
</cp:coreProperties>
</file>