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498" w:rsidRDefault="001B4C08" w:rsidP="00963C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PATRICIA MANDALA</w:t>
      </w:r>
    </w:p>
    <w:p w:rsidR="001B4C08" w:rsidRDefault="000214CE"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B4C08">
        <w:rPr>
          <w:rFonts w:ascii="Times New Roman" w:hAnsi="Times New Roman" w:cs="Times New Roman"/>
          <w:sz w:val="24"/>
          <w:szCs w:val="24"/>
        </w:rPr>
        <w:t>ersus</w:t>
      </w: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GLENS REMOVALS &amp; STORAGE</w:t>
      </w: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(PRIVATE) LIMITED</w:t>
      </w:r>
    </w:p>
    <w:p w:rsidR="001B4C08" w:rsidRDefault="001B4C08" w:rsidP="00963CCC">
      <w:pPr>
        <w:spacing w:after="0" w:line="240" w:lineRule="auto"/>
        <w:jc w:val="both"/>
        <w:rPr>
          <w:rFonts w:ascii="Times New Roman" w:hAnsi="Times New Roman" w:cs="Times New Roman"/>
          <w:sz w:val="24"/>
          <w:szCs w:val="24"/>
        </w:rPr>
      </w:pPr>
    </w:p>
    <w:p w:rsidR="001B4C08" w:rsidRDefault="001B4C08" w:rsidP="00963CCC">
      <w:pPr>
        <w:spacing w:after="0" w:line="240" w:lineRule="auto"/>
        <w:jc w:val="both"/>
        <w:rPr>
          <w:rFonts w:ascii="Times New Roman" w:hAnsi="Times New Roman" w:cs="Times New Roman"/>
          <w:sz w:val="24"/>
          <w:szCs w:val="24"/>
        </w:rPr>
      </w:pP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October 2011 and 18 October 2012</w:t>
      </w:r>
      <w:r w:rsidR="008D4FDD">
        <w:rPr>
          <w:rFonts w:ascii="Times New Roman" w:hAnsi="Times New Roman" w:cs="Times New Roman"/>
          <w:sz w:val="24"/>
          <w:szCs w:val="24"/>
        </w:rPr>
        <w:t>,</w:t>
      </w:r>
    </w:p>
    <w:p w:rsidR="008D4FDD" w:rsidRDefault="008D4FDD" w:rsidP="00963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February 2013</w:t>
      </w:r>
    </w:p>
    <w:p w:rsidR="001B4C08" w:rsidRDefault="001B4C08" w:rsidP="00963CCC">
      <w:pPr>
        <w:spacing w:after="0" w:line="240" w:lineRule="auto"/>
        <w:jc w:val="both"/>
        <w:rPr>
          <w:rFonts w:ascii="Times New Roman" w:hAnsi="Times New Roman" w:cs="Times New Roman"/>
          <w:sz w:val="24"/>
          <w:szCs w:val="24"/>
        </w:rPr>
      </w:pPr>
    </w:p>
    <w:p w:rsidR="001B4C08" w:rsidRDefault="001B4C08" w:rsidP="00963CCC">
      <w:pPr>
        <w:spacing w:after="0" w:line="240" w:lineRule="auto"/>
        <w:jc w:val="both"/>
        <w:rPr>
          <w:rFonts w:ascii="Times New Roman" w:hAnsi="Times New Roman" w:cs="Times New Roman"/>
          <w:sz w:val="24"/>
          <w:szCs w:val="24"/>
        </w:rPr>
      </w:pPr>
    </w:p>
    <w:p w:rsidR="001B4C08" w:rsidRPr="007E282C" w:rsidRDefault="001B4C08" w:rsidP="00963CCC">
      <w:pPr>
        <w:spacing w:after="0" w:line="240" w:lineRule="auto"/>
        <w:jc w:val="both"/>
        <w:rPr>
          <w:rFonts w:ascii="Times New Roman" w:hAnsi="Times New Roman" w:cs="Times New Roman"/>
          <w:b/>
          <w:sz w:val="24"/>
          <w:szCs w:val="24"/>
        </w:rPr>
      </w:pPr>
      <w:r w:rsidRPr="007E282C">
        <w:rPr>
          <w:rFonts w:ascii="Times New Roman" w:hAnsi="Times New Roman" w:cs="Times New Roman"/>
          <w:b/>
          <w:sz w:val="24"/>
          <w:szCs w:val="24"/>
        </w:rPr>
        <w:t>Civil Trial</w:t>
      </w:r>
    </w:p>
    <w:p w:rsidR="001B4C08" w:rsidRDefault="001B4C08" w:rsidP="00963CCC">
      <w:pPr>
        <w:spacing w:after="0" w:line="240" w:lineRule="auto"/>
        <w:jc w:val="both"/>
        <w:rPr>
          <w:rFonts w:ascii="Times New Roman" w:hAnsi="Times New Roman" w:cs="Times New Roman"/>
          <w:sz w:val="24"/>
          <w:szCs w:val="24"/>
        </w:rPr>
      </w:pPr>
    </w:p>
    <w:p w:rsidR="001B4C08" w:rsidRDefault="001B4C08" w:rsidP="00963CCC">
      <w:pPr>
        <w:spacing w:after="0" w:line="240" w:lineRule="auto"/>
        <w:jc w:val="both"/>
        <w:rPr>
          <w:rFonts w:ascii="Times New Roman" w:hAnsi="Times New Roman" w:cs="Times New Roman"/>
          <w:sz w:val="24"/>
          <w:szCs w:val="24"/>
        </w:rPr>
      </w:pP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P </w:t>
      </w:r>
      <w:r w:rsidR="00CB067C">
        <w:rPr>
          <w:rFonts w:ascii="Times New Roman" w:hAnsi="Times New Roman" w:cs="Times New Roman"/>
          <w:i/>
          <w:sz w:val="24"/>
          <w:szCs w:val="24"/>
        </w:rPr>
        <w:t>Goneso</w:t>
      </w:r>
      <w:r w:rsidR="00CB067C">
        <w:rPr>
          <w:rFonts w:ascii="Times New Roman" w:hAnsi="Times New Roman" w:cs="Times New Roman"/>
          <w:sz w:val="24"/>
          <w:szCs w:val="24"/>
        </w:rPr>
        <w:t>,</w:t>
      </w:r>
      <w:r>
        <w:rPr>
          <w:rFonts w:ascii="Times New Roman" w:hAnsi="Times New Roman" w:cs="Times New Roman"/>
          <w:sz w:val="24"/>
          <w:szCs w:val="24"/>
        </w:rPr>
        <w:t xml:space="preserve"> for the plaintiff</w:t>
      </w:r>
    </w:p>
    <w:p w:rsidR="001B4C08" w:rsidRDefault="001B4C08" w:rsidP="00963C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Nkomo</w:t>
      </w:r>
      <w:r>
        <w:rPr>
          <w:rFonts w:ascii="Times New Roman" w:hAnsi="Times New Roman" w:cs="Times New Roman"/>
          <w:sz w:val="24"/>
          <w:szCs w:val="24"/>
        </w:rPr>
        <w:t>, for the defendant</w:t>
      </w:r>
    </w:p>
    <w:p w:rsidR="001B4C08" w:rsidRDefault="001B4C08" w:rsidP="00963CCC">
      <w:pPr>
        <w:spacing w:after="0" w:line="240" w:lineRule="auto"/>
        <w:jc w:val="both"/>
        <w:rPr>
          <w:rFonts w:ascii="Times New Roman" w:hAnsi="Times New Roman" w:cs="Times New Roman"/>
          <w:sz w:val="24"/>
          <w:szCs w:val="24"/>
        </w:rPr>
      </w:pPr>
    </w:p>
    <w:p w:rsidR="001B4C08" w:rsidRDefault="001B4C08" w:rsidP="00963CCC">
      <w:pPr>
        <w:spacing w:after="0" w:line="240" w:lineRule="auto"/>
        <w:jc w:val="both"/>
        <w:rPr>
          <w:rFonts w:ascii="Times New Roman" w:hAnsi="Times New Roman" w:cs="Times New Roman"/>
          <w:sz w:val="24"/>
          <w:szCs w:val="24"/>
        </w:rPr>
      </w:pPr>
    </w:p>
    <w:p w:rsidR="008D4FDD"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 J:   </w:t>
      </w:r>
      <w:r w:rsidR="008D4FDD">
        <w:rPr>
          <w:rFonts w:ascii="Times New Roman" w:hAnsi="Times New Roman" w:cs="Times New Roman"/>
          <w:sz w:val="24"/>
          <w:szCs w:val="24"/>
        </w:rPr>
        <w:t xml:space="preserve">On 18 October 2012, I pronounced my decision in this case. I indicated my reasons would follow. Here they are: </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originally issued summons in this court on 24 October 2005 against the defendant seeking an order to compel the defendant to return her property which had been deposited with the defendant for safe keeping when the plaintiff left this country for the United Kingdom.</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had also sought in the alternative to be paid the estimated equivalent </w:t>
      </w:r>
      <w:r w:rsidR="008D4FDD">
        <w:rPr>
          <w:rFonts w:ascii="Times New Roman" w:hAnsi="Times New Roman" w:cs="Times New Roman"/>
          <w:sz w:val="24"/>
          <w:szCs w:val="24"/>
        </w:rPr>
        <w:t>value</w:t>
      </w:r>
      <w:r>
        <w:rPr>
          <w:rFonts w:ascii="Times New Roman" w:hAnsi="Times New Roman" w:cs="Times New Roman"/>
          <w:sz w:val="24"/>
          <w:szCs w:val="24"/>
        </w:rPr>
        <w:t xml:space="preserve"> of the goods in question. Additionally the plaintiff sought to recover general damages for pain</w:t>
      </w:r>
      <w:r w:rsidR="008D4FDD">
        <w:rPr>
          <w:rFonts w:ascii="Times New Roman" w:hAnsi="Times New Roman" w:cs="Times New Roman"/>
          <w:sz w:val="24"/>
          <w:szCs w:val="24"/>
        </w:rPr>
        <w:t>,</w:t>
      </w:r>
      <w:r>
        <w:rPr>
          <w:rFonts w:ascii="Times New Roman" w:hAnsi="Times New Roman" w:cs="Times New Roman"/>
          <w:sz w:val="24"/>
          <w:szCs w:val="24"/>
        </w:rPr>
        <w:t xml:space="preserve"> emotional stress and trauma caused by the unlawful disposal of her property without her consent and knowledge.</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claims were originally pegged in the local currency.</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Owing to the advent of dollarization</w:t>
      </w:r>
      <w:r w:rsidR="008D4FDD">
        <w:rPr>
          <w:rFonts w:ascii="Times New Roman" w:hAnsi="Times New Roman" w:cs="Times New Roman"/>
          <w:sz w:val="24"/>
          <w:szCs w:val="24"/>
        </w:rPr>
        <w:t>,</w:t>
      </w:r>
      <w:r>
        <w:rPr>
          <w:rFonts w:ascii="Times New Roman" w:hAnsi="Times New Roman" w:cs="Times New Roman"/>
          <w:sz w:val="24"/>
          <w:szCs w:val="24"/>
        </w:rPr>
        <w:t xml:space="preserve"> on 30 September 2010</w:t>
      </w:r>
      <w:r w:rsidR="00CB067C">
        <w:rPr>
          <w:rFonts w:ascii="Times New Roman" w:hAnsi="Times New Roman" w:cs="Times New Roman"/>
          <w:sz w:val="24"/>
          <w:szCs w:val="24"/>
        </w:rPr>
        <w:t>,</w:t>
      </w:r>
      <w:r>
        <w:rPr>
          <w:rFonts w:ascii="Times New Roman" w:hAnsi="Times New Roman" w:cs="Times New Roman"/>
          <w:sz w:val="24"/>
          <w:szCs w:val="24"/>
        </w:rPr>
        <w:t xml:space="preserve"> and by consent the plaintiff’s claim was amended to reflect the currency currently in use in this country.</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was amended in the alternative to read that in the event of the defendant failing to restore the plaintiff’s property, the defendant be ordered to pay a sum of US$25 000-00 being damages suffered by the plaintiff when the defendant wrongfully and unlawfully sold the plaintiff’s property.</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for damages for p</w:t>
      </w:r>
      <w:r w:rsidR="006F0B75">
        <w:rPr>
          <w:rFonts w:ascii="Times New Roman" w:hAnsi="Times New Roman" w:cs="Times New Roman"/>
          <w:sz w:val="24"/>
          <w:szCs w:val="24"/>
        </w:rPr>
        <w:t>a</w:t>
      </w:r>
      <w:r>
        <w:rPr>
          <w:rFonts w:ascii="Times New Roman" w:hAnsi="Times New Roman" w:cs="Times New Roman"/>
          <w:sz w:val="24"/>
          <w:szCs w:val="24"/>
        </w:rPr>
        <w:t>in and suffering, emotional stress and trauma was put at US$3 000-00.</w:t>
      </w:r>
    </w:p>
    <w:p w:rsidR="001B4C08" w:rsidRDefault="001B4C08"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interest at the prescribed rate on the total amounts of</w:t>
      </w:r>
      <w:r w:rsidR="006F0B75">
        <w:rPr>
          <w:rFonts w:ascii="Times New Roman" w:hAnsi="Times New Roman" w:cs="Times New Roman"/>
          <w:sz w:val="24"/>
          <w:szCs w:val="24"/>
        </w:rPr>
        <w:t xml:space="preserve"> claims was claimed from the date of summons to date of full payment.</w:t>
      </w:r>
    </w:p>
    <w:p w:rsidR="006F0B75" w:rsidRDefault="006F0B75" w:rsidP="00963CCC">
      <w:pPr>
        <w:spacing w:after="0" w:line="240" w:lineRule="auto"/>
        <w:jc w:val="both"/>
        <w:rPr>
          <w:rFonts w:ascii="Times New Roman" w:hAnsi="Times New Roman" w:cs="Times New Roman"/>
          <w:sz w:val="24"/>
          <w:szCs w:val="24"/>
        </w:rPr>
      </w:pPr>
    </w:p>
    <w:p w:rsidR="006F0B75" w:rsidRDefault="008D4FDD" w:rsidP="00963CCC">
      <w:pPr>
        <w:spacing w:after="0" w:line="360" w:lineRule="auto"/>
        <w:jc w:val="both"/>
        <w:rPr>
          <w:rFonts w:ascii="Times New Roman" w:hAnsi="Times New Roman" w:cs="Times New Roman"/>
          <w:sz w:val="24"/>
          <w:szCs w:val="24"/>
          <w:u w:val="single"/>
        </w:rPr>
      </w:pPr>
      <w:r w:rsidRPr="008D4FDD">
        <w:rPr>
          <w:rFonts w:ascii="Times New Roman" w:hAnsi="Times New Roman" w:cs="Times New Roman"/>
          <w:sz w:val="24"/>
          <w:szCs w:val="24"/>
          <w:u w:val="single"/>
        </w:rPr>
        <w:t>THE FACTS THAT ARE NOT IN DISPUTE</w:t>
      </w:r>
    </w:p>
    <w:p w:rsidR="006F0B75" w:rsidRDefault="006F0B75" w:rsidP="00963C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facts giving rise to this action can be summarised as follows:</w:t>
      </w:r>
    </w:p>
    <w:p w:rsidR="006F0B75" w:rsidRDefault="006F0B75"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March 2000 the plaintiff lodged her household goods with the defendant for storage at agreed monthly </w:t>
      </w:r>
      <w:r w:rsidR="00CB067C">
        <w:rPr>
          <w:rFonts w:ascii="Times New Roman" w:hAnsi="Times New Roman" w:cs="Times New Roman"/>
          <w:sz w:val="24"/>
          <w:szCs w:val="24"/>
        </w:rPr>
        <w:t>charges</w:t>
      </w:r>
      <w:r>
        <w:rPr>
          <w:rFonts w:ascii="Times New Roman" w:hAnsi="Times New Roman" w:cs="Times New Roman"/>
          <w:sz w:val="24"/>
          <w:szCs w:val="24"/>
        </w:rPr>
        <w:t>. When the plaintiff lodged her goods with the defendant she personally gave her contact address as 48 A Manor Avenue, Brockley, London SE4 IPD. This is apparent from exh 1 (receipt for goods) signed by the plaintiff at the time the goods were taken into the defendant’s storage.</w:t>
      </w:r>
      <w:r w:rsidR="008D4FDD">
        <w:rPr>
          <w:rFonts w:ascii="Times New Roman" w:hAnsi="Times New Roman" w:cs="Times New Roman"/>
          <w:sz w:val="24"/>
          <w:szCs w:val="24"/>
        </w:rPr>
        <w:t xml:space="preserve"> This is the only document which was signed by the plaintiff.</w:t>
      </w:r>
    </w:p>
    <w:p w:rsidR="008D4FDD" w:rsidRDefault="008D4FDD"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plaintiff’s stored goods were to attract a monthly storage charge and that payment in this regard was to be made in advance.</w:t>
      </w:r>
    </w:p>
    <w:p w:rsidR="008D4FDD" w:rsidRDefault="008D4FDD"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it was a specific term of the agreement between the plaintiff and the defendant that should the storage charges “remain unpaid for three (3) consecutive months, Glens reserves the right to sell part or all the goods by public auction without notice in order to defray the accrued charges.”</w:t>
      </w:r>
    </w:p>
    <w:p w:rsidR="008D4FDD" w:rsidRDefault="008D4FDD"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alleged violation of this clause of the contract that ha</w:t>
      </w:r>
      <w:r w:rsidR="00CB067C">
        <w:rPr>
          <w:rFonts w:ascii="Times New Roman" w:hAnsi="Times New Roman" w:cs="Times New Roman"/>
          <w:sz w:val="24"/>
          <w:szCs w:val="24"/>
        </w:rPr>
        <w:t>s</w:t>
      </w:r>
      <w:r>
        <w:rPr>
          <w:rFonts w:ascii="Times New Roman" w:hAnsi="Times New Roman" w:cs="Times New Roman"/>
          <w:sz w:val="24"/>
          <w:szCs w:val="24"/>
        </w:rPr>
        <w:t xml:space="preserve"> led to these proceedings.</w:t>
      </w:r>
    </w:p>
    <w:p w:rsidR="00F137DB" w:rsidRDefault="00F137DB"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alleged default by the plaintiff in the payment of storage charges the bulk of her property was sold through public auction. Some of the property which could not possibly have been sold like the plaintiff’s marriage and educational certificates could not be accounted for. The same happened with other household goods which did not appear on the list of items sold by public auction. These were simply not traceable.</w:t>
      </w:r>
    </w:p>
    <w:p w:rsidR="00F137DB" w:rsidRDefault="00F137DB"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common cause that after the defendant had taken what it believed was due to it, there was some residue due to the plaintiff and that it was not until the plaintiff had gone to the defendant to enquire about her goods that she was advised of both the sale and</w:t>
      </w:r>
      <w:r w:rsidR="008D4FDD">
        <w:rPr>
          <w:rFonts w:ascii="Times New Roman" w:hAnsi="Times New Roman" w:cs="Times New Roman"/>
          <w:sz w:val="24"/>
          <w:szCs w:val="24"/>
        </w:rPr>
        <w:t xml:space="preserve"> the</w:t>
      </w:r>
      <w:r>
        <w:rPr>
          <w:rFonts w:ascii="Times New Roman" w:hAnsi="Times New Roman" w:cs="Times New Roman"/>
          <w:sz w:val="24"/>
          <w:szCs w:val="24"/>
        </w:rPr>
        <w:t xml:space="preserve"> residue.</w:t>
      </w:r>
    </w:p>
    <w:p w:rsidR="00F137DB" w:rsidRDefault="00F137DB"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property was sold by public auction without her knowledge and in disposing of the property in the manner it did the defendant relied on the terms of the conditions of storage as perceived by it.</w:t>
      </w:r>
    </w:p>
    <w:p w:rsidR="00F137DB" w:rsidRDefault="00F137DB"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referred for trial on only one issue, namely:</w:t>
      </w:r>
      <w:r w:rsidR="0051616A">
        <w:rPr>
          <w:rFonts w:ascii="Times New Roman" w:hAnsi="Times New Roman" w:cs="Times New Roman"/>
          <w:sz w:val="24"/>
          <w:szCs w:val="24"/>
        </w:rPr>
        <w:t xml:space="preserve"> “Whether or not the defendant breached the contract between the plaintiff and the defendant or alternatively </w:t>
      </w:r>
      <w:r w:rsidR="0051616A">
        <w:rPr>
          <w:rFonts w:ascii="Times New Roman" w:hAnsi="Times New Roman" w:cs="Times New Roman"/>
          <w:sz w:val="24"/>
          <w:szCs w:val="24"/>
        </w:rPr>
        <w:lastRenderedPageBreak/>
        <w:t>whether or not the defendant acted wrongfully and unlawfully in the circumstances, if so the quantum of damages.”</w:t>
      </w:r>
    </w:p>
    <w:p w:rsidR="0051616A" w:rsidRDefault="0051616A" w:rsidP="00963CCC">
      <w:pPr>
        <w:spacing w:after="0" w:line="240" w:lineRule="auto"/>
        <w:jc w:val="both"/>
        <w:rPr>
          <w:rFonts w:ascii="Times New Roman" w:hAnsi="Times New Roman" w:cs="Times New Roman"/>
          <w:sz w:val="24"/>
          <w:szCs w:val="24"/>
        </w:rPr>
      </w:pPr>
    </w:p>
    <w:p w:rsidR="0051616A" w:rsidRDefault="008D4FDD" w:rsidP="00963CCC">
      <w:pPr>
        <w:spacing w:after="0" w:line="360" w:lineRule="auto"/>
        <w:jc w:val="both"/>
        <w:rPr>
          <w:rFonts w:ascii="Times New Roman" w:hAnsi="Times New Roman" w:cs="Times New Roman"/>
          <w:sz w:val="24"/>
          <w:szCs w:val="24"/>
          <w:u w:val="single"/>
        </w:rPr>
      </w:pPr>
      <w:r w:rsidRPr="008D4FDD">
        <w:rPr>
          <w:rFonts w:ascii="Times New Roman" w:hAnsi="Times New Roman" w:cs="Times New Roman"/>
          <w:sz w:val="24"/>
          <w:szCs w:val="24"/>
          <w:u w:val="single"/>
        </w:rPr>
        <w:t>THE EVIDENCE</w:t>
      </w:r>
    </w:p>
    <w:p w:rsidR="0051616A" w:rsidRDefault="0051616A" w:rsidP="00963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Only two witnesses gave evidence in this case, namely, the plaintiff and Mr Josephat Murape, the defendant’s representative.</w:t>
      </w:r>
    </w:p>
    <w:p w:rsidR="00F137DB" w:rsidRDefault="0051616A" w:rsidP="00EE3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were not in agreement on </w:t>
      </w:r>
      <w:r w:rsidR="00EE3E27">
        <w:rPr>
          <w:rFonts w:ascii="Times New Roman" w:hAnsi="Times New Roman" w:cs="Times New Roman"/>
          <w:sz w:val="24"/>
          <w:szCs w:val="24"/>
        </w:rPr>
        <w:t>virtually all the issues they testified on and in particular as to the alleged arrears at the time of the sale of the plaintiff’s property. The defendant through its representative put the figure for arrears at Z$1 152 850-35 but could not provide a satisfactory explanation as to how that figure was arrived at suggesting that because of hyperinflation at the time the originally agreed storage charges kept on being changed. The witness said all these changes were in correspondence sent to the plaintiff’s locally chosen addresses.</w:t>
      </w:r>
    </w:p>
    <w:p w:rsidR="00EE3E27" w:rsidRDefault="00EE3E27" w:rsidP="00EE3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approach in this regard was to vehemently deny ever receiving any correspondence or notices from the defendant. The plaintiff put up a very strong and persuasive argument that in the only paper that she signed and lodged with the defendant before her departure for the United Kingdom she gave her contact address as the UK one. This averment accords with or is consistent with exh 1 which is the only document signed by the plaintiff.</w:t>
      </w:r>
    </w:p>
    <w:p w:rsidR="00F77FD5" w:rsidRDefault="00EE3E27" w:rsidP="00EE3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it was suggested to the plaintiff in cross-examination that the relevant notices to alert her </w:t>
      </w:r>
      <w:r w:rsidR="005922E0">
        <w:rPr>
          <w:rFonts w:ascii="Times New Roman" w:hAnsi="Times New Roman" w:cs="Times New Roman"/>
          <w:sz w:val="24"/>
          <w:szCs w:val="24"/>
        </w:rPr>
        <w:t>of</w:t>
      </w:r>
      <w:r>
        <w:rPr>
          <w:rFonts w:ascii="Times New Roman" w:hAnsi="Times New Roman" w:cs="Times New Roman"/>
          <w:sz w:val="24"/>
          <w:szCs w:val="24"/>
        </w:rPr>
        <w:t xml:space="preserve"> the arrear charges were either sent to number 34 Greg Avenue; Number 16 2</w:t>
      </w:r>
      <w:r w:rsidRPr="00EE3E27">
        <w:rPr>
          <w:rFonts w:ascii="Times New Roman" w:hAnsi="Times New Roman" w:cs="Times New Roman"/>
          <w:sz w:val="24"/>
          <w:szCs w:val="24"/>
          <w:vertAlign w:val="superscript"/>
        </w:rPr>
        <w:t>nd</w:t>
      </w:r>
      <w:r>
        <w:rPr>
          <w:rFonts w:ascii="Times New Roman" w:hAnsi="Times New Roman" w:cs="Times New Roman"/>
          <w:sz w:val="24"/>
          <w:szCs w:val="24"/>
        </w:rPr>
        <w:t xml:space="preserve"> Crescent Street, Warren Park Harare and to number 7 Delomo Place, Mt Pleasant, Harare, the plaintiff denied ever instructing the defendant to use any of such addresses and maintained that her contact address which the defendant was supposed to use as per her written instructions was 48 A Manor Avenue, Brockley</w:t>
      </w:r>
      <w:r w:rsidR="00F77FD5">
        <w:rPr>
          <w:rFonts w:ascii="Times New Roman" w:hAnsi="Times New Roman" w:cs="Times New Roman"/>
          <w:sz w:val="24"/>
          <w:szCs w:val="24"/>
        </w:rPr>
        <w:t>, London SE4 IPO.</w:t>
      </w:r>
    </w:p>
    <w:p w:rsidR="00F77FD5" w:rsidRDefault="00F77FD5" w:rsidP="00EE3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denied ever giving the defendant instructions to send any correspondence to any other place other than the aforesaid United Kingdom address. The plaintiff maintained she did not know anyone on the addresses allegedly used by the defendant. She further maintained that she did not know of a place called 7 Delomo Place, Mt Pleasant where some of the letters addressed to her were sent but that her place was called 7 </w:t>
      </w:r>
      <w:r w:rsidRPr="00F77FD5">
        <w:rPr>
          <w:rFonts w:ascii="Times New Roman" w:hAnsi="Times New Roman" w:cs="Times New Roman"/>
          <w:sz w:val="24"/>
          <w:szCs w:val="24"/>
          <w:u w:val="single"/>
        </w:rPr>
        <w:t>Delano</w:t>
      </w:r>
      <w:r>
        <w:rPr>
          <w:rFonts w:ascii="Times New Roman" w:hAnsi="Times New Roman" w:cs="Times New Roman"/>
          <w:sz w:val="24"/>
          <w:szCs w:val="24"/>
        </w:rPr>
        <w:t xml:space="preserve"> Place, Mt Pleasant (my emphasis)</w:t>
      </w:r>
      <w:r w:rsidR="00CB067C">
        <w:rPr>
          <w:rFonts w:ascii="Times New Roman" w:hAnsi="Times New Roman" w:cs="Times New Roman"/>
          <w:sz w:val="24"/>
          <w:szCs w:val="24"/>
        </w:rPr>
        <w:t>,</w:t>
      </w:r>
      <w:r>
        <w:rPr>
          <w:rFonts w:ascii="Times New Roman" w:hAnsi="Times New Roman" w:cs="Times New Roman"/>
          <w:sz w:val="24"/>
          <w:szCs w:val="24"/>
        </w:rPr>
        <w:t xml:space="preserve"> a factor which even the defendant’s counsel was later to concede in his written submissions.</w:t>
      </w:r>
    </w:p>
    <w:p w:rsidR="00F77FD5" w:rsidRDefault="00F77FD5" w:rsidP="00EE3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Murape corroborated the plaintiff’s evidence that none of the correspondence to the plaintiff was ever addressed to her chosen United Kingdom address as per her clear instructions on exh 1.</w:t>
      </w:r>
    </w:p>
    <w:p w:rsidR="00F77FD5" w:rsidRDefault="00F77FD5" w:rsidP="00EE3E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court accepts that the correspondences meant for the attention of the plaintiff were sent to the wrong addresses (which factor the court has no option but to accept) it must therefore be the natural conclusion that the plaintiff must be believed when she said she was never advised of the arrear payments and further that the defendants unilaterally decided to sell her property to allegedly defray the accrued charges which she was not aware of.</w:t>
      </w:r>
    </w:p>
    <w:p w:rsidR="00F77FD5" w:rsidRDefault="00F77FD5" w:rsidP="00F03963">
      <w:pPr>
        <w:spacing w:after="0" w:line="240" w:lineRule="auto"/>
        <w:jc w:val="both"/>
        <w:rPr>
          <w:rFonts w:ascii="Times New Roman" w:hAnsi="Times New Roman" w:cs="Times New Roman"/>
          <w:sz w:val="24"/>
          <w:szCs w:val="24"/>
        </w:rPr>
      </w:pPr>
    </w:p>
    <w:p w:rsidR="00F77FD5" w:rsidRDefault="00F77FD5" w:rsidP="00F03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WAS IT COMPETENT FOR THE DEFENDANT TO SELL THE PLAINTIFF’S </w:t>
      </w:r>
      <w:r w:rsidRPr="00F03963">
        <w:rPr>
          <w:rFonts w:ascii="Times New Roman" w:hAnsi="Times New Roman" w:cs="Times New Roman"/>
          <w:sz w:val="24"/>
          <w:szCs w:val="24"/>
          <w:u w:val="single"/>
        </w:rPr>
        <w:t>PROPERTY WITHOUT ANY RECOURSE TO COURT</w:t>
      </w:r>
      <w:r w:rsidR="00F03963">
        <w:rPr>
          <w:rFonts w:ascii="Times New Roman" w:hAnsi="Times New Roman" w:cs="Times New Roman"/>
          <w:sz w:val="24"/>
          <w:szCs w:val="24"/>
          <w:u w:val="single"/>
        </w:rPr>
        <w:t>____________________________</w:t>
      </w:r>
    </w:p>
    <w:p w:rsidR="00EE3E27" w:rsidRDefault="00F77FD5" w:rsidP="00F77F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thrust of the defendant’s position is that the contract allegedly entered into by the plaintiff and the defendant allowed the latter to act in the manner it did. </w:t>
      </w:r>
      <w:r w:rsidR="00EE3E27">
        <w:rPr>
          <w:rFonts w:ascii="Times New Roman" w:hAnsi="Times New Roman" w:cs="Times New Roman"/>
          <w:sz w:val="24"/>
          <w:szCs w:val="24"/>
        </w:rPr>
        <w:t xml:space="preserve">  </w:t>
      </w:r>
    </w:p>
    <w:p w:rsidR="00F77FD5" w:rsidRDefault="00F77FD5" w:rsidP="00F77F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closing submissions counsel for the defendant equated the contractual arrangement to one governed by what is referred to as a “</w:t>
      </w:r>
      <w:r w:rsidRPr="00B121BB">
        <w:rPr>
          <w:rFonts w:ascii="Times New Roman" w:hAnsi="Times New Roman" w:cs="Times New Roman"/>
          <w:i/>
          <w:sz w:val="24"/>
          <w:szCs w:val="24"/>
        </w:rPr>
        <w:t>paratie</w:t>
      </w:r>
      <w:r>
        <w:rPr>
          <w:rFonts w:ascii="Times New Roman" w:hAnsi="Times New Roman" w:cs="Times New Roman"/>
          <w:sz w:val="24"/>
          <w:szCs w:val="24"/>
        </w:rPr>
        <w:t xml:space="preserve"> execution clause”</w:t>
      </w:r>
      <w:r w:rsidR="00B121BB">
        <w:rPr>
          <w:rFonts w:ascii="Times New Roman" w:hAnsi="Times New Roman" w:cs="Times New Roman"/>
          <w:sz w:val="24"/>
          <w:szCs w:val="24"/>
        </w:rPr>
        <w:t xml:space="preserve"> which he argued has support in our law. Counsel referred me to the case of </w:t>
      </w:r>
      <w:r w:rsidR="00B121BB">
        <w:rPr>
          <w:rFonts w:ascii="Times New Roman" w:hAnsi="Times New Roman" w:cs="Times New Roman"/>
          <w:i/>
          <w:sz w:val="24"/>
          <w:szCs w:val="24"/>
        </w:rPr>
        <w:t>Changa</w:t>
      </w:r>
      <w:r w:rsidR="00CB067C">
        <w:rPr>
          <w:rFonts w:ascii="Times New Roman" w:hAnsi="Times New Roman" w:cs="Times New Roman"/>
          <w:i/>
          <w:sz w:val="24"/>
          <w:szCs w:val="24"/>
        </w:rPr>
        <w:t xml:space="preserve"> </w:t>
      </w:r>
      <w:r w:rsidR="00B121BB">
        <w:rPr>
          <w:rFonts w:ascii="Times New Roman" w:hAnsi="Times New Roman" w:cs="Times New Roman"/>
          <w:sz w:val="24"/>
          <w:szCs w:val="24"/>
        </w:rPr>
        <w:t xml:space="preserve">v </w:t>
      </w:r>
      <w:r w:rsidR="00B121BB">
        <w:rPr>
          <w:rFonts w:ascii="Times New Roman" w:hAnsi="Times New Roman" w:cs="Times New Roman"/>
          <w:i/>
          <w:sz w:val="24"/>
          <w:szCs w:val="24"/>
        </w:rPr>
        <w:t>Standard Finance Limited</w:t>
      </w:r>
      <w:r w:rsidR="00B121BB" w:rsidRPr="00B121BB">
        <w:rPr>
          <w:rStyle w:val="FootnoteReference"/>
          <w:rFonts w:ascii="Times New Roman" w:hAnsi="Times New Roman" w:cs="Times New Roman"/>
          <w:sz w:val="24"/>
          <w:szCs w:val="24"/>
        </w:rPr>
        <w:footnoteReference w:id="1"/>
      </w:r>
      <w:r w:rsidR="00B121BB">
        <w:rPr>
          <w:rFonts w:ascii="Times New Roman" w:hAnsi="Times New Roman" w:cs="Times New Roman"/>
          <w:i/>
          <w:sz w:val="24"/>
          <w:szCs w:val="24"/>
        </w:rPr>
        <w:t xml:space="preserve"> </w:t>
      </w:r>
      <w:r w:rsidR="00B121BB" w:rsidRPr="00B121BB">
        <w:rPr>
          <w:rFonts w:ascii="Times New Roman" w:hAnsi="Times New Roman" w:cs="Times New Roman"/>
          <w:sz w:val="24"/>
          <w:szCs w:val="24"/>
        </w:rPr>
        <w:t>where</w:t>
      </w:r>
      <w:r w:rsidR="00B121BB">
        <w:rPr>
          <w:rFonts w:ascii="Times New Roman" w:hAnsi="Times New Roman" w:cs="Times New Roman"/>
          <w:sz w:val="24"/>
          <w:szCs w:val="24"/>
        </w:rPr>
        <w:t xml:space="preserve"> there is some reference to this principal of our law.</w:t>
      </w:r>
    </w:p>
    <w:p w:rsidR="00B121BB" w:rsidRDefault="00B121BB" w:rsidP="00F77F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can be no argument in my view that “</w:t>
      </w:r>
      <w:r>
        <w:rPr>
          <w:rFonts w:ascii="Times New Roman" w:hAnsi="Times New Roman" w:cs="Times New Roman"/>
          <w:i/>
          <w:sz w:val="24"/>
          <w:szCs w:val="24"/>
        </w:rPr>
        <w:t>paratie</w:t>
      </w:r>
      <w:r>
        <w:rPr>
          <w:rFonts w:ascii="Times New Roman" w:hAnsi="Times New Roman" w:cs="Times New Roman"/>
          <w:sz w:val="24"/>
          <w:szCs w:val="24"/>
        </w:rPr>
        <w:t xml:space="preserve"> execution</w:t>
      </w:r>
      <w:r w:rsidRPr="00B121BB">
        <w:rPr>
          <w:rFonts w:ascii="Times New Roman" w:hAnsi="Times New Roman" w:cs="Times New Roman"/>
          <w:sz w:val="24"/>
          <w:szCs w:val="24"/>
        </w:rPr>
        <w:t>”</w:t>
      </w:r>
      <w:r>
        <w:rPr>
          <w:rFonts w:ascii="Times New Roman" w:hAnsi="Times New Roman" w:cs="Times New Roman"/>
          <w:sz w:val="24"/>
          <w:szCs w:val="24"/>
        </w:rPr>
        <w:t xml:space="preserve"> in appropriate circumstances remains part of our law subject to the qualification that the creditor is precluded to act in a manner that prejudices the debtor in his/her rights.</w:t>
      </w:r>
    </w:p>
    <w:p w:rsidR="00B121BB" w:rsidRDefault="00B121BB" w:rsidP="00F77F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jurisdiction the operation of “</w:t>
      </w:r>
      <w:r>
        <w:rPr>
          <w:rFonts w:ascii="Times New Roman" w:hAnsi="Times New Roman" w:cs="Times New Roman"/>
          <w:i/>
          <w:sz w:val="24"/>
          <w:szCs w:val="24"/>
        </w:rPr>
        <w:t>paratie</w:t>
      </w:r>
      <w:r>
        <w:rPr>
          <w:rFonts w:ascii="Times New Roman" w:hAnsi="Times New Roman" w:cs="Times New Roman"/>
          <w:sz w:val="24"/>
          <w:szCs w:val="24"/>
        </w:rPr>
        <w:t xml:space="preserve"> </w:t>
      </w:r>
      <w:r>
        <w:rPr>
          <w:rFonts w:ascii="Times New Roman" w:hAnsi="Times New Roman" w:cs="Times New Roman"/>
          <w:i/>
          <w:sz w:val="24"/>
          <w:szCs w:val="24"/>
        </w:rPr>
        <w:t>excutie</w:t>
      </w:r>
      <w:r>
        <w:rPr>
          <w:rFonts w:ascii="Times New Roman" w:hAnsi="Times New Roman" w:cs="Times New Roman"/>
          <w:sz w:val="24"/>
          <w:szCs w:val="24"/>
        </w:rPr>
        <w:t xml:space="preserve">” as a principle of our law can be traced back to the case of </w:t>
      </w:r>
      <w:r>
        <w:rPr>
          <w:rFonts w:ascii="Times New Roman" w:hAnsi="Times New Roman" w:cs="Times New Roman"/>
          <w:i/>
          <w:sz w:val="24"/>
          <w:szCs w:val="24"/>
        </w:rPr>
        <w:t>Aitken</w:t>
      </w:r>
      <w:r>
        <w:rPr>
          <w:rFonts w:ascii="Times New Roman" w:hAnsi="Times New Roman" w:cs="Times New Roman"/>
          <w:sz w:val="24"/>
          <w:szCs w:val="24"/>
        </w:rPr>
        <w:t xml:space="preserve"> v </w:t>
      </w:r>
      <w:r>
        <w:rPr>
          <w:rFonts w:ascii="Times New Roman" w:hAnsi="Times New Roman" w:cs="Times New Roman"/>
          <w:i/>
          <w:sz w:val="24"/>
          <w:szCs w:val="24"/>
        </w:rPr>
        <w:t>Miller</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per BEADLE J where the headnote reads:</w:t>
      </w:r>
    </w:p>
    <w:p w:rsidR="00B121BB" w:rsidRDefault="00B121BB" w:rsidP="00B121BB">
      <w:pPr>
        <w:spacing w:after="0" w:line="240" w:lineRule="auto"/>
        <w:ind w:left="720"/>
        <w:jc w:val="both"/>
        <w:rPr>
          <w:rFonts w:ascii="Times New Roman" w:hAnsi="Times New Roman" w:cs="Times New Roman"/>
          <w:sz w:val="24"/>
          <w:szCs w:val="24"/>
        </w:rPr>
      </w:pPr>
    </w:p>
    <w:p w:rsidR="00B121BB" w:rsidRPr="00B121BB" w:rsidRDefault="00B121BB" w:rsidP="00B121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Southern Rhodesia an agreement for the sale by means of </w:t>
      </w:r>
      <w:r>
        <w:rPr>
          <w:rFonts w:ascii="Times New Roman" w:hAnsi="Times New Roman" w:cs="Times New Roman"/>
          <w:i/>
          <w:sz w:val="24"/>
          <w:szCs w:val="24"/>
        </w:rPr>
        <w:t>paratie executie</w:t>
      </w:r>
      <w:r>
        <w:rPr>
          <w:rFonts w:ascii="Times New Roman" w:hAnsi="Times New Roman" w:cs="Times New Roman"/>
          <w:sz w:val="24"/>
          <w:szCs w:val="24"/>
        </w:rPr>
        <w:t xml:space="preserve"> of movables, delivered to a creditor by a debtor, is valid and enforceable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6F0B75" w:rsidRDefault="006F0B75" w:rsidP="00963CCC">
      <w:pPr>
        <w:spacing w:after="0" w:line="360" w:lineRule="auto"/>
        <w:jc w:val="both"/>
        <w:rPr>
          <w:rFonts w:ascii="Times New Roman" w:hAnsi="Times New Roman" w:cs="Times New Roman"/>
          <w:sz w:val="24"/>
          <w:szCs w:val="24"/>
        </w:rPr>
      </w:pPr>
    </w:p>
    <w:p w:rsidR="00387ED2" w:rsidRDefault="00387ED2" w:rsidP="00387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qualification in the operation of </w:t>
      </w:r>
      <w:r w:rsidRPr="00387ED2">
        <w:rPr>
          <w:rFonts w:ascii="Times New Roman" w:hAnsi="Times New Roman" w:cs="Times New Roman"/>
          <w:i/>
          <w:sz w:val="24"/>
          <w:szCs w:val="24"/>
        </w:rPr>
        <w:t>pa</w:t>
      </w:r>
      <w:r>
        <w:rPr>
          <w:rFonts w:ascii="Times New Roman" w:hAnsi="Times New Roman" w:cs="Times New Roman"/>
          <w:i/>
          <w:sz w:val="24"/>
          <w:szCs w:val="24"/>
        </w:rPr>
        <w:t>ratie excutie</w:t>
      </w:r>
      <w:r>
        <w:rPr>
          <w:rFonts w:ascii="Times New Roman" w:hAnsi="Times New Roman" w:cs="Times New Roman"/>
          <w:sz w:val="24"/>
          <w:szCs w:val="24"/>
        </w:rPr>
        <w:t xml:space="preserve"> is succinct</w:t>
      </w:r>
      <w:r w:rsidR="00CB067C">
        <w:rPr>
          <w:rFonts w:ascii="Times New Roman" w:hAnsi="Times New Roman" w:cs="Times New Roman"/>
          <w:sz w:val="24"/>
          <w:szCs w:val="24"/>
        </w:rPr>
        <w:t>ly</w:t>
      </w:r>
      <w:r>
        <w:rPr>
          <w:rFonts w:ascii="Times New Roman" w:hAnsi="Times New Roman" w:cs="Times New Roman"/>
          <w:sz w:val="24"/>
          <w:szCs w:val="24"/>
        </w:rPr>
        <w:t xml:space="preserve"> put in the following terms in </w:t>
      </w:r>
      <w:r w:rsidR="005922E0">
        <w:rPr>
          <w:rFonts w:ascii="Times New Roman" w:hAnsi="Times New Roman" w:cs="Times New Roman"/>
          <w:i/>
          <w:sz w:val="24"/>
          <w:szCs w:val="24"/>
        </w:rPr>
        <w:t>Osr</w:t>
      </w:r>
      <w:r>
        <w:rPr>
          <w:rFonts w:ascii="Times New Roman" w:hAnsi="Times New Roman" w:cs="Times New Roman"/>
          <w:sz w:val="24"/>
          <w:szCs w:val="24"/>
        </w:rPr>
        <w:t xml:space="preserve"> v </w:t>
      </w:r>
      <w:r>
        <w:rPr>
          <w:rFonts w:ascii="Times New Roman" w:hAnsi="Times New Roman" w:cs="Times New Roman"/>
          <w:i/>
          <w:sz w:val="24"/>
          <w:szCs w:val="24"/>
        </w:rPr>
        <w:t>Hirsch</w:t>
      </w:r>
      <w:r>
        <w:rPr>
          <w:rFonts w:ascii="Times New Roman" w:hAnsi="Times New Roman" w:cs="Times New Roman"/>
          <w:sz w:val="24"/>
          <w:szCs w:val="24"/>
        </w:rPr>
        <w:t xml:space="preserve">, </w:t>
      </w:r>
      <w:r w:rsidRPr="00387ED2">
        <w:rPr>
          <w:rFonts w:ascii="Times New Roman" w:hAnsi="Times New Roman" w:cs="Times New Roman"/>
          <w:sz w:val="24"/>
          <w:szCs w:val="24"/>
        </w:rPr>
        <w:t>Loubser</w:t>
      </w:r>
      <w:r>
        <w:rPr>
          <w:rFonts w:ascii="Times New Roman" w:hAnsi="Times New Roman" w:cs="Times New Roman"/>
          <w:sz w:val="24"/>
          <w:szCs w:val="24"/>
        </w:rPr>
        <w:t xml:space="preserve"> and Co Ltd</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rsidR="00387ED2" w:rsidRDefault="00387ED2" w:rsidP="00387ED2">
      <w:pPr>
        <w:spacing w:after="0" w:line="240" w:lineRule="auto"/>
        <w:ind w:firstLine="720"/>
        <w:jc w:val="both"/>
        <w:rPr>
          <w:rFonts w:ascii="Times New Roman" w:hAnsi="Times New Roman" w:cs="Times New Roman"/>
          <w:sz w:val="24"/>
          <w:szCs w:val="24"/>
        </w:rPr>
      </w:pPr>
    </w:p>
    <w:p w:rsidR="00387ED2" w:rsidRDefault="00387ED2" w:rsidP="00387E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however, open to the debtor to seek the protection of the court if, upon any just ground he can show that, in carrying out the agreement and effecting a sale, the creditor has acted in a manner which has prejudiced him his rights.”</w:t>
      </w:r>
    </w:p>
    <w:p w:rsidR="00387ED2" w:rsidRDefault="00387ED2" w:rsidP="00387ED2">
      <w:pPr>
        <w:spacing w:after="0" w:line="240" w:lineRule="auto"/>
        <w:jc w:val="both"/>
        <w:rPr>
          <w:rFonts w:ascii="Times New Roman" w:hAnsi="Times New Roman" w:cs="Times New Roman"/>
          <w:sz w:val="24"/>
          <w:szCs w:val="24"/>
        </w:rPr>
      </w:pPr>
    </w:p>
    <w:p w:rsidR="00387ED2" w:rsidRDefault="00387ED2" w:rsidP="00387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occurs to me that </w:t>
      </w:r>
      <w:r>
        <w:rPr>
          <w:rFonts w:ascii="Times New Roman" w:hAnsi="Times New Roman" w:cs="Times New Roman"/>
          <w:i/>
          <w:sz w:val="24"/>
          <w:szCs w:val="24"/>
        </w:rPr>
        <w:t>paratie excutie</w:t>
      </w:r>
      <w:r>
        <w:rPr>
          <w:rFonts w:ascii="Times New Roman" w:hAnsi="Times New Roman" w:cs="Times New Roman"/>
          <w:sz w:val="24"/>
          <w:szCs w:val="24"/>
        </w:rPr>
        <w:t xml:space="preserve">, as a principle of law is not something that our courts have blindly followed. I will later in this judgment deal with either its applicability or non-applicability in the instant case. </w:t>
      </w:r>
    </w:p>
    <w:p w:rsidR="00387ED2" w:rsidRDefault="00387ED2" w:rsidP="00387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contrast counsel for the plaintiff in this case put up an equally strong and persuasive argument that in her conviction the clause that governed the plaintiff and the defendant in this case, and relied upon by the defendant in disposing of the plaintiff’s property was a “</w:t>
      </w:r>
      <w:r>
        <w:rPr>
          <w:rFonts w:ascii="Times New Roman" w:hAnsi="Times New Roman" w:cs="Times New Roman"/>
          <w:i/>
          <w:sz w:val="24"/>
          <w:szCs w:val="24"/>
        </w:rPr>
        <w:t>pactum commissarium</w:t>
      </w:r>
      <w:r>
        <w:rPr>
          <w:rFonts w:ascii="Times New Roman" w:hAnsi="Times New Roman" w:cs="Times New Roman"/>
          <w:sz w:val="24"/>
          <w:szCs w:val="24"/>
        </w:rPr>
        <w:t>” and unenforceable, and therefore invoking it in this case was incompetent on the part of the defendant.</w:t>
      </w:r>
    </w:p>
    <w:p w:rsidR="00387ED2" w:rsidRDefault="00387ED2" w:rsidP="00387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supporting her position the plaintiff’s counsel referred me to the case of </w:t>
      </w:r>
      <w:r>
        <w:rPr>
          <w:rFonts w:ascii="Times New Roman" w:hAnsi="Times New Roman" w:cs="Times New Roman"/>
          <w:i/>
          <w:sz w:val="24"/>
          <w:szCs w:val="24"/>
        </w:rPr>
        <w:t xml:space="preserve">Chimutanda Motor Spares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Teclar Musare &amp; Anor</w:t>
      </w:r>
      <w:r w:rsidR="00580FC9">
        <w:rPr>
          <w:rStyle w:val="FootnoteReference"/>
          <w:rFonts w:ascii="Times New Roman" w:hAnsi="Times New Roman" w:cs="Times New Roman"/>
          <w:i/>
          <w:sz w:val="24"/>
          <w:szCs w:val="24"/>
        </w:rPr>
        <w:footnoteReference w:id="5"/>
      </w:r>
      <w:r w:rsidR="00580FC9">
        <w:rPr>
          <w:rFonts w:ascii="Times New Roman" w:hAnsi="Times New Roman" w:cs="Times New Roman"/>
          <w:sz w:val="24"/>
          <w:szCs w:val="24"/>
        </w:rPr>
        <w:t xml:space="preserve"> where the leaned Judge, MUTAMBANENGWE</w:t>
      </w:r>
      <w:r w:rsidR="00580FC9">
        <w:rPr>
          <w:rFonts w:ascii="Times New Roman" w:hAnsi="Times New Roman" w:cs="Times New Roman"/>
          <w:i/>
          <w:sz w:val="24"/>
          <w:szCs w:val="24"/>
        </w:rPr>
        <w:t xml:space="preserve"> </w:t>
      </w:r>
      <w:r w:rsidR="00580FC9" w:rsidRPr="00580FC9">
        <w:rPr>
          <w:rFonts w:ascii="Times New Roman" w:hAnsi="Times New Roman" w:cs="Times New Roman"/>
          <w:sz w:val="24"/>
          <w:szCs w:val="24"/>
        </w:rPr>
        <w:t>(as he then was)</w:t>
      </w:r>
      <w:r w:rsidR="00580FC9">
        <w:rPr>
          <w:rFonts w:ascii="Times New Roman" w:hAnsi="Times New Roman" w:cs="Times New Roman"/>
          <w:sz w:val="24"/>
          <w:szCs w:val="24"/>
        </w:rPr>
        <w:t xml:space="preserve"> ma</w:t>
      </w:r>
      <w:r w:rsidR="00CB067C">
        <w:rPr>
          <w:rFonts w:ascii="Times New Roman" w:hAnsi="Times New Roman" w:cs="Times New Roman"/>
          <w:sz w:val="24"/>
          <w:szCs w:val="24"/>
        </w:rPr>
        <w:t>de</w:t>
      </w:r>
      <w:r w:rsidR="00580FC9">
        <w:rPr>
          <w:rFonts w:ascii="Times New Roman" w:hAnsi="Times New Roman" w:cs="Times New Roman"/>
          <w:sz w:val="24"/>
          <w:szCs w:val="24"/>
        </w:rPr>
        <w:t xml:space="preserve"> a fairly detailed analysis of a </w:t>
      </w:r>
      <w:r w:rsidR="00580FC9">
        <w:rPr>
          <w:rFonts w:ascii="Times New Roman" w:hAnsi="Times New Roman" w:cs="Times New Roman"/>
          <w:i/>
          <w:sz w:val="24"/>
          <w:szCs w:val="24"/>
        </w:rPr>
        <w:t>pactum commissorium</w:t>
      </w:r>
      <w:r w:rsidR="00580FC9">
        <w:rPr>
          <w:rFonts w:ascii="Times New Roman" w:hAnsi="Times New Roman" w:cs="Times New Roman"/>
          <w:sz w:val="24"/>
          <w:szCs w:val="24"/>
        </w:rPr>
        <w:t xml:space="preserve"> and why the law reprobates it.</w:t>
      </w:r>
    </w:p>
    <w:p w:rsidR="00580FC9" w:rsidRDefault="00580FC9" w:rsidP="00387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particular case he was seized with the learned judge remarked</w:t>
      </w:r>
      <w:r w:rsidR="00CB067C">
        <w:rPr>
          <w:rFonts w:ascii="Times New Roman" w:hAnsi="Times New Roman" w:cs="Times New Roman"/>
          <w:sz w:val="24"/>
          <w:szCs w:val="24"/>
        </w:rPr>
        <w:t>;</w:t>
      </w:r>
    </w:p>
    <w:p w:rsidR="00D025DA" w:rsidRDefault="00D025DA" w:rsidP="00D025DA">
      <w:pPr>
        <w:spacing w:after="0" w:line="240" w:lineRule="auto"/>
        <w:ind w:firstLine="720"/>
        <w:jc w:val="both"/>
        <w:rPr>
          <w:rFonts w:ascii="Times New Roman" w:hAnsi="Times New Roman" w:cs="Times New Roman"/>
          <w:sz w:val="24"/>
          <w:szCs w:val="24"/>
        </w:rPr>
      </w:pPr>
    </w:p>
    <w:p w:rsidR="00580FC9" w:rsidRDefault="00580FC9" w:rsidP="00D025D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find the agreement as to the consequences of defaulting on the defendant’s part is a </w:t>
      </w:r>
      <w:r>
        <w:rPr>
          <w:rFonts w:ascii="Times New Roman" w:hAnsi="Times New Roman" w:cs="Times New Roman"/>
          <w:i/>
          <w:sz w:val="24"/>
          <w:szCs w:val="24"/>
        </w:rPr>
        <w:t>pactum commissorium</w:t>
      </w:r>
      <w:r>
        <w:rPr>
          <w:rFonts w:ascii="Times New Roman" w:hAnsi="Times New Roman" w:cs="Times New Roman"/>
          <w:sz w:val="24"/>
          <w:szCs w:val="24"/>
        </w:rPr>
        <w:t xml:space="preserve"> and as such unenforceable.</w:t>
      </w:r>
      <w:r>
        <w:rPr>
          <w:rStyle w:val="FootnoteReference"/>
          <w:rFonts w:ascii="Times New Roman" w:hAnsi="Times New Roman" w:cs="Times New Roman"/>
          <w:sz w:val="24"/>
          <w:szCs w:val="24"/>
        </w:rPr>
        <w:footnoteReference w:id="6"/>
      </w:r>
    </w:p>
    <w:p w:rsidR="00D025DA" w:rsidRDefault="00D025DA" w:rsidP="00D025DA">
      <w:pPr>
        <w:spacing w:after="0" w:line="360" w:lineRule="auto"/>
        <w:jc w:val="both"/>
        <w:rPr>
          <w:rFonts w:ascii="Times New Roman" w:hAnsi="Times New Roman" w:cs="Times New Roman"/>
          <w:sz w:val="24"/>
          <w:szCs w:val="24"/>
        </w:rPr>
      </w:pPr>
    </w:p>
    <w:p w:rsidR="00D025DA" w:rsidRDefault="00D025DA"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seem to me that in all the cases where an attempt h</w:t>
      </w:r>
      <w:r w:rsidR="00232625">
        <w:rPr>
          <w:rFonts w:ascii="Times New Roman" w:hAnsi="Times New Roman" w:cs="Times New Roman"/>
          <w:sz w:val="24"/>
          <w:szCs w:val="24"/>
        </w:rPr>
        <w:t xml:space="preserve">as been made to rely on a </w:t>
      </w:r>
      <w:r w:rsidR="00232625">
        <w:rPr>
          <w:rFonts w:ascii="Times New Roman" w:hAnsi="Times New Roman" w:cs="Times New Roman"/>
          <w:i/>
          <w:sz w:val="24"/>
          <w:szCs w:val="24"/>
        </w:rPr>
        <w:t>paratie executie</w:t>
      </w:r>
      <w:r w:rsidR="00232625">
        <w:rPr>
          <w:rFonts w:ascii="Times New Roman" w:hAnsi="Times New Roman" w:cs="Times New Roman"/>
          <w:sz w:val="24"/>
          <w:szCs w:val="24"/>
        </w:rPr>
        <w:t>, both the defendant and the plaintiff would be in agreement as regards the liability of the latter. Liability is never an issue in those cases as there is unanimity in that regard.</w:t>
      </w:r>
    </w:p>
    <w:p w:rsidR="00232625" w:rsidRDefault="00232625"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before me there is certainly no unanimity as regards the liability of the plaintiff. This issue occupied the bulk of the proceedings in this case and even after the case was concluded, it was not possible to establish the alleged liability of the plaintiff because of the position adopted by the plaintiff and accepted by the court that she was never advised of her liability through her chosen con</w:t>
      </w:r>
      <w:r w:rsidR="00CB067C">
        <w:rPr>
          <w:rFonts w:ascii="Times New Roman" w:hAnsi="Times New Roman" w:cs="Times New Roman"/>
          <w:sz w:val="24"/>
          <w:szCs w:val="24"/>
        </w:rPr>
        <w:t>ta</w:t>
      </w:r>
      <w:r>
        <w:rPr>
          <w:rFonts w:ascii="Times New Roman" w:hAnsi="Times New Roman" w:cs="Times New Roman"/>
          <w:sz w:val="24"/>
          <w:szCs w:val="24"/>
        </w:rPr>
        <w:t>ct address.</w:t>
      </w:r>
    </w:p>
    <w:p w:rsidR="00232625" w:rsidRDefault="00232625"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occurs to me that before the defendant sought to dispose of the plaintiff’s property in the manner it did, the plaintiff’s liability ought to have been established first through a court process.</w:t>
      </w:r>
      <w:r w:rsidR="00CB067C">
        <w:rPr>
          <w:rFonts w:ascii="Times New Roman" w:hAnsi="Times New Roman" w:cs="Times New Roman"/>
          <w:sz w:val="24"/>
          <w:szCs w:val="24"/>
        </w:rPr>
        <w:t xml:space="preserve"> In this case there was no agreement as regards what was due to the defendant hence the inapplicability of the principle.</w:t>
      </w:r>
    </w:p>
    <w:p w:rsidR="00232625" w:rsidRDefault="00232625"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one were to assume that </w:t>
      </w:r>
      <w:r>
        <w:rPr>
          <w:rFonts w:ascii="Times New Roman" w:hAnsi="Times New Roman" w:cs="Times New Roman"/>
          <w:i/>
          <w:sz w:val="24"/>
          <w:szCs w:val="24"/>
        </w:rPr>
        <w:t>parate execution</w:t>
      </w:r>
      <w:r>
        <w:rPr>
          <w:rFonts w:ascii="Times New Roman" w:hAnsi="Times New Roman" w:cs="Times New Roman"/>
          <w:sz w:val="24"/>
          <w:szCs w:val="24"/>
        </w:rPr>
        <w:t xml:space="preserve"> was applicable in this case, </w:t>
      </w:r>
      <w:r w:rsidR="00417F57">
        <w:rPr>
          <w:rFonts w:ascii="Times New Roman" w:hAnsi="Times New Roman" w:cs="Times New Roman"/>
          <w:sz w:val="24"/>
          <w:szCs w:val="24"/>
        </w:rPr>
        <w:t>it is clear</w:t>
      </w:r>
      <w:r>
        <w:rPr>
          <w:rFonts w:ascii="Times New Roman" w:hAnsi="Times New Roman" w:cs="Times New Roman"/>
          <w:sz w:val="24"/>
          <w:szCs w:val="24"/>
        </w:rPr>
        <w:t xml:space="preserve"> </w:t>
      </w:r>
      <w:r w:rsidR="00417F57">
        <w:rPr>
          <w:rFonts w:ascii="Times New Roman" w:hAnsi="Times New Roman" w:cs="Times New Roman"/>
          <w:sz w:val="24"/>
          <w:szCs w:val="24"/>
        </w:rPr>
        <w:t xml:space="preserve">to me </w:t>
      </w:r>
      <w:r>
        <w:rPr>
          <w:rFonts w:ascii="Times New Roman" w:hAnsi="Times New Roman" w:cs="Times New Roman"/>
          <w:sz w:val="24"/>
          <w:szCs w:val="24"/>
        </w:rPr>
        <w:t xml:space="preserve">that in unilaterally deciding that the plaintiff owed it certain sums of money in a </w:t>
      </w:r>
      <w:r>
        <w:rPr>
          <w:rFonts w:ascii="Times New Roman" w:hAnsi="Times New Roman" w:cs="Times New Roman"/>
          <w:sz w:val="24"/>
          <w:szCs w:val="24"/>
        </w:rPr>
        <w:lastRenderedPageBreak/>
        <w:t>situation where the defendant acted as both the prosecutor and the adjudicator in determining what was allegedly due to it, the defendant acted to the prejudice of the plaintiff</w:t>
      </w:r>
      <w:r w:rsidR="00417F57">
        <w:rPr>
          <w:rFonts w:ascii="Times New Roman" w:hAnsi="Times New Roman" w:cs="Times New Roman"/>
          <w:sz w:val="24"/>
          <w:szCs w:val="24"/>
        </w:rPr>
        <w:t>.</w:t>
      </w:r>
      <w:r>
        <w:rPr>
          <w:rFonts w:ascii="Times New Roman" w:hAnsi="Times New Roman" w:cs="Times New Roman"/>
          <w:sz w:val="24"/>
          <w:szCs w:val="24"/>
        </w:rPr>
        <w:t xml:space="preserve"> If this is accepted (as it should be, in my view), then, it becomes clear that the situation in this case projects the qualification highlighted in </w:t>
      </w:r>
      <w:r w:rsidR="005922E0" w:rsidRPr="005922E0">
        <w:rPr>
          <w:rFonts w:ascii="Times New Roman" w:hAnsi="Times New Roman" w:cs="Times New Roman"/>
          <w:i/>
          <w:sz w:val="24"/>
          <w:szCs w:val="24"/>
        </w:rPr>
        <w:t>Os</w:t>
      </w:r>
      <w:r w:rsidR="00CB067C">
        <w:rPr>
          <w:rFonts w:ascii="Times New Roman" w:hAnsi="Times New Roman" w:cs="Times New Roman"/>
          <w:i/>
          <w:sz w:val="24"/>
          <w:szCs w:val="24"/>
        </w:rPr>
        <w:t>r</w:t>
      </w:r>
      <w:r w:rsidR="005922E0">
        <w:rPr>
          <w:rFonts w:ascii="Times New Roman" w:hAnsi="Times New Roman" w:cs="Times New Roman"/>
          <w:sz w:val="24"/>
          <w:szCs w:val="24"/>
        </w:rPr>
        <w:t>y’s</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w:t>
      </w:r>
      <w:r w:rsidR="00CB067C">
        <w:rPr>
          <w:rFonts w:ascii="Times New Roman" w:hAnsi="Times New Roman" w:cs="Times New Roman"/>
          <w:sz w:val="24"/>
          <w:szCs w:val="24"/>
        </w:rPr>
        <w:t xml:space="preserve"> where the plaintiff has a justified reason to have recourse to court.</w:t>
      </w:r>
    </w:p>
    <w:p w:rsidR="00232625" w:rsidRDefault="00232625"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position in this case is that she was never given the opportunity in court to contest what was allegedly due to the defendant in terms of outstanding payments before the defendant unilaterally decided</w:t>
      </w:r>
      <w:r w:rsidR="004F5CF5">
        <w:rPr>
          <w:rFonts w:ascii="Times New Roman" w:hAnsi="Times New Roman" w:cs="Times New Roman"/>
          <w:sz w:val="24"/>
          <w:szCs w:val="24"/>
        </w:rPr>
        <w:t xml:space="preserve"> </w:t>
      </w:r>
      <w:r>
        <w:rPr>
          <w:rFonts w:ascii="Times New Roman" w:hAnsi="Times New Roman" w:cs="Times New Roman"/>
          <w:sz w:val="24"/>
          <w:szCs w:val="24"/>
        </w:rPr>
        <w:t xml:space="preserve">on the figure which was followed </w:t>
      </w:r>
      <w:r w:rsidR="004F5CF5">
        <w:rPr>
          <w:rFonts w:ascii="Times New Roman" w:hAnsi="Times New Roman" w:cs="Times New Roman"/>
          <w:sz w:val="24"/>
          <w:szCs w:val="24"/>
        </w:rPr>
        <w:t>by the sale of her property by way of public auction. There is persuasion in the argument advanced by the plaintiff’s counsel that there was need for the plaintiff to get a court authorization</w:t>
      </w:r>
      <w:r w:rsidR="00CB067C">
        <w:rPr>
          <w:rFonts w:ascii="Times New Roman" w:hAnsi="Times New Roman" w:cs="Times New Roman"/>
          <w:sz w:val="24"/>
          <w:szCs w:val="24"/>
        </w:rPr>
        <w:t>/</w:t>
      </w:r>
      <w:r w:rsidR="004F5CF5">
        <w:rPr>
          <w:rFonts w:ascii="Times New Roman" w:hAnsi="Times New Roman" w:cs="Times New Roman"/>
          <w:sz w:val="24"/>
          <w:szCs w:val="24"/>
        </w:rPr>
        <w:t xml:space="preserve">order to dispose of the plaintiff’s property. Loosely interpreting the contract in the manner suggested by the defendant’s counsel would in my view have grave consequences in that that approach would stampede upon the rules of natural justice which demand that even </w:t>
      </w:r>
      <w:r w:rsidR="001E5D95">
        <w:rPr>
          <w:rFonts w:ascii="Times New Roman" w:hAnsi="Times New Roman" w:cs="Times New Roman"/>
          <w:sz w:val="24"/>
          <w:szCs w:val="24"/>
        </w:rPr>
        <w:t xml:space="preserve">a murderer </w:t>
      </w:r>
      <w:r w:rsidR="004F5CF5">
        <w:rPr>
          <w:rFonts w:ascii="Times New Roman" w:hAnsi="Times New Roman" w:cs="Times New Roman"/>
          <w:sz w:val="24"/>
          <w:szCs w:val="24"/>
        </w:rPr>
        <w:t xml:space="preserve">must be heard </w:t>
      </w:r>
      <w:r w:rsidR="001E5D95">
        <w:rPr>
          <w:rFonts w:ascii="Times New Roman" w:hAnsi="Times New Roman" w:cs="Times New Roman"/>
          <w:sz w:val="24"/>
          <w:szCs w:val="24"/>
        </w:rPr>
        <w:t xml:space="preserve">first </w:t>
      </w:r>
      <w:r w:rsidR="004F5CF5">
        <w:rPr>
          <w:rFonts w:ascii="Times New Roman" w:hAnsi="Times New Roman" w:cs="Times New Roman"/>
          <w:sz w:val="24"/>
          <w:szCs w:val="24"/>
        </w:rPr>
        <w:t xml:space="preserve">before drastic or adverse action is taken against </w:t>
      </w:r>
      <w:r w:rsidR="001E5D95">
        <w:rPr>
          <w:rFonts w:ascii="Times New Roman" w:hAnsi="Times New Roman" w:cs="Times New Roman"/>
          <w:sz w:val="24"/>
          <w:szCs w:val="24"/>
        </w:rPr>
        <w:t>him/her</w:t>
      </w:r>
      <w:r w:rsidR="004F5CF5">
        <w:rPr>
          <w:rFonts w:ascii="Times New Roman" w:hAnsi="Times New Roman" w:cs="Times New Roman"/>
          <w:sz w:val="24"/>
          <w:szCs w:val="24"/>
        </w:rPr>
        <w:t>.</w:t>
      </w:r>
    </w:p>
    <w:p w:rsidR="004F5CF5" w:rsidRDefault="004F5CF5"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Allowing the defendant to embark on unilateral action would give the defendant to act as both the prosecutor and a judge in a matter it has vested interest in and in my view this would not accord well with public policy. Consumers or those in the plaintiff’s position would be most vulnerable to such conduct as exhibited by the defendant in this case. There is need to </w:t>
      </w:r>
      <w:r w:rsidR="001E5D95">
        <w:rPr>
          <w:rFonts w:ascii="Times New Roman" w:hAnsi="Times New Roman" w:cs="Times New Roman"/>
          <w:sz w:val="24"/>
          <w:szCs w:val="24"/>
        </w:rPr>
        <w:t>curtail</w:t>
      </w:r>
      <w:r>
        <w:rPr>
          <w:rFonts w:ascii="Times New Roman" w:hAnsi="Times New Roman" w:cs="Times New Roman"/>
          <w:sz w:val="24"/>
          <w:szCs w:val="24"/>
        </w:rPr>
        <w:t xml:space="preserve"> of the conduct of the defendant by ensuring that it does not act to the prejudice of the consumers of its services.</w:t>
      </w:r>
    </w:p>
    <w:p w:rsidR="00145498" w:rsidRDefault="000339E3"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equally disturbing that contrary to the averments by the defendant, the evidence in this case clearly showed that not all the property that was deposited with the defendant was sold through public auction.</w:t>
      </w:r>
      <w:r w:rsidR="00B64F51">
        <w:rPr>
          <w:rFonts w:ascii="Times New Roman" w:hAnsi="Times New Roman" w:cs="Times New Roman"/>
          <w:sz w:val="24"/>
          <w:szCs w:val="24"/>
        </w:rPr>
        <w:t xml:space="preserve"> Property like the plaintiff’s</w:t>
      </w:r>
      <w:r w:rsidR="00AF0303">
        <w:rPr>
          <w:rFonts w:ascii="Times New Roman" w:hAnsi="Times New Roman" w:cs="Times New Roman"/>
          <w:sz w:val="24"/>
          <w:szCs w:val="24"/>
        </w:rPr>
        <w:t xml:space="preserve"> </w:t>
      </w:r>
      <w:r w:rsidR="00067B85">
        <w:rPr>
          <w:rFonts w:ascii="Times New Roman" w:hAnsi="Times New Roman" w:cs="Times New Roman"/>
          <w:sz w:val="24"/>
          <w:szCs w:val="24"/>
        </w:rPr>
        <w:t>marriage certificate, children’s academic and birth certificates could not possibly</w:t>
      </w:r>
      <w:r w:rsidR="00145498">
        <w:rPr>
          <w:rFonts w:ascii="Times New Roman" w:hAnsi="Times New Roman" w:cs="Times New Roman"/>
          <w:sz w:val="24"/>
          <w:szCs w:val="24"/>
        </w:rPr>
        <w:t xml:space="preserve"> have been sold and such property was not accounted for. It was only in a </w:t>
      </w:r>
      <w:r w:rsidR="005922E0">
        <w:rPr>
          <w:rFonts w:ascii="Times New Roman" w:hAnsi="Times New Roman" w:cs="Times New Roman"/>
          <w:sz w:val="24"/>
          <w:szCs w:val="24"/>
        </w:rPr>
        <w:t>fully-fledged</w:t>
      </w:r>
      <w:r w:rsidR="00145498">
        <w:rPr>
          <w:rFonts w:ascii="Times New Roman" w:hAnsi="Times New Roman" w:cs="Times New Roman"/>
          <w:sz w:val="24"/>
          <w:szCs w:val="24"/>
        </w:rPr>
        <w:t xml:space="preserve"> adversarial proceedings which ought to have preceded the disposal of the plaintiff’s goods that such issues should have been ascertained.</w:t>
      </w:r>
    </w:p>
    <w:p w:rsidR="00145498" w:rsidRDefault="00145498"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it even more disturbing that even after unilaterally selling the plaintiff’s property, the defendant did not bother to trace the plaintiff at her chosen contact address to give her the residue from the sale of her property after taking into account what it deemed was due to it.</w:t>
      </w:r>
    </w:p>
    <w:p w:rsidR="00145498" w:rsidRDefault="00145498"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gets the impression that if the plaintiff had not taken it upon herself to take the trouble of going to make enquiries </w:t>
      </w:r>
      <w:r w:rsidR="001E5D95">
        <w:rPr>
          <w:rFonts w:ascii="Times New Roman" w:hAnsi="Times New Roman" w:cs="Times New Roman"/>
          <w:sz w:val="24"/>
          <w:szCs w:val="24"/>
        </w:rPr>
        <w:t>to</w:t>
      </w:r>
      <w:r>
        <w:rPr>
          <w:rFonts w:ascii="Times New Roman" w:hAnsi="Times New Roman" w:cs="Times New Roman"/>
          <w:sz w:val="24"/>
          <w:szCs w:val="24"/>
        </w:rPr>
        <w:t xml:space="preserve"> Glens (the defendant) she would never have known </w:t>
      </w:r>
      <w:r>
        <w:rPr>
          <w:rFonts w:ascii="Times New Roman" w:hAnsi="Times New Roman" w:cs="Times New Roman"/>
          <w:sz w:val="24"/>
          <w:szCs w:val="24"/>
        </w:rPr>
        <w:lastRenderedPageBreak/>
        <w:t>what happened to her property. The conduct exhibited by the defendant falls far short of the best practice in conducting business in a transparent manner.</w:t>
      </w:r>
      <w:r w:rsidR="00AF0303">
        <w:rPr>
          <w:rFonts w:ascii="Times New Roman" w:hAnsi="Times New Roman" w:cs="Times New Roman"/>
          <w:sz w:val="24"/>
          <w:szCs w:val="24"/>
        </w:rPr>
        <w:t xml:space="preserve">  </w:t>
      </w:r>
    </w:p>
    <w:p w:rsidR="004C4A2A" w:rsidRDefault="00145498"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Everything said I am more inclined to accept, as persuasively argued by the plaintiff’s counsel that the condition relied upon by the defendant in selling the plaintiff’s property without the knowledge, consent and or approval of the plaintiff was a </w:t>
      </w:r>
      <w:r>
        <w:rPr>
          <w:rFonts w:ascii="Times New Roman" w:hAnsi="Times New Roman" w:cs="Times New Roman"/>
          <w:i/>
          <w:sz w:val="24"/>
          <w:szCs w:val="24"/>
        </w:rPr>
        <w:t>pactum commissorium</w:t>
      </w:r>
      <w:r>
        <w:rPr>
          <w:rFonts w:ascii="Times New Roman" w:hAnsi="Times New Roman" w:cs="Times New Roman"/>
          <w:sz w:val="24"/>
          <w:szCs w:val="24"/>
        </w:rPr>
        <w:t xml:space="preserve"> one, which our law reprobates.</w:t>
      </w:r>
    </w:p>
    <w:p w:rsidR="004C4A2A" w:rsidRDefault="004C4A2A" w:rsidP="0023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this position is accepted (as it should be), then it logically follows that the defendant acted wrongfully and unlawfully in facilitating the disposal of the plaintiff’s property in the manner it did.</w:t>
      </w:r>
    </w:p>
    <w:p w:rsidR="004C4A2A" w:rsidRDefault="004C4A2A" w:rsidP="004C4A2A">
      <w:pPr>
        <w:spacing w:after="0" w:line="240" w:lineRule="auto"/>
        <w:jc w:val="both"/>
        <w:rPr>
          <w:rFonts w:ascii="Times New Roman" w:hAnsi="Times New Roman" w:cs="Times New Roman"/>
          <w:sz w:val="24"/>
          <w:szCs w:val="24"/>
        </w:rPr>
      </w:pPr>
    </w:p>
    <w:p w:rsidR="004C4A2A" w:rsidRDefault="004C4A2A" w:rsidP="004C4A2A">
      <w:pPr>
        <w:spacing w:after="0" w:line="360" w:lineRule="auto"/>
        <w:jc w:val="both"/>
        <w:rPr>
          <w:rFonts w:ascii="Times New Roman" w:hAnsi="Times New Roman" w:cs="Times New Roman"/>
          <w:sz w:val="24"/>
          <w:szCs w:val="24"/>
          <w:u w:val="single"/>
        </w:rPr>
      </w:pPr>
      <w:r w:rsidRPr="004C4A2A">
        <w:rPr>
          <w:rFonts w:ascii="Times New Roman" w:hAnsi="Times New Roman" w:cs="Times New Roman"/>
          <w:sz w:val="24"/>
          <w:szCs w:val="24"/>
          <w:u w:val="single"/>
        </w:rPr>
        <w:t>REPLACEMENT OR COMPENSATION OF THE PLAINTIFF’S PROPERTY</w:t>
      </w:r>
    </w:p>
    <w:p w:rsidR="004C4A2A" w:rsidRDefault="004C4A2A" w:rsidP="004C4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the distortions brought by dollarization it was never going to be easy for the plaintiff to try and give an accurate value of her property which was unlawfully sold by the defendant.</w:t>
      </w:r>
    </w:p>
    <w:p w:rsidR="004C4A2A" w:rsidRDefault="004C4A2A" w:rsidP="004C4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must however be commented for having taken the trouble of trying to find comparable prices or values of her property. The plaintiff visited some departmental shops like Meikles and </w:t>
      </w:r>
      <w:r w:rsidR="005922E0">
        <w:rPr>
          <w:rFonts w:ascii="Times New Roman" w:hAnsi="Times New Roman" w:cs="Times New Roman"/>
          <w:sz w:val="24"/>
          <w:szCs w:val="24"/>
        </w:rPr>
        <w:t>Barbours</w:t>
      </w:r>
      <w:r>
        <w:rPr>
          <w:rFonts w:ascii="Times New Roman" w:hAnsi="Times New Roman" w:cs="Times New Roman"/>
          <w:sz w:val="24"/>
          <w:szCs w:val="24"/>
        </w:rPr>
        <w:t xml:space="preserve"> coll</w:t>
      </w:r>
      <w:r w:rsidR="001E5D95">
        <w:rPr>
          <w:rFonts w:ascii="Times New Roman" w:hAnsi="Times New Roman" w:cs="Times New Roman"/>
          <w:sz w:val="24"/>
          <w:szCs w:val="24"/>
        </w:rPr>
        <w:t>a</w:t>
      </w:r>
      <w:r>
        <w:rPr>
          <w:rFonts w:ascii="Times New Roman" w:hAnsi="Times New Roman" w:cs="Times New Roman"/>
          <w:sz w:val="24"/>
          <w:szCs w:val="24"/>
        </w:rPr>
        <w:t xml:space="preserve">ting possible replacement values of her property. In this regard the plaintiff produced two sets of quotations from </w:t>
      </w:r>
      <w:r w:rsidR="005922E0">
        <w:rPr>
          <w:rFonts w:ascii="Times New Roman" w:hAnsi="Times New Roman" w:cs="Times New Roman"/>
          <w:sz w:val="24"/>
          <w:szCs w:val="24"/>
        </w:rPr>
        <w:t>Barbours</w:t>
      </w:r>
      <w:r>
        <w:rPr>
          <w:rFonts w:ascii="Times New Roman" w:hAnsi="Times New Roman" w:cs="Times New Roman"/>
          <w:sz w:val="24"/>
          <w:szCs w:val="24"/>
        </w:rPr>
        <w:t xml:space="preserve"> and Meikles Departmental Sore whose total value adds up to US$28 454-00.</w:t>
      </w:r>
    </w:p>
    <w:p w:rsidR="004C4A2A" w:rsidRDefault="004C4A2A" w:rsidP="004C4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proceedings, I did not hear the defendant making the slightest attempt to challenge the quotations</w:t>
      </w:r>
      <w:r w:rsidR="001E5D95">
        <w:rPr>
          <w:rFonts w:ascii="Times New Roman" w:hAnsi="Times New Roman" w:cs="Times New Roman"/>
          <w:sz w:val="24"/>
          <w:szCs w:val="24"/>
        </w:rPr>
        <w:t xml:space="preserve"> or values</w:t>
      </w:r>
      <w:r>
        <w:rPr>
          <w:rFonts w:ascii="Times New Roman" w:hAnsi="Times New Roman" w:cs="Times New Roman"/>
          <w:sz w:val="24"/>
          <w:szCs w:val="24"/>
        </w:rPr>
        <w:t xml:space="preserve"> given by the plaintiff. If anything the </w:t>
      </w:r>
      <w:r w:rsidR="005922E0">
        <w:rPr>
          <w:rFonts w:ascii="Times New Roman" w:hAnsi="Times New Roman" w:cs="Times New Roman"/>
          <w:sz w:val="24"/>
          <w:szCs w:val="24"/>
        </w:rPr>
        <w:t>thrust</w:t>
      </w:r>
      <w:r>
        <w:rPr>
          <w:rFonts w:ascii="Times New Roman" w:hAnsi="Times New Roman" w:cs="Times New Roman"/>
          <w:sz w:val="24"/>
          <w:szCs w:val="24"/>
        </w:rPr>
        <w:t xml:space="preserve"> of</w:t>
      </w:r>
      <w:r w:rsidR="008D11B4">
        <w:rPr>
          <w:rFonts w:ascii="Times New Roman" w:hAnsi="Times New Roman" w:cs="Times New Roman"/>
          <w:sz w:val="24"/>
          <w:szCs w:val="24"/>
        </w:rPr>
        <w:t xml:space="preserve"> the defendant’s representative was merely to say that his company was justified in selling the plaintiff’s property in the manner it did, something which this court finds to have been wrongful, unlawful and distasteful.</w:t>
      </w:r>
    </w:p>
    <w:p w:rsidR="008D11B4" w:rsidRDefault="008D11B4" w:rsidP="004C4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uncontested value of the plaintiff’s property adds up to US$28 454-00 but in her summons she claimed US$2</w:t>
      </w:r>
      <w:r w:rsidR="001E5D95">
        <w:rPr>
          <w:rFonts w:ascii="Times New Roman" w:hAnsi="Times New Roman" w:cs="Times New Roman"/>
          <w:sz w:val="24"/>
          <w:szCs w:val="24"/>
        </w:rPr>
        <w:t>5</w:t>
      </w:r>
      <w:r>
        <w:rPr>
          <w:rFonts w:ascii="Times New Roman" w:hAnsi="Times New Roman" w:cs="Times New Roman"/>
          <w:sz w:val="24"/>
          <w:szCs w:val="24"/>
        </w:rPr>
        <w:t xml:space="preserve"> 000-00.</w:t>
      </w:r>
    </w:p>
    <w:p w:rsidR="008D11B4" w:rsidRDefault="008D11B4" w:rsidP="004C4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more inclined to grant to the plaintiff the figure in her summons as a fair estimation of her unlawfully sold property as opposed to the US$28 454-00 because there was no attempt by her counsel to have her claim amended to accord with her evidence at the close of the proceedings.</w:t>
      </w:r>
    </w:p>
    <w:p w:rsidR="005922E0" w:rsidRDefault="005922E0" w:rsidP="005922E0">
      <w:pPr>
        <w:spacing w:after="0" w:line="240" w:lineRule="auto"/>
        <w:ind w:firstLine="720"/>
        <w:jc w:val="both"/>
        <w:rPr>
          <w:rFonts w:ascii="Times New Roman" w:hAnsi="Times New Roman" w:cs="Times New Roman"/>
          <w:sz w:val="24"/>
          <w:szCs w:val="24"/>
        </w:rPr>
      </w:pPr>
    </w:p>
    <w:p w:rsidR="008D11B4" w:rsidRDefault="008D11B4" w:rsidP="008D11B4">
      <w:pPr>
        <w:spacing w:after="0" w:line="360" w:lineRule="auto"/>
        <w:jc w:val="both"/>
        <w:rPr>
          <w:rFonts w:ascii="Times New Roman" w:hAnsi="Times New Roman" w:cs="Times New Roman"/>
          <w:sz w:val="24"/>
          <w:szCs w:val="24"/>
          <w:u w:val="single"/>
        </w:rPr>
      </w:pPr>
      <w:r w:rsidRPr="005922E0">
        <w:rPr>
          <w:rFonts w:ascii="Times New Roman" w:hAnsi="Times New Roman" w:cs="Times New Roman"/>
          <w:sz w:val="24"/>
          <w:szCs w:val="24"/>
          <w:u w:val="single"/>
        </w:rPr>
        <w:t>THE CLAIM FOR DAMAGES FOR PAIN AND SUFFERING</w:t>
      </w:r>
    </w:p>
    <w:p w:rsidR="008D11B4" w:rsidRDefault="008D11B4" w:rsidP="008D1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had the privilege of seeing the plaintiff testify in these proceedings.</w:t>
      </w:r>
    </w:p>
    <w:p w:rsidR="008D11B4" w:rsidRDefault="008D11B4" w:rsidP="008D1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That the plaintiff was pained by the loss of her property through the conduct of the defendant cannot be doubted by anyone. In her own uncontested testimony the plaintiff said she actually fainted at Glens when she was told that all her household property deposited with the defendants had been sold.</w:t>
      </w:r>
    </w:p>
    <w:p w:rsidR="008D11B4" w:rsidRDefault="008D11B4" w:rsidP="008D1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when she gave evidence in this court it was evident that she had been severely traumatised by the loss of her goods, the pain she was in was unmistakable and was</w:t>
      </w:r>
      <w:r w:rsidR="001E5D95">
        <w:rPr>
          <w:rFonts w:ascii="Times New Roman" w:hAnsi="Times New Roman" w:cs="Times New Roman"/>
          <w:sz w:val="24"/>
          <w:szCs w:val="24"/>
        </w:rPr>
        <w:t xml:space="preserve"> there </w:t>
      </w:r>
      <w:r>
        <w:rPr>
          <w:rFonts w:ascii="Times New Roman" w:hAnsi="Times New Roman" w:cs="Times New Roman"/>
          <w:sz w:val="24"/>
          <w:szCs w:val="24"/>
        </w:rPr>
        <w:t>for everyone to see. This probably explains why the defendant’s representative did not make any attempt to challenge her evidence in this regard.</w:t>
      </w:r>
    </w:p>
    <w:p w:rsidR="008D11B4" w:rsidRDefault="008D11B4" w:rsidP="008D1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I consider US$1 500-00 as </w:t>
      </w:r>
      <w:r w:rsidR="005922E0">
        <w:rPr>
          <w:rFonts w:ascii="Times New Roman" w:hAnsi="Times New Roman" w:cs="Times New Roman"/>
          <w:sz w:val="24"/>
          <w:szCs w:val="24"/>
        </w:rPr>
        <w:t>fair</w:t>
      </w:r>
      <w:r>
        <w:rPr>
          <w:rFonts w:ascii="Times New Roman" w:hAnsi="Times New Roman" w:cs="Times New Roman"/>
          <w:sz w:val="24"/>
          <w:szCs w:val="24"/>
        </w:rPr>
        <w:t xml:space="preserve"> and reasonable as general damages for the plaintiff’s pain and suffering.</w:t>
      </w:r>
    </w:p>
    <w:p w:rsidR="008D11B4" w:rsidRDefault="008D11B4" w:rsidP="008D1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order as follows:</w:t>
      </w:r>
    </w:p>
    <w:p w:rsidR="008D11B4" w:rsidRDefault="005922E0" w:rsidP="005922E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judgment be and is hereby granted in favour of the plaintiff in the sum of US$2</w:t>
      </w:r>
      <w:r w:rsidR="001E5D95">
        <w:rPr>
          <w:rFonts w:ascii="Times New Roman" w:hAnsi="Times New Roman" w:cs="Times New Roman"/>
          <w:sz w:val="24"/>
          <w:szCs w:val="24"/>
        </w:rPr>
        <w:t>5</w:t>
      </w:r>
      <w:r>
        <w:rPr>
          <w:rFonts w:ascii="Times New Roman" w:hAnsi="Times New Roman" w:cs="Times New Roman"/>
          <w:sz w:val="24"/>
          <w:szCs w:val="24"/>
        </w:rPr>
        <w:t>000-00 being the replacement value of her property wrongfully and unlawfully sold by the defendant without the plaintiff’s knowledge and or authorization.</w:t>
      </w:r>
    </w:p>
    <w:p w:rsidR="005922E0" w:rsidRDefault="005922E0" w:rsidP="005922E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pays US$1 500-00 to the plaintiff for damages for pain and suffering occasioned by the unlawful conduct of the defendant.</w:t>
      </w:r>
    </w:p>
    <w:p w:rsidR="005922E0" w:rsidRDefault="005922E0" w:rsidP="005922E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both payments attract interest at the prescribed rate from the date of judgment (18 October 2012) to date of payment in full.</w:t>
      </w:r>
    </w:p>
    <w:p w:rsidR="005922E0" w:rsidRDefault="005922E0" w:rsidP="005922E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pays costs of suit.</w:t>
      </w:r>
    </w:p>
    <w:p w:rsidR="005922E0" w:rsidRDefault="005922E0" w:rsidP="005922E0">
      <w:pPr>
        <w:spacing w:after="0" w:line="360" w:lineRule="auto"/>
        <w:jc w:val="both"/>
        <w:rPr>
          <w:rFonts w:ascii="Times New Roman" w:hAnsi="Times New Roman" w:cs="Times New Roman"/>
          <w:sz w:val="24"/>
          <w:szCs w:val="24"/>
        </w:rPr>
      </w:pPr>
    </w:p>
    <w:p w:rsidR="005922E0" w:rsidRDefault="005922E0" w:rsidP="005922E0">
      <w:pPr>
        <w:spacing w:after="0" w:line="360" w:lineRule="auto"/>
        <w:jc w:val="both"/>
        <w:rPr>
          <w:rFonts w:ascii="Times New Roman" w:hAnsi="Times New Roman" w:cs="Times New Roman"/>
          <w:sz w:val="24"/>
          <w:szCs w:val="24"/>
        </w:rPr>
      </w:pPr>
    </w:p>
    <w:p w:rsidR="005922E0" w:rsidRDefault="005922E0" w:rsidP="005922E0">
      <w:pPr>
        <w:spacing w:after="0" w:line="360" w:lineRule="auto"/>
        <w:jc w:val="both"/>
        <w:rPr>
          <w:rFonts w:ascii="Times New Roman" w:hAnsi="Times New Roman" w:cs="Times New Roman"/>
          <w:sz w:val="24"/>
          <w:szCs w:val="24"/>
        </w:rPr>
      </w:pPr>
    </w:p>
    <w:p w:rsidR="005922E0" w:rsidRDefault="005922E0" w:rsidP="005922E0">
      <w:pPr>
        <w:spacing w:after="0" w:line="360" w:lineRule="auto"/>
        <w:jc w:val="both"/>
        <w:rPr>
          <w:rFonts w:ascii="Times New Roman" w:hAnsi="Times New Roman" w:cs="Times New Roman"/>
          <w:sz w:val="24"/>
          <w:szCs w:val="24"/>
        </w:rPr>
      </w:pPr>
    </w:p>
    <w:p w:rsidR="005922E0" w:rsidRDefault="005922E0" w:rsidP="005922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Goneso &amp; Associates</w:t>
      </w:r>
      <w:r w:rsidRPr="005922E0">
        <w:rPr>
          <w:rFonts w:ascii="Times New Roman" w:hAnsi="Times New Roman" w:cs="Times New Roman"/>
          <w:sz w:val="24"/>
          <w:szCs w:val="24"/>
        </w:rPr>
        <w:t>,</w:t>
      </w:r>
      <w:r>
        <w:rPr>
          <w:rFonts w:ascii="Times New Roman" w:hAnsi="Times New Roman" w:cs="Times New Roman"/>
          <w:sz w:val="24"/>
          <w:szCs w:val="24"/>
        </w:rPr>
        <w:t xml:space="preserve"> plaintiff’s legal practitioners</w:t>
      </w:r>
    </w:p>
    <w:p w:rsidR="005922E0" w:rsidRPr="005922E0" w:rsidRDefault="005922E0" w:rsidP="005922E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Mtetwa &amp; Nyambirai</w:t>
      </w:r>
      <w:r>
        <w:rPr>
          <w:rFonts w:ascii="Times New Roman" w:hAnsi="Times New Roman" w:cs="Times New Roman"/>
          <w:sz w:val="24"/>
          <w:szCs w:val="24"/>
        </w:rPr>
        <w:t>, defendant’s legal practitioners</w:t>
      </w:r>
      <w:r>
        <w:rPr>
          <w:rFonts w:ascii="Times New Roman" w:hAnsi="Times New Roman" w:cs="Times New Roman"/>
          <w:i/>
          <w:sz w:val="24"/>
          <w:szCs w:val="24"/>
        </w:rPr>
        <w:t xml:space="preserve"> </w:t>
      </w:r>
    </w:p>
    <w:p w:rsidR="008D11B4" w:rsidRPr="004C4A2A" w:rsidRDefault="008D11B4" w:rsidP="008D11B4">
      <w:pPr>
        <w:spacing w:after="0" w:line="360" w:lineRule="auto"/>
        <w:ind w:left="720"/>
        <w:jc w:val="both"/>
        <w:rPr>
          <w:rFonts w:ascii="Times New Roman" w:hAnsi="Times New Roman" w:cs="Times New Roman"/>
          <w:sz w:val="24"/>
          <w:szCs w:val="24"/>
        </w:rPr>
      </w:pPr>
    </w:p>
    <w:p w:rsidR="000339E3" w:rsidRPr="00232625" w:rsidRDefault="00AF0303" w:rsidP="004C4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339E3" w:rsidRPr="0023262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58" w:rsidRDefault="009D4558" w:rsidP="00B121BB">
      <w:pPr>
        <w:spacing w:after="0" w:line="240" w:lineRule="auto"/>
      </w:pPr>
      <w:r>
        <w:separator/>
      </w:r>
    </w:p>
  </w:endnote>
  <w:endnote w:type="continuationSeparator" w:id="0">
    <w:p w:rsidR="009D4558" w:rsidRDefault="009D4558" w:rsidP="00B1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58" w:rsidRDefault="009D4558" w:rsidP="00B121BB">
      <w:pPr>
        <w:spacing w:after="0" w:line="240" w:lineRule="auto"/>
      </w:pPr>
      <w:r>
        <w:separator/>
      </w:r>
    </w:p>
  </w:footnote>
  <w:footnote w:type="continuationSeparator" w:id="0">
    <w:p w:rsidR="009D4558" w:rsidRDefault="009D4558" w:rsidP="00B121BB">
      <w:pPr>
        <w:spacing w:after="0" w:line="240" w:lineRule="auto"/>
      </w:pPr>
      <w:r>
        <w:continuationSeparator/>
      </w:r>
    </w:p>
  </w:footnote>
  <w:footnote w:id="1">
    <w:p w:rsidR="00B121BB" w:rsidRDefault="00B121BB">
      <w:pPr>
        <w:pStyle w:val="FootnoteText"/>
      </w:pPr>
      <w:r>
        <w:rPr>
          <w:rStyle w:val="FootnoteReference"/>
        </w:rPr>
        <w:footnoteRef/>
      </w:r>
      <w:r>
        <w:t xml:space="preserve"> 190 (2) ZLR 412 (S)</w:t>
      </w:r>
    </w:p>
  </w:footnote>
  <w:footnote w:id="2">
    <w:p w:rsidR="00B121BB" w:rsidRDefault="00B121BB">
      <w:pPr>
        <w:pStyle w:val="FootnoteText"/>
      </w:pPr>
      <w:r>
        <w:rPr>
          <w:rStyle w:val="FootnoteReference"/>
        </w:rPr>
        <w:footnoteRef/>
      </w:r>
      <w:r>
        <w:t xml:space="preserve"> 1951 (1) SA 153 (SR)</w:t>
      </w:r>
    </w:p>
  </w:footnote>
  <w:footnote w:id="3">
    <w:p w:rsidR="00B121BB" w:rsidRDefault="00B121BB">
      <w:pPr>
        <w:pStyle w:val="FootnoteText"/>
      </w:pPr>
      <w:r>
        <w:rPr>
          <w:rStyle w:val="FootnoteReference"/>
        </w:rPr>
        <w:footnoteRef/>
      </w:r>
      <w:r>
        <w:t xml:space="preserve"> </w:t>
      </w:r>
      <w:r w:rsidR="00387ED2">
        <w:t>1951 (1) SA 153 (SR) at p 153</w:t>
      </w:r>
    </w:p>
  </w:footnote>
  <w:footnote w:id="4">
    <w:p w:rsidR="00387ED2" w:rsidRDefault="00387ED2">
      <w:pPr>
        <w:pStyle w:val="FootnoteText"/>
      </w:pPr>
      <w:r>
        <w:rPr>
          <w:rStyle w:val="FootnoteReference"/>
        </w:rPr>
        <w:footnoteRef/>
      </w:r>
      <w:r>
        <w:t xml:space="preserve"> 1922 CPD 531 @ 547</w:t>
      </w:r>
    </w:p>
  </w:footnote>
  <w:footnote w:id="5">
    <w:p w:rsidR="00580FC9" w:rsidRDefault="00580FC9">
      <w:pPr>
        <w:pStyle w:val="FootnoteText"/>
      </w:pPr>
      <w:r>
        <w:rPr>
          <w:rStyle w:val="FootnoteReference"/>
        </w:rPr>
        <w:footnoteRef/>
      </w:r>
      <w:r>
        <w:t xml:space="preserve"> HH 48-94</w:t>
      </w:r>
    </w:p>
  </w:footnote>
  <w:footnote w:id="6">
    <w:p w:rsidR="00580FC9" w:rsidRDefault="00580FC9">
      <w:pPr>
        <w:pStyle w:val="FootnoteText"/>
      </w:pPr>
      <w:r>
        <w:rPr>
          <w:rStyle w:val="FootnoteReference"/>
        </w:rPr>
        <w:footnoteRef/>
      </w:r>
      <w:r>
        <w:t xml:space="preserve"> P 6 of the </w:t>
      </w:r>
      <w:r w:rsidR="005922E0">
        <w:t>cyclostyled</w:t>
      </w:r>
      <w:r>
        <w:t xml:space="preserve">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15080"/>
      <w:docPartObj>
        <w:docPartGallery w:val="Page Numbers (Top of Page)"/>
        <w:docPartUnique/>
      </w:docPartObj>
    </w:sdtPr>
    <w:sdtEndPr>
      <w:rPr>
        <w:noProof/>
      </w:rPr>
    </w:sdtEndPr>
    <w:sdtContent>
      <w:p w:rsidR="002557C5" w:rsidRDefault="002557C5">
        <w:pPr>
          <w:pStyle w:val="Header"/>
          <w:jc w:val="right"/>
          <w:rPr>
            <w:noProof/>
          </w:rPr>
        </w:pPr>
        <w:r>
          <w:fldChar w:fldCharType="begin"/>
        </w:r>
        <w:r>
          <w:instrText xml:space="preserve"> PAGE   \* MERGEFORMAT </w:instrText>
        </w:r>
        <w:r>
          <w:fldChar w:fldCharType="separate"/>
        </w:r>
        <w:r w:rsidR="00311615">
          <w:rPr>
            <w:noProof/>
          </w:rPr>
          <w:t>1</w:t>
        </w:r>
        <w:r>
          <w:rPr>
            <w:noProof/>
          </w:rPr>
          <w:fldChar w:fldCharType="end"/>
        </w:r>
      </w:p>
      <w:p w:rsidR="00CF4410" w:rsidRDefault="00CF4410">
        <w:pPr>
          <w:pStyle w:val="Header"/>
          <w:jc w:val="right"/>
          <w:rPr>
            <w:noProof/>
          </w:rPr>
        </w:pPr>
        <w:r>
          <w:rPr>
            <w:noProof/>
          </w:rPr>
          <w:t>HH 78-2013</w:t>
        </w:r>
      </w:p>
      <w:p w:rsidR="002557C5" w:rsidRDefault="002557C5">
        <w:pPr>
          <w:pStyle w:val="Header"/>
          <w:jc w:val="right"/>
        </w:pPr>
        <w:r>
          <w:rPr>
            <w:noProof/>
          </w:rPr>
          <w:t>HC 5448/05</w:t>
        </w:r>
      </w:p>
    </w:sdtContent>
  </w:sdt>
  <w:p w:rsidR="002557C5" w:rsidRDefault="00255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435D5"/>
    <w:multiLevelType w:val="hybridMultilevel"/>
    <w:tmpl w:val="F27876F0"/>
    <w:lvl w:ilvl="0" w:tplc="68FC23E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08"/>
    <w:rsid w:val="000214CE"/>
    <w:rsid w:val="000339E3"/>
    <w:rsid w:val="00067B85"/>
    <w:rsid w:val="000B2068"/>
    <w:rsid w:val="00145498"/>
    <w:rsid w:val="00192758"/>
    <w:rsid w:val="001B4C08"/>
    <w:rsid w:val="001E13D3"/>
    <w:rsid w:val="001E5D95"/>
    <w:rsid w:val="00232625"/>
    <w:rsid w:val="00236CD4"/>
    <w:rsid w:val="002557C5"/>
    <w:rsid w:val="002768E7"/>
    <w:rsid w:val="00311615"/>
    <w:rsid w:val="00340525"/>
    <w:rsid w:val="00387ED2"/>
    <w:rsid w:val="00417F57"/>
    <w:rsid w:val="004C4A2A"/>
    <w:rsid w:val="004F5CF5"/>
    <w:rsid w:val="0051616A"/>
    <w:rsid w:val="00580FC9"/>
    <w:rsid w:val="005922E0"/>
    <w:rsid w:val="005C1A48"/>
    <w:rsid w:val="006F0B75"/>
    <w:rsid w:val="00726EB2"/>
    <w:rsid w:val="007E282C"/>
    <w:rsid w:val="008208BF"/>
    <w:rsid w:val="008C2AF3"/>
    <w:rsid w:val="008D11B4"/>
    <w:rsid w:val="008D4FDD"/>
    <w:rsid w:val="00963CCC"/>
    <w:rsid w:val="00997E6A"/>
    <w:rsid w:val="009D4558"/>
    <w:rsid w:val="00A921FD"/>
    <w:rsid w:val="00AF0303"/>
    <w:rsid w:val="00B121BB"/>
    <w:rsid w:val="00B64F51"/>
    <w:rsid w:val="00CB067C"/>
    <w:rsid w:val="00CF4410"/>
    <w:rsid w:val="00D025DA"/>
    <w:rsid w:val="00D74498"/>
    <w:rsid w:val="00D823F1"/>
    <w:rsid w:val="00DD5746"/>
    <w:rsid w:val="00EE3E27"/>
    <w:rsid w:val="00F03963"/>
    <w:rsid w:val="00F137DB"/>
    <w:rsid w:val="00F62F27"/>
    <w:rsid w:val="00F77F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B2"/>
    <w:rPr>
      <w:rFonts w:ascii="Tahoma" w:hAnsi="Tahoma" w:cs="Tahoma"/>
      <w:sz w:val="16"/>
      <w:szCs w:val="16"/>
    </w:rPr>
  </w:style>
  <w:style w:type="paragraph" w:styleId="FootnoteText">
    <w:name w:val="footnote text"/>
    <w:basedOn w:val="Normal"/>
    <w:link w:val="FootnoteTextChar"/>
    <w:uiPriority w:val="99"/>
    <w:semiHidden/>
    <w:unhideWhenUsed/>
    <w:rsid w:val="00B121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1BB"/>
    <w:rPr>
      <w:sz w:val="20"/>
      <w:szCs w:val="20"/>
    </w:rPr>
  </w:style>
  <w:style w:type="character" w:styleId="FootnoteReference">
    <w:name w:val="footnote reference"/>
    <w:basedOn w:val="DefaultParagraphFont"/>
    <w:uiPriority w:val="99"/>
    <w:semiHidden/>
    <w:unhideWhenUsed/>
    <w:rsid w:val="00B121BB"/>
    <w:rPr>
      <w:vertAlign w:val="superscript"/>
    </w:rPr>
  </w:style>
  <w:style w:type="paragraph" w:styleId="ListParagraph">
    <w:name w:val="List Paragraph"/>
    <w:basedOn w:val="Normal"/>
    <w:uiPriority w:val="34"/>
    <w:qFormat/>
    <w:rsid w:val="005922E0"/>
    <w:pPr>
      <w:ind w:left="720"/>
      <w:contextualSpacing/>
    </w:pPr>
  </w:style>
  <w:style w:type="paragraph" w:styleId="Header">
    <w:name w:val="header"/>
    <w:basedOn w:val="Normal"/>
    <w:link w:val="HeaderChar"/>
    <w:uiPriority w:val="99"/>
    <w:unhideWhenUsed/>
    <w:rsid w:val="00255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C5"/>
  </w:style>
  <w:style w:type="paragraph" w:styleId="Footer">
    <w:name w:val="footer"/>
    <w:basedOn w:val="Normal"/>
    <w:link w:val="FooterChar"/>
    <w:uiPriority w:val="99"/>
    <w:unhideWhenUsed/>
    <w:rsid w:val="00255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B2"/>
    <w:rPr>
      <w:rFonts w:ascii="Tahoma" w:hAnsi="Tahoma" w:cs="Tahoma"/>
      <w:sz w:val="16"/>
      <w:szCs w:val="16"/>
    </w:rPr>
  </w:style>
  <w:style w:type="paragraph" w:styleId="FootnoteText">
    <w:name w:val="footnote text"/>
    <w:basedOn w:val="Normal"/>
    <w:link w:val="FootnoteTextChar"/>
    <w:uiPriority w:val="99"/>
    <w:semiHidden/>
    <w:unhideWhenUsed/>
    <w:rsid w:val="00B121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1BB"/>
    <w:rPr>
      <w:sz w:val="20"/>
      <w:szCs w:val="20"/>
    </w:rPr>
  </w:style>
  <w:style w:type="character" w:styleId="FootnoteReference">
    <w:name w:val="footnote reference"/>
    <w:basedOn w:val="DefaultParagraphFont"/>
    <w:uiPriority w:val="99"/>
    <w:semiHidden/>
    <w:unhideWhenUsed/>
    <w:rsid w:val="00B121BB"/>
    <w:rPr>
      <w:vertAlign w:val="superscript"/>
    </w:rPr>
  </w:style>
  <w:style w:type="paragraph" w:styleId="ListParagraph">
    <w:name w:val="List Paragraph"/>
    <w:basedOn w:val="Normal"/>
    <w:uiPriority w:val="34"/>
    <w:qFormat/>
    <w:rsid w:val="005922E0"/>
    <w:pPr>
      <w:ind w:left="720"/>
      <w:contextualSpacing/>
    </w:pPr>
  </w:style>
  <w:style w:type="paragraph" w:styleId="Header">
    <w:name w:val="header"/>
    <w:basedOn w:val="Normal"/>
    <w:link w:val="HeaderChar"/>
    <w:uiPriority w:val="99"/>
    <w:unhideWhenUsed/>
    <w:rsid w:val="00255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C5"/>
  </w:style>
  <w:style w:type="paragraph" w:styleId="Footer">
    <w:name w:val="footer"/>
    <w:basedOn w:val="Normal"/>
    <w:link w:val="FooterChar"/>
    <w:uiPriority w:val="99"/>
    <w:unhideWhenUsed/>
    <w:rsid w:val="00255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352F-9CAF-4DFC-BEE4-40B1E9FA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2013-03-14T13:30:00Z</cp:lastPrinted>
  <dcterms:created xsi:type="dcterms:W3CDTF">2013-03-21T13:29:00Z</dcterms:created>
  <dcterms:modified xsi:type="dcterms:W3CDTF">2013-03-21T13:29:00Z</dcterms:modified>
</cp:coreProperties>
</file>