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D37" w:rsidRDefault="006954EC" w:rsidP="006954EC">
      <w:pPr>
        <w:spacing w:line="360" w:lineRule="auto"/>
        <w:jc w:val="both"/>
        <w:rPr>
          <w:b/>
          <w:sz w:val="28"/>
          <w:szCs w:val="28"/>
        </w:rPr>
      </w:pPr>
      <w:bookmarkStart w:id="0" w:name="_GoBack"/>
      <w:bookmarkEnd w:id="0"/>
      <w:r>
        <w:rPr>
          <w:b/>
          <w:sz w:val="28"/>
          <w:szCs w:val="28"/>
        </w:rPr>
        <w:t>IN THE LABOUR COURT OF ZIMBABWE</w:t>
      </w:r>
      <w:r>
        <w:rPr>
          <w:b/>
          <w:sz w:val="28"/>
          <w:szCs w:val="28"/>
        </w:rPr>
        <w:tab/>
      </w:r>
      <w:r>
        <w:rPr>
          <w:b/>
          <w:sz w:val="28"/>
          <w:szCs w:val="28"/>
        </w:rPr>
        <w:tab/>
        <w:t>JUDGMENT NO LC/H/</w:t>
      </w:r>
      <w:r w:rsidR="000742BC">
        <w:rPr>
          <w:b/>
          <w:sz w:val="28"/>
          <w:szCs w:val="28"/>
        </w:rPr>
        <w:t>83</w:t>
      </w:r>
      <w:r>
        <w:rPr>
          <w:b/>
          <w:sz w:val="28"/>
          <w:szCs w:val="28"/>
        </w:rPr>
        <w:t>/14</w:t>
      </w:r>
    </w:p>
    <w:p w:rsidR="006954EC" w:rsidRDefault="006954EC" w:rsidP="006954EC">
      <w:pPr>
        <w:spacing w:line="360" w:lineRule="auto"/>
        <w:jc w:val="both"/>
        <w:rPr>
          <w:b/>
          <w:sz w:val="28"/>
          <w:szCs w:val="28"/>
        </w:rPr>
      </w:pPr>
      <w:r>
        <w:rPr>
          <w:b/>
          <w:sz w:val="28"/>
          <w:szCs w:val="28"/>
        </w:rPr>
        <w:t>HELD AT HARARE 5</w:t>
      </w:r>
      <w:r w:rsidRPr="006954EC">
        <w:rPr>
          <w:b/>
          <w:sz w:val="28"/>
          <w:szCs w:val="28"/>
          <w:vertAlign w:val="superscript"/>
        </w:rPr>
        <w:t>TH</w:t>
      </w:r>
      <w:r w:rsidR="00EC1F9F">
        <w:rPr>
          <w:b/>
          <w:sz w:val="28"/>
          <w:szCs w:val="28"/>
        </w:rPr>
        <w:t xml:space="preserve"> FEBR</w:t>
      </w:r>
      <w:r>
        <w:rPr>
          <w:b/>
          <w:sz w:val="28"/>
          <w:szCs w:val="28"/>
        </w:rPr>
        <w:t>U</w:t>
      </w:r>
      <w:r w:rsidR="00EC1F9F">
        <w:rPr>
          <w:b/>
          <w:sz w:val="28"/>
          <w:szCs w:val="28"/>
        </w:rPr>
        <w:t>A</w:t>
      </w:r>
      <w:r>
        <w:rPr>
          <w:b/>
          <w:sz w:val="28"/>
          <w:szCs w:val="28"/>
        </w:rPr>
        <w:t>RY 2014</w:t>
      </w:r>
      <w:r>
        <w:rPr>
          <w:b/>
          <w:sz w:val="28"/>
          <w:szCs w:val="28"/>
        </w:rPr>
        <w:tab/>
      </w:r>
      <w:r>
        <w:rPr>
          <w:b/>
          <w:sz w:val="28"/>
          <w:szCs w:val="28"/>
        </w:rPr>
        <w:tab/>
        <w:t>CASE NO LC/ORD/H/80/13</w:t>
      </w:r>
    </w:p>
    <w:p w:rsidR="006954EC" w:rsidRDefault="006954EC" w:rsidP="006954EC">
      <w:pPr>
        <w:spacing w:line="360" w:lineRule="auto"/>
        <w:jc w:val="both"/>
        <w:rPr>
          <w:b/>
          <w:sz w:val="28"/>
          <w:szCs w:val="28"/>
        </w:rPr>
      </w:pPr>
      <w:r>
        <w:rPr>
          <w:b/>
          <w:sz w:val="28"/>
          <w:szCs w:val="28"/>
        </w:rPr>
        <w:t>&amp; 14</w:t>
      </w:r>
      <w:r w:rsidRPr="006954EC">
        <w:rPr>
          <w:b/>
          <w:sz w:val="28"/>
          <w:szCs w:val="28"/>
          <w:vertAlign w:val="superscript"/>
        </w:rPr>
        <w:t>TH</w:t>
      </w:r>
      <w:r>
        <w:rPr>
          <w:b/>
          <w:sz w:val="28"/>
          <w:szCs w:val="28"/>
        </w:rPr>
        <w:t xml:space="preserve"> FEBRUARY 2014</w:t>
      </w:r>
    </w:p>
    <w:p w:rsidR="006954EC" w:rsidRDefault="006954EC" w:rsidP="006954EC">
      <w:pPr>
        <w:spacing w:line="360" w:lineRule="auto"/>
        <w:jc w:val="both"/>
        <w:rPr>
          <w:sz w:val="28"/>
          <w:szCs w:val="28"/>
        </w:rPr>
      </w:pPr>
      <w:r>
        <w:rPr>
          <w:sz w:val="28"/>
          <w:szCs w:val="28"/>
        </w:rPr>
        <w:t>In the matter between:-</w:t>
      </w:r>
    </w:p>
    <w:p w:rsidR="006954EC" w:rsidRDefault="006954EC" w:rsidP="006954EC">
      <w:pPr>
        <w:spacing w:line="360" w:lineRule="auto"/>
        <w:jc w:val="both"/>
        <w:rPr>
          <w:b/>
          <w:sz w:val="28"/>
          <w:szCs w:val="28"/>
        </w:rPr>
      </w:pPr>
      <w:r>
        <w:rPr>
          <w:b/>
          <w:sz w:val="28"/>
          <w:szCs w:val="28"/>
        </w:rPr>
        <w:t>PATRAS MAZIBUKO</w:t>
      </w:r>
      <w:r>
        <w:rPr>
          <w:b/>
          <w:sz w:val="28"/>
          <w:szCs w:val="28"/>
        </w:rPr>
        <w:tab/>
      </w:r>
      <w:r>
        <w:rPr>
          <w:b/>
          <w:sz w:val="28"/>
          <w:szCs w:val="28"/>
        </w:rPr>
        <w:tab/>
      </w:r>
      <w:r>
        <w:rPr>
          <w:b/>
          <w:sz w:val="28"/>
          <w:szCs w:val="28"/>
        </w:rPr>
        <w:tab/>
      </w:r>
      <w:r>
        <w:rPr>
          <w:b/>
          <w:sz w:val="28"/>
          <w:szCs w:val="28"/>
        </w:rPr>
        <w:tab/>
      </w:r>
      <w:r>
        <w:rPr>
          <w:b/>
          <w:sz w:val="28"/>
          <w:szCs w:val="28"/>
        </w:rPr>
        <w:tab/>
        <w:t>Applicant</w:t>
      </w:r>
    </w:p>
    <w:p w:rsidR="006954EC" w:rsidRDefault="006954EC" w:rsidP="006954EC">
      <w:pPr>
        <w:spacing w:line="360" w:lineRule="auto"/>
        <w:jc w:val="both"/>
        <w:rPr>
          <w:b/>
          <w:sz w:val="28"/>
          <w:szCs w:val="28"/>
        </w:rPr>
      </w:pPr>
      <w:r>
        <w:rPr>
          <w:b/>
          <w:sz w:val="28"/>
          <w:szCs w:val="28"/>
        </w:rPr>
        <w:t>And</w:t>
      </w:r>
    </w:p>
    <w:p w:rsidR="006954EC" w:rsidRDefault="006954EC" w:rsidP="006954EC">
      <w:pPr>
        <w:spacing w:line="360" w:lineRule="auto"/>
        <w:jc w:val="both"/>
        <w:rPr>
          <w:b/>
          <w:sz w:val="28"/>
          <w:szCs w:val="28"/>
        </w:rPr>
      </w:pPr>
      <w:r>
        <w:rPr>
          <w:b/>
          <w:sz w:val="28"/>
          <w:szCs w:val="28"/>
        </w:rPr>
        <w:t>TELECEL ZIMBABWE (PVT) LTD</w:t>
      </w:r>
      <w:r>
        <w:rPr>
          <w:b/>
          <w:sz w:val="28"/>
          <w:szCs w:val="28"/>
        </w:rPr>
        <w:tab/>
      </w:r>
      <w:r>
        <w:rPr>
          <w:b/>
          <w:sz w:val="28"/>
          <w:szCs w:val="28"/>
        </w:rPr>
        <w:tab/>
      </w:r>
      <w:r>
        <w:rPr>
          <w:b/>
          <w:sz w:val="28"/>
          <w:szCs w:val="28"/>
        </w:rPr>
        <w:tab/>
      </w:r>
      <w:r>
        <w:rPr>
          <w:b/>
          <w:sz w:val="28"/>
          <w:szCs w:val="28"/>
        </w:rPr>
        <w:tab/>
        <w:t>Respondent</w:t>
      </w:r>
    </w:p>
    <w:p w:rsidR="006954EC" w:rsidRDefault="006954EC" w:rsidP="006954EC">
      <w:pPr>
        <w:spacing w:line="360" w:lineRule="auto"/>
        <w:jc w:val="both"/>
        <w:rPr>
          <w:sz w:val="28"/>
          <w:szCs w:val="28"/>
        </w:rPr>
      </w:pPr>
      <w:r>
        <w:rPr>
          <w:sz w:val="28"/>
          <w:szCs w:val="28"/>
        </w:rPr>
        <w:t>Before The Honourable L.M. Murasi, Judge</w:t>
      </w:r>
    </w:p>
    <w:p w:rsidR="006954EC" w:rsidRDefault="006954EC" w:rsidP="006954EC">
      <w:pPr>
        <w:spacing w:line="360" w:lineRule="auto"/>
        <w:jc w:val="both"/>
        <w:rPr>
          <w:b/>
          <w:sz w:val="28"/>
          <w:szCs w:val="28"/>
        </w:rPr>
      </w:pPr>
      <w:r>
        <w:rPr>
          <w:b/>
          <w:sz w:val="28"/>
          <w:szCs w:val="28"/>
        </w:rPr>
        <w:t>For Applicant</w:t>
      </w:r>
      <w:r>
        <w:rPr>
          <w:b/>
          <w:sz w:val="28"/>
          <w:szCs w:val="28"/>
        </w:rPr>
        <w:tab/>
      </w:r>
      <w:r>
        <w:rPr>
          <w:b/>
          <w:sz w:val="28"/>
          <w:szCs w:val="28"/>
        </w:rPr>
        <w:tab/>
      </w:r>
      <w:r>
        <w:rPr>
          <w:b/>
          <w:sz w:val="28"/>
          <w:szCs w:val="28"/>
        </w:rPr>
        <w:tab/>
        <w:t>Mr T.W. Nyamakura (Legal Practitioner)</w:t>
      </w:r>
    </w:p>
    <w:p w:rsidR="006954EC" w:rsidRDefault="006954EC" w:rsidP="006954EC">
      <w:pPr>
        <w:spacing w:line="360" w:lineRule="auto"/>
        <w:jc w:val="both"/>
        <w:rPr>
          <w:b/>
          <w:sz w:val="28"/>
          <w:szCs w:val="28"/>
        </w:rPr>
      </w:pPr>
      <w:r>
        <w:rPr>
          <w:b/>
          <w:sz w:val="28"/>
          <w:szCs w:val="28"/>
        </w:rPr>
        <w:t>For 1</w:t>
      </w:r>
      <w:r w:rsidRPr="006954EC">
        <w:rPr>
          <w:b/>
          <w:sz w:val="28"/>
          <w:szCs w:val="28"/>
          <w:vertAlign w:val="superscript"/>
        </w:rPr>
        <w:t>st</w:t>
      </w:r>
      <w:r>
        <w:rPr>
          <w:b/>
          <w:sz w:val="28"/>
          <w:szCs w:val="28"/>
        </w:rPr>
        <w:t xml:space="preserve"> Respondent</w:t>
      </w:r>
      <w:r>
        <w:rPr>
          <w:b/>
          <w:sz w:val="28"/>
          <w:szCs w:val="28"/>
        </w:rPr>
        <w:tab/>
      </w:r>
      <w:r>
        <w:rPr>
          <w:b/>
          <w:sz w:val="28"/>
          <w:szCs w:val="28"/>
        </w:rPr>
        <w:tab/>
        <w:t>Mr S Hwacha (Legal Practitioner)</w:t>
      </w:r>
    </w:p>
    <w:p w:rsidR="006954EC" w:rsidRDefault="006954EC" w:rsidP="006954EC">
      <w:pPr>
        <w:spacing w:line="360" w:lineRule="auto"/>
        <w:jc w:val="both"/>
        <w:rPr>
          <w:b/>
          <w:sz w:val="28"/>
          <w:szCs w:val="28"/>
        </w:rPr>
      </w:pPr>
    </w:p>
    <w:p w:rsidR="006954EC" w:rsidRDefault="006954EC" w:rsidP="006954EC">
      <w:pPr>
        <w:spacing w:line="360" w:lineRule="auto"/>
        <w:jc w:val="both"/>
        <w:rPr>
          <w:b/>
          <w:sz w:val="28"/>
          <w:szCs w:val="28"/>
        </w:rPr>
      </w:pPr>
      <w:r>
        <w:rPr>
          <w:b/>
          <w:sz w:val="28"/>
          <w:szCs w:val="28"/>
        </w:rPr>
        <w:t>MURASI, J:</w:t>
      </w:r>
    </w:p>
    <w:p w:rsidR="00D04758" w:rsidRDefault="00D04758" w:rsidP="006954EC">
      <w:pPr>
        <w:spacing w:line="360" w:lineRule="auto"/>
        <w:jc w:val="both"/>
        <w:rPr>
          <w:sz w:val="28"/>
          <w:szCs w:val="28"/>
        </w:rPr>
      </w:pPr>
      <w:r>
        <w:rPr>
          <w:b/>
          <w:sz w:val="28"/>
          <w:szCs w:val="28"/>
        </w:rPr>
        <w:tab/>
      </w:r>
      <w:r w:rsidRPr="00D04758">
        <w:rPr>
          <w:sz w:val="28"/>
          <w:szCs w:val="28"/>
        </w:rPr>
        <w:t>Applicant has approached</w:t>
      </w:r>
      <w:r>
        <w:rPr>
          <w:sz w:val="28"/>
          <w:szCs w:val="28"/>
        </w:rPr>
        <w:t xml:space="preserve"> this Court in terms of section 93 (7) of the Labour Act [Chapter 28:01].  The facts of this matter are somewhat enmeshed.  The Court will seek to summarise them hereunder.</w:t>
      </w:r>
    </w:p>
    <w:p w:rsidR="00D04758" w:rsidRDefault="00D04758" w:rsidP="006954EC">
      <w:pPr>
        <w:spacing w:line="360" w:lineRule="auto"/>
        <w:jc w:val="both"/>
        <w:rPr>
          <w:sz w:val="28"/>
          <w:szCs w:val="28"/>
        </w:rPr>
      </w:pPr>
      <w:r>
        <w:rPr>
          <w:sz w:val="28"/>
          <w:szCs w:val="28"/>
        </w:rPr>
        <w:tab/>
        <w:t>Applicant was employed by 1</w:t>
      </w:r>
      <w:r w:rsidRPr="00D04758">
        <w:rPr>
          <w:sz w:val="28"/>
          <w:szCs w:val="28"/>
          <w:vertAlign w:val="superscript"/>
        </w:rPr>
        <w:t>st</w:t>
      </w:r>
      <w:r>
        <w:rPr>
          <w:sz w:val="28"/>
          <w:szCs w:val="28"/>
        </w:rPr>
        <w:t xml:space="preserve"> Respondent as a Human Resources Director.   He was suspended</w:t>
      </w:r>
      <w:r w:rsidR="00E965D5">
        <w:rPr>
          <w:sz w:val="28"/>
          <w:szCs w:val="28"/>
        </w:rPr>
        <w:t xml:space="preserve"> on 27 January 2011 for acts of misconduct or omissions at the workplace.  1</w:t>
      </w:r>
      <w:r w:rsidR="00E965D5" w:rsidRPr="00E965D5">
        <w:rPr>
          <w:sz w:val="28"/>
          <w:szCs w:val="28"/>
          <w:vertAlign w:val="superscript"/>
        </w:rPr>
        <w:t>st</w:t>
      </w:r>
      <w:r w:rsidR="00E965D5">
        <w:rPr>
          <w:sz w:val="28"/>
          <w:szCs w:val="28"/>
        </w:rPr>
        <w:t>Respondent allegedly relied on the provisions of Statutory Instrument 15 of 2006 in so-doing.  Applicant was dissatisfied and made an application to this Court.  President Musariri (as he then was) issued an order by consent setting aside the suspension and further nullifying any disciplinary proceedings that had taken place.  1</w:t>
      </w:r>
      <w:r w:rsidR="00E965D5" w:rsidRPr="00E965D5">
        <w:rPr>
          <w:sz w:val="28"/>
          <w:szCs w:val="28"/>
          <w:vertAlign w:val="superscript"/>
        </w:rPr>
        <w:t>st</w:t>
      </w:r>
      <w:r w:rsidR="00E965D5">
        <w:rPr>
          <w:sz w:val="28"/>
          <w:szCs w:val="28"/>
        </w:rPr>
        <w:t xml:space="preserve"> Respondent, on 25 February </w:t>
      </w:r>
      <w:r w:rsidR="00E965D5">
        <w:rPr>
          <w:sz w:val="28"/>
          <w:szCs w:val="28"/>
        </w:rPr>
        <w:lastRenderedPageBreak/>
        <w:t>2011, re-suspended the Applicant still using the same provisions “as amended”.  Applicant approached the High Court and</w:t>
      </w:r>
      <w:r w:rsidR="00EC1F9F">
        <w:rPr>
          <w:sz w:val="28"/>
          <w:szCs w:val="28"/>
        </w:rPr>
        <w:t>,</w:t>
      </w:r>
      <w:r w:rsidR="00E965D5">
        <w:rPr>
          <w:sz w:val="28"/>
          <w:szCs w:val="28"/>
        </w:rPr>
        <w:t xml:space="preserve"> in a ruling dated 15 May 2012, Patel J (as he then was) ruled that the purported de-registration of 1</w:t>
      </w:r>
      <w:r w:rsidR="00E965D5" w:rsidRPr="00E965D5">
        <w:rPr>
          <w:sz w:val="28"/>
          <w:szCs w:val="28"/>
          <w:vertAlign w:val="superscript"/>
        </w:rPr>
        <w:t>st</w:t>
      </w:r>
      <w:r w:rsidR="00E965D5">
        <w:rPr>
          <w:sz w:val="28"/>
          <w:szCs w:val="28"/>
        </w:rPr>
        <w:t xml:space="preserve"> Respondent’s Code of Conduct was null and void and of no effect.  That Court further stated that S.I. 15/2006 was of no application to Applicant’s disciplinary proceedings by 1</w:t>
      </w:r>
      <w:r w:rsidR="00E965D5" w:rsidRPr="00E965D5">
        <w:rPr>
          <w:sz w:val="28"/>
          <w:szCs w:val="28"/>
          <w:vertAlign w:val="superscript"/>
        </w:rPr>
        <w:t>st</w:t>
      </w:r>
      <w:r w:rsidR="00E965D5">
        <w:rPr>
          <w:sz w:val="28"/>
          <w:szCs w:val="28"/>
        </w:rPr>
        <w:t xml:space="preserve"> Respondent.</w:t>
      </w:r>
    </w:p>
    <w:p w:rsidR="00E965D5" w:rsidRDefault="00E965D5" w:rsidP="006954EC">
      <w:pPr>
        <w:spacing w:line="360" w:lineRule="auto"/>
        <w:jc w:val="both"/>
        <w:rPr>
          <w:sz w:val="28"/>
          <w:szCs w:val="28"/>
        </w:rPr>
      </w:pPr>
      <w:r>
        <w:rPr>
          <w:sz w:val="28"/>
          <w:szCs w:val="28"/>
        </w:rPr>
        <w:tab/>
        <w:t>One would have thought this to be the beginning of proper proceedings.  This was not to be</w:t>
      </w:r>
      <w:r w:rsidR="00EC1F9F">
        <w:rPr>
          <w:sz w:val="28"/>
          <w:szCs w:val="28"/>
        </w:rPr>
        <w:t xml:space="preserve">. </w:t>
      </w:r>
      <w:r>
        <w:rPr>
          <w:sz w:val="28"/>
          <w:szCs w:val="28"/>
        </w:rPr>
        <w:t xml:space="preserve"> Applicant again approached this Court and the matter was brought before President Matanda – Moyo (as she then was).  The matter was dismissed for non-compliance with the </w:t>
      </w:r>
      <w:r w:rsidR="00EC1F9F">
        <w:rPr>
          <w:sz w:val="28"/>
          <w:szCs w:val="28"/>
        </w:rPr>
        <w:t>Rules.  Applicant has since approached the</w:t>
      </w:r>
      <w:r>
        <w:rPr>
          <w:sz w:val="28"/>
          <w:szCs w:val="28"/>
        </w:rPr>
        <w:t>High Court to review the decision of Justice Matanda – Moyo.  I will revert to this issue later in the judgment.  This dismissal of the application did not finalise the matter as 1</w:t>
      </w:r>
      <w:r w:rsidRPr="00E965D5">
        <w:rPr>
          <w:sz w:val="28"/>
          <w:szCs w:val="28"/>
          <w:vertAlign w:val="superscript"/>
        </w:rPr>
        <w:t>st</w:t>
      </w:r>
      <w:r>
        <w:rPr>
          <w:sz w:val="28"/>
          <w:szCs w:val="28"/>
        </w:rPr>
        <w:t xml:space="preserve"> Respondent</w:t>
      </w:r>
      <w:r w:rsidR="00EC1F9F">
        <w:rPr>
          <w:sz w:val="28"/>
          <w:szCs w:val="28"/>
        </w:rPr>
        <w:t xml:space="preserve"> referred the matter to the L</w:t>
      </w:r>
      <w:r w:rsidR="00F70F75">
        <w:rPr>
          <w:sz w:val="28"/>
          <w:szCs w:val="28"/>
        </w:rPr>
        <w:t>abour Officer for determination.  The Labour Officer issued a Certificate of No Settlement on 14 August 2013.</w:t>
      </w:r>
    </w:p>
    <w:p w:rsidR="00F70F75" w:rsidRDefault="00F70F75" w:rsidP="006954EC">
      <w:pPr>
        <w:spacing w:line="360" w:lineRule="auto"/>
        <w:jc w:val="both"/>
        <w:rPr>
          <w:sz w:val="28"/>
          <w:szCs w:val="28"/>
        </w:rPr>
      </w:pPr>
      <w:r>
        <w:rPr>
          <w:sz w:val="28"/>
          <w:szCs w:val="28"/>
        </w:rPr>
        <w:tab/>
        <w:t xml:space="preserve">Applicant has approached this Court for relief.  Applicant submitted that this was an application in terms of section 93 (7) of the Act which grants a party direct access to the Labour Court.  Applicant further submitted that the Court should determine whether the application is one made in terms of the Act, and if it is, the Court has jurisdiction to hear the matter.  The Applicant further stated that the resolution of the application made in terms of section 93 (7) was in section 89 (2) of the Act.  The legality of Applicant’s suspension was another issue raised in the application having regard to the order issued by Justice Patel which has not been </w:t>
      </w:r>
      <w:r w:rsidR="00EC1F9F">
        <w:rPr>
          <w:sz w:val="28"/>
          <w:szCs w:val="28"/>
        </w:rPr>
        <w:t xml:space="preserve">appealed against, </w:t>
      </w:r>
      <w:r>
        <w:rPr>
          <w:sz w:val="28"/>
          <w:szCs w:val="28"/>
        </w:rPr>
        <w:t>1</w:t>
      </w:r>
      <w:r w:rsidRPr="00F70F75">
        <w:rPr>
          <w:sz w:val="28"/>
          <w:szCs w:val="28"/>
          <w:vertAlign w:val="superscript"/>
        </w:rPr>
        <w:t>st</w:t>
      </w:r>
      <w:r>
        <w:rPr>
          <w:sz w:val="28"/>
          <w:szCs w:val="28"/>
        </w:rPr>
        <w:t xml:space="preserve"> Respondent having withdrawn the application</w:t>
      </w:r>
      <w:r w:rsidR="004E7CF9">
        <w:rPr>
          <w:sz w:val="28"/>
          <w:szCs w:val="28"/>
        </w:rPr>
        <w:t>.</w:t>
      </w:r>
    </w:p>
    <w:p w:rsidR="004E7CF9" w:rsidRDefault="004E7CF9" w:rsidP="006954EC">
      <w:pPr>
        <w:spacing w:line="360" w:lineRule="auto"/>
        <w:jc w:val="both"/>
        <w:rPr>
          <w:sz w:val="28"/>
          <w:szCs w:val="28"/>
        </w:rPr>
      </w:pPr>
      <w:r>
        <w:rPr>
          <w:sz w:val="28"/>
          <w:szCs w:val="28"/>
        </w:rPr>
        <w:lastRenderedPageBreak/>
        <w:tab/>
        <w:t>1</w:t>
      </w:r>
      <w:r w:rsidRPr="004E7CF9">
        <w:rPr>
          <w:sz w:val="28"/>
          <w:szCs w:val="28"/>
          <w:vertAlign w:val="superscript"/>
        </w:rPr>
        <w:t>st</w:t>
      </w:r>
      <w:r>
        <w:rPr>
          <w:sz w:val="28"/>
          <w:szCs w:val="28"/>
        </w:rPr>
        <w:t xml:space="preserve"> Respondent is of the view that the matter is improperly before the Court as this is neither an appeal nor an application for review.  1</w:t>
      </w:r>
      <w:r w:rsidRPr="004E7CF9">
        <w:rPr>
          <w:sz w:val="28"/>
          <w:szCs w:val="28"/>
          <w:vertAlign w:val="superscript"/>
        </w:rPr>
        <w:t>st</w:t>
      </w:r>
      <w:r>
        <w:rPr>
          <w:sz w:val="28"/>
          <w:szCs w:val="28"/>
        </w:rPr>
        <w:t xml:space="preserve"> Respondent submitted that the Labour Court is not a court of first instance and should on that basis dismiss the application.  It was submitted that the provisions o</w:t>
      </w:r>
      <w:r w:rsidR="00EC1F9F">
        <w:rPr>
          <w:sz w:val="28"/>
          <w:szCs w:val="28"/>
        </w:rPr>
        <w:t>f section 93 (7) have not been p</w:t>
      </w:r>
      <w:r>
        <w:rPr>
          <w:sz w:val="28"/>
          <w:szCs w:val="28"/>
        </w:rPr>
        <w:t>ut to the correct purpose.  1</w:t>
      </w:r>
      <w:r w:rsidRPr="004E7CF9">
        <w:rPr>
          <w:sz w:val="28"/>
          <w:szCs w:val="28"/>
          <w:vertAlign w:val="superscript"/>
        </w:rPr>
        <w:t>st</w:t>
      </w:r>
      <w:r>
        <w:rPr>
          <w:sz w:val="28"/>
          <w:szCs w:val="28"/>
        </w:rPr>
        <w:t xml:space="preserve"> Respondent stated</w:t>
      </w:r>
      <w:r w:rsidR="005015A4">
        <w:rPr>
          <w:sz w:val="28"/>
          <w:szCs w:val="28"/>
        </w:rPr>
        <w:t xml:space="preserve"> that Applicant is avoiding appearing before an Arbitrator who will be able to deal with the matter on the merits rather than on technicalities as Applicant is bent on doing in this case.  1</w:t>
      </w:r>
      <w:r w:rsidR="005015A4" w:rsidRPr="005015A4">
        <w:rPr>
          <w:sz w:val="28"/>
          <w:szCs w:val="28"/>
          <w:vertAlign w:val="superscript"/>
        </w:rPr>
        <w:t>st</w:t>
      </w:r>
      <w:r w:rsidR="00EC1F9F">
        <w:rPr>
          <w:sz w:val="28"/>
          <w:szCs w:val="28"/>
        </w:rPr>
        <w:t xml:space="preserve"> Respondent’s C</w:t>
      </w:r>
      <w:r w:rsidR="005015A4">
        <w:rPr>
          <w:sz w:val="28"/>
          <w:szCs w:val="28"/>
        </w:rPr>
        <w:t xml:space="preserve">ounsel also referred the Court to pending litigation filed by Applicant in the High Court.  It was further submitted that the matter was </w:t>
      </w:r>
      <w:r w:rsidR="005015A4">
        <w:rPr>
          <w:i/>
          <w:sz w:val="28"/>
          <w:szCs w:val="28"/>
        </w:rPr>
        <w:t>lis pendens</w:t>
      </w:r>
      <w:r w:rsidR="005015A4">
        <w:rPr>
          <w:sz w:val="28"/>
          <w:szCs w:val="28"/>
        </w:rPr>
        <w:t xml:space="preserve"> and that there was a risk of two competing judgments being issued by the two Courts.  1</w:t>
      </w:r>
      <w:r w:rsidR="005015A4" w:rsidRPr="005015A4">
        <w:rPr>
          <w:sz w:val="28"/>
          <w:szCs w:val="28"/>
          <w:vertAlign w:val="superscript"/>
        </w:rPr>
        <w:t>st</w:t>
      </w:r>
      <w:r w:rsidR="005015A4">
        <w:rPr>
          <w:sz w:val="28"/>
          <w:szCs w:val="28"/>
        </w:rPr>
        <w:t xml:space="preserve"> Respondent also stated that Applicant could not now be heard to say S.I. 15/2006 did not apply to him when he had used it in disciplinary cases at the workplace.</w:t>
      </w:r>
    </w:p>
    <w:p w:rsidR="005015A4" w:rsidRDefault="005015A4" w:rsidP="006954EC">
      <w:pPr>
        <w:spacing w:line="360" w:lineRule="auto"/>
        <w:jc w:val="both"/>
        <w:rPr>
          <w:sz w:val="28"/>
          <w:szCs w:val="28"/>
        </w:rPr>
      </w:pPr>
      <w:r>
        <w:rPr>
          <w:sz w:val="28"/>
          <w:szCs w:val="28"/>
        </w:rPr>
        <w:tab/>
        <w:t xml:space="preserve">The first issue the Court will consider is whether it has jurisdiction to hear the matter.  ZIYAMBI JA had this to say in </w:t>
      </w:r>
      <w:r>
        <w:rPr>
          <w:b/>
          <w:sz w:val="28"/>
          <w:szCs w:val="28"/>
        </w:rPr>
        <w:t xml:space="preserve">NRZ v ZARU </w:t>
      </w:r>
      <w:r>
        <w:rPr>
          <w:sz w:val="28"/>
          <w:szCs w:val="28"/>
        </w:rPr>
        <w:t>2005 (1) ZLR 341 (</w:t>
      </w:r>
      <w:r w:rsidR="00EC1F9F">
        <w:rPr>
          <w:sz w:val="28"/>
          <w:szCs w:val="28"/>
        </w:rPr>
        <w:t>S</w:t>
      </w:r>
      <w:r>
        <w:rPr>
          <w:sz w:val="28"/>
          <w:szCs w:val="28"/>
        </w:rPr>
        <w:t>) at p 346 A:</w:t>
      </w:r>
    </w:p>
    <w:p w:rsidR="005015A4" w:rsidRPr="005015A4" w:rsidRDefault="005015A4" w:rsidP="005015A4">
      <w:pPr>
        <w:spacing w:after="0" w:line="240" w:lineRule="auto"/>
        <w:ind w:left="720"/>
        <w:jc w:val="both"/>
        <w:rPr>
          <w:i/>
          <w:sz w:val="24"/>
          <w:szCs w:val="24"/>
        </w:rPr>
      </w:pPr>
      <w:r>
        <w:rPr>
          <w:i/>
          <w:sz w:val="24"/>
          <w:szCs w:val="24"/>
        </w:rPr>
        <w:t>Thus before an application can be entertained by the Labour Court, it must be satisfied that such an application is an application “in terms of this Act or any other enactment””.  This necessarily means that the Act or other enactment must specifically provide for applications to the Labour Court of the type that the Applicant seeks to bring.”</w:t>
      </w:r>
    </w:p>
    <w:p w:rsidR="006954EC" w:rsidRDefault="006954EC" w:rsidP="006954EC">
      <w:pPr>
        <w:spacing w:line="360" w:lineRule="auto"/>
        <w:jc w:val="both"/>
        <w:rPr>
          <w:b/>
          <w:sz w:val="28"/>
          <w:szCs w:val="28"/>
        </w:rPr>
      </w:pPr>
    </w:p>
    <w:p w:rsidR="00FE3BE7" w:rsidRDefault="00FE3BE7" w:rsidP="006954EC">
      <w:pPr>
        <w:spacing w:line="360" w:lineRule="auto"/>
        <w:jc w:val="both"/>
        <w:rPr>
          <w:sz w:val="28"/>
          <w:szCs w:val="28"/>
        </w:rPr>
      </w:pPr>
      <w:r>
        <w:rPr>
          <w:sz w:val="28"/>
          <w:szCs w:val="28"/>
        </w:rPr>
        <w:t>Section 93 (7) provides:</w:t>
      </w:r>
    </w:p>
    <w:p w:rsidR="00FE3BE7" w:rsidRPr="00FE3BE7" w:rsidRDefault="00FE3BE7" w:rsidP="00FE3BE7">
      <w:pPr>
        <w:spacing w:after="0" w:line="240" w:lineRule="auto"/>
        <w:jc w:val="both"/>
        <w:rPr>
          <w:i/>
          <w:sz w:val="24"/>
          <w:szCs w:val="24"/>
        </w:rPr>
      </w:pPr>
      <w:r>
        <w:rPr>
          <w:sz w:val="28"/>
          <w:szCs w:val="28"/>
        </w:rPr>
        <w:tab/>
      </w:r>
      <w:r w:rsidRPr="00FE3BE7">
        <w:rPr>
          <w:i/>
          <w:sz w:val="24"/>
          <w:szCs w:val="24"/>
        </w:rPr>
        <w:t>“If, in relation to any dispute or unfair labour practice-</w:t>
      </w:r>
    </w:p>
    <w:p w:rsidR="00FE3BE7" w:rsidRDefault="00FE3BE7" w:rsidP="00FE3BE7">
      <w:pPr>
        <w:pStyle w:val="ListParagraph"/>
        <w:numPr>
          <w:ilvl w:val="0"/>
          <w:numId w:val="1"/>
        </w:numPr>
        <w:spacing w:after="0" w:line="240" w:lineRule="auto"/>
        <w:jc w:val="both"/>
        <w:rPr>
          <w:i/>
          <w:sz w:val="24"/>
          <w:szCs w:val="24"/>
        </w:rPr>
      </w:pPr>
      <w:r w:rsidRPr="00FE3BE7">
        <w:rPr>
          <w:i/>
          <w:sz w:val="24"/>
          <w:szCs w:val="24"/>
        </w:rPr>
        <w:t>After a labour officer has issued a Certificate of No Settlement in relation to</w:t>
      </w:r>
      <w:r>
        <w:rPr>
          <w:i/>
          <w:sz w:val="24"/>
          <w:szCs w:val="24"/>
        </w:rPr>
        <w:t xml:space="preserve"> the dispute or unfair labour practice, it is not possible for any reason to refer the dispute or unfair labour practice to compulsory arbitration as provided in subsection (5); or</w:t>
      </w:r>
    </w:p>
    <w:p w:rsidR="00FE3BE7" w:rsidRDefault="00FE3BE7" w:rsidP="00FE3BE7">
      <w:pPr>
        <w:pStyle w:val="ListParagraph"/>
        <w:numPr>
          <w:ilvl w:val="0"/>
          <w:numId w:val="1"/>
        </w:numPr>
        <w:spacing w:after="0" w:line="240" w:lineRule="auto"/>
        <w:jc w:val="both"/>
        <w:rPr>
          <w:i/>
          <w:sz w:val="24"/>
          <w:szCs w:val="24"/>
        </w:rPr>
      </w:pPr>
      <w:r>
        <w:rPr>
          <w:i/>
          <w:sz w:val="24"/>
          <w:szCs w:val="24"/>
        </w:rPr>
        <w:t xml:space="preserve">A labour officer refuses, for any reason, to issue a Certificate of No Settlement in relation to any dispute or unfair labour practice after the expiry of the period </w:t>
      </w:r>
      <w:r>
        <w:rPr>
          <w:i/>
          <w:sz w:val="24"/>
          <w:szCs w:val="24"/>
        </w:rPr>
        <w:lastRenderedPageBreak/>
        <w:t>allowed for conclusion under subsection (3) or any extension of that period under subsection (4);</w:t>
      </w:r>
    </w:p>
    <w:p w:rsidR="00FE3BE7" w:rsidRDefault="00FE3BE7" w:rsidP="00FE3BE7">
      <w:pPr>
        <w:pStyle w:val="ListParagraph"/>
        <w:spacing w:after="0" w:line="240" w:lineRule="auto"/>
        <w:ind w:left="1080"/>
        <w:jc w:val="both"/>
        <w:rPr>
          <w:i/>
          <w:sz w:val="24"/>
          <w:szCs w:val="24"/>
        </w:rPr>
      </w:pPr>
    </w:p>
    <w:p w:rsidR="00FE3BE7" w:rsidRDefault="00FE3BE7" w:rsidP="00FE3BE7">
      <w:pPr>
        <w:spacing w:after="0" w:line="240" w:lineRule="auto"/>
        <w:ind w:left="1080"/>
        <w:jc w:val="both"/>
        <w:rPr>
          <w:i/>
          <w:sz w:val="24"/>
          <w:szCs w:val="24"/>
        </w:rPr>
      </w:pPr>
      <w:r w:rsidRPr="00FE3BE7">
        <w:rPr>
          <w:i/>
          <w:sz w:val="24"/>
          <w:szCs w:val="24"/>
        </w:rPr>
        <w:t xml:space="preserve">Any party to the dispute may, </w:t>
      </w:r>
      <w:r>
        <w:rPr>
          <w:i/>
          <w:sz w:val="24"/>
          <w:szCs w:val="24"/>
        </w:rPr>
        <w:t>in the time and manner prescribed, apply to the Labour Court –</w:t>
      </w:r>
    </w:p>
    <w:p w:rsidR="00FE3BE7" w:rsidRDefault="00FE3BE7" w:rsidP="00FE3BE7">
      <w:pPr>
        <w:pStyle w:val="ListParagraph"/>
        <w:numPr>
          <w:ilvl w:val="0"/>
          <w:numId w:val="2"/>
        </w:numPr>
        <w:spacing w:after="0" w:line="240" w:lineRule="auto"/>
        <w:jc w:val="both"/>
        <w:rPr>
          <w:i/>
          <w:sz w:val="24"/>
          <w:szCs w:val="24"/>
        </w:rPr>
      </w:pPr>
      <w:r>
        <w:rPr>
          <w:i/>
          <w:sz w:val="24"/>
          <w:szCs w:val="24"/>
        </w:rPr>
        <w:t xml:space="preserve">For the dispute or unfair labour practice to be disposed of in accordance with paragraph (b) of subsection (2) of section </w:t>
      </w:r>
      <w:r>
        <w:rPr>
          <w:i/>
          <w:sz w:val="24"/>
          <w:szCs w:val="24"/>
          <w:u w:val="single"/>
        </w:rPr>
        <w:t xml:space="preserve">eighty nine, </w:t>
      </w:r>
      <w:r w:rsidRPr="000043C8">
        <w:rPr>
          <w:i/>
          <w:sz w:val="24"/>
          <w:szCs w:val="24"/>
        </w:rPr>
        <w:t>in the case of a dispute of interest; or</w:t>
      </w:r>
    </w:p>
    <w:p w:rsidR="000043C8" w:rsidRDefault="000043C8" w:rsidP="00FE3BE7">
      <w:pPr>
        <w:pStyle w:val="ListParagraph"/>
        <w:numPr>
          <w:ilvl w:val="0"/>
          <w:numId w:val="2"/>
        </w:numPr>
        <w:spacing w:after="0" w:line="240" w:lineRule="auto"/>
        <w:jc w:val="both"/>
        <w:rPr>
          <w:i/>
          <w:sz w:val="24"/>
          <w:szCs w:val="24"/>
        </w:rPr>
      </w:pPr>
      <w:r>
        <w:rPr>
          <w:i/>
          <w:sz w:val="24"/>
          <w:szCs w:val="24"/>
        </w:rPr>
        <w:t xml:space="preserve">For an order in terms of paragraph (c)of subsection (2) of section </w:t>
      </w:r>
      <w:r>
        <w:rPr>
          <w:i/>
          <w:sz w:val="24"/>
          <w:szCs w:val="24"/>
          <w:u w:val="single"/>
        </w:rPr>
        <w:t>eighty nine</w:t>
      </w:r>
      <w:r>
        <w:rPr>
          <w:i/>
          <w:sz w:val="24"/>
          <w:szCs w:val="24"/>
        </w:rPr>
        <w:t>, in the case of a dispute of right.”</w:t>
      </w:r>
    </w:p>
    <w:p w:rsidR="000043C8" w:rsidRDefault="000043C8" w:rsidP="000043C8">
      <w:pPr>
        <w:spacing w:after="0" w:line="240" w:lineRule="auto"/>
        <w:jc w:val="both"/>
        <w:rPr>
          <w:i/>
          <w:sz w:val="24"/>
          <w:szCs w:val="24"/>
        </w:rPr>
      </w:pPr>
    </w:p>
    <w:p w:rsidR="00EC1F9F" w:rsidRDefault="000043C8" w:rsidP="000043C8">
      <w:pPr>
        <w:spacing w:after="0" w:line="360" w:lineRule="auto"/>
        <w:ind w:left="720"/>
        <w:jc w:val="both"/>
        <w:rPr>
          <w:sz w:val="28"/>
          <w:szCs w:val="28"/>
        </w:rPr>
      </w:pPr>
      <w:r>
        <w:rPr>
          <w:sz w:val="28"/>
          <w:szCs w:val="28"/>
        </w:rPr>
        <w:t>The section refers to</w:t>
      </w:r>
      <w:r w:rsidR="00EC1F9F">
        <w:rPr>
          <w:sz w:val="28"/>
          <w:szCs w:val="28"/>
        </w:rPr>
        <w:t xml:space="preserve"> any dispute or unfair labour practice:</w:t>
      </w:r>
      <w:r w:rsidR="000742BC">
        <w:rPr>
          <w:sz w:val="28"/>
          <w:szCs w:val="28"/>
        </w:rPr>
        <w:t>”</w:t>
      </w:r>
      <w:r w:rsidR="00EC1F9F">
        <w:rPr>
          <w:sz w:val="28"/>
          <w:szCs w:val="28"/>
        </w:rPr>
        <w:tab/>
      </w:r>
    </w:p>
    <w:p w:rsidR="000043C8" w:rsidRDefault="00EC1F9F" w:rsidP="00EC1F9F">
      <w:pPr>
        <w:spacing w:after="0" w:line="360" w:lineRule="auto"/>
        <w:ind w:firstLine="720"/>
        <w:jc w:val="both"/>
        <w:rPr>
          <w:sz w:val="28"/>
          <w:szCs w:val="28"/>
        </w:rPr>
      </w:pPr>
      <w:r>
        <w:rPr>
          <w:sz w:val="28"/>
          <w:szCs w:val="28"/>
        </w:rPr>
        <w:t>Without delving into semant</w:t>
      </w:r>
      <w:r w:rsidR="000043C8">
        <w:rPr>
          <w:sz w:val="28"/>
          <w:szCs w:val="28"/>
        </w:rPr>
        <w:t>i</w:t>
      </w:r>
      <w:r>
        <w:rPr>
          <w:sz w:val="28"/>
          <w:szCs w:val="28"/>
        </w:rPr>
        <w:t>c</w:t>
      </w:r>
      <w:r w:rsidR="000043C8">
        <w:rPr>
          <w:sz w:val="28"/>
          <w:szCs w:val="28"/>
        </w:rPr>
        <w:t xml:space="preserve">s, the Court is of the </w:t>
      </w:r>
      <w:r>
        <w:rPr>
          <w:sz w:val="28"/>
          <w:szCs w:val="28"/>
        </w:rPr>
        <w:t>view that in the present</w:t>
      </w:r>
      <w:r w:rsidR="000043C8">
        <w:rPr>
          <w:sz w:val="28"/>
          <w:szCs w:val="28"/>
        </w:rPr>
        <w:t xml:space="preserve"> ci</w:t>
      </w:r>
      <w:r>
        <w:rPr>
          <w:sz w:val="28"/>
          <w:szCs w:val="28"/>
        </w:rPr>
        <w:t xml:space="preserve">rcumstances there is a dispute </w:t>
      </w:r>
      <w:r w:rsidR="000043C8">
        <w:rPr>
          <w:sz w:val="28"/>
          <w:szCs w:val="28"/>
        </w:rPr>
        <w:t>or unfair labour practice between Applicant and 1</w:t>
      </w:r>
      <w:r w:rsidR="000043C8" w:rsidRPr="000043C8">
        <w:rPr>
          <w:sz w:val="28"/>
          <w:szCs w:val="28"/>
          <w:vertAlign w:val="superscript"/>
        </w:rPr>
        <w:t>st</w:t>
      </w:r>
      <w:r w:rsidR="000043C8">
        <w:rPr>
          <w:sz w:val="28"/>
          <w:szCs w:val="28"/>
        </w:rPr>
        <w:t xml:space="preserve"> Respondent.  The section further requires that a labour officer must have issued a Certificate of No Settlement</w:t>
      </w:r>
      <w:r w:rsidR="006A2924">
        <w:rPr>
          <w:sz w:val="28"/>
          <w:szCs w:val="28"/>
        </w:rPr>
        <w:t xml:space="preserve"> and not referred the matter to arbitration.  The second scenario provided in the section is where a Labour Officer has refused to issue the Certificate of No Settlement</w:t>
      </w:r>
      <w:r>
        <w:rPr>
          <w:sz w:val="28"/>
          <w:szCs w:val="28"/>
        </w:rPr>
        <w:t xml:space="preserve">.  In either of the two instances a party is permitted to apply to the Labour Court for relief.  </w:t>
      </w:r>
      <w:r>
        <w:rPr>
          <w:i/>
          <w:sz w:val="28"/>
          <w:szCs w:val="28"/>
        </w:rPr>
        <w:t xml:space="preserve">In casu, </w:t>
      </w:r>
      <w:r w:rsidRPr="00EC1F9F">
        <w:rPr>
          <w:sz w:val="28"/>
          <w:szCs w:val="28"/>
        </w:rPr>
        <w:t>1</w:t>
      </w:r>
      <w:r w:rsidRPr="00EC1F9F">
        <w:rPr>
          <w:sz w:val="28"/>
          <w:szCs w:val="28"/>
          <w:vertAlign w:val="superscript"/>
        </w:rPr>
        <w:t>st</w:t>
      </w:r>
      <w:r w:rsidRPr="00EC1F9F">
        <w:rPr>
          <w:sz w:val="28"/>
          <w:szCs w:val="28"/>
        </w:rPr>
        <w:t xml:space="preserve"> Respondent referred</w:t>
      </w:r>
      <w:r>
        <w:rPr>
          <w:sz w:val="28"/>
          <w:szCs w:val="28"/>
        </w:rPr>
        <w:t xml:space="preserve"> the matter to the Labour Officer and the latter issued a Certificate of No Settlement</w:t>
      </w:r>
      <w:r w:rsidR="006A2924">
        <w:rPr>
          <w:sz w:val="28"/>
          <w:szCs w:val="28"/>
        </w:rPr>
        <w:t xml:space="preserve"> on 14 August 2013</w:t>
      </w:r>
      <w:r w:rsidR="001F68B6">
        <w:rPr>
          <w:sz w:val="28"/>
          <w:szCs w:val="28"/>
        </w:rPr>
        <w:t xml:space="preserve">.  </w:t>
      </w:r>
      <w:r>
        <w:rPr>
          <w:sz w:val="28"/>
          <w:szCs w:val="28"/>
        </w:rPr>
        <w:t xml:space="preserve">   The matter was </w:t>
      </w:r>
      <w:r w:rsidR="000043C8">
        <w:rPr>
          <w:sz w:val="28"/>
          <w:szCs w:val="28"/>
        </w:rPr>
        <w:t>not referred to arbitration</w:t>
      </w:r>
      <w:r>
        <w:rPr>
          <w:sz w:val="28"/>
          <w:szCs w:val="28"/>
        </w:rPr>
        <w:t xml:space="preserve"> and remains unresolved.  The Court finds that the application is an application in terms of the Act and is properly before the Court</w:t>
      </w:r>
      <w:r w:rsidR="000043C8">
        <w:rPr>
          <w:sz w:val="28"/>
          <w:szCs w:val="28"/>
        </w:rPr>
        <w:t>.  The Court finds that the application is an application in terms of the Act and is properly before the Court.</w:t>
      </w:r>
    </w:p>
    <w:p w:rsidR="000043C8" w:rsidRDefault="000043C8" w:rsidP="000043C8">
      <w:pPr>
        <w:spacing w:after="0" w:line="360" w:lineRule="auto"/>
        <w:jc w:val="both"/>
        <w:rPr>
          <w:sz w:val="28"/>
          <w:szCs w:val="28"/>
        </w:rPr>
      </w:pPr>
      <w:r>
        <w:rPr>
          <w:sz w:val="28"/>
          <w:szCs w:val="28"/>
        </w:rPr>
        <w:tab/>
        <w:t>1</w:t>
      </w:r>
      <w:r w:rsidRPr="000043C8">
        <w:rPr>
          <w:sz w:val="28"/>
          <w:szCs w:val="28"/>
          <w:vertAlign w:val="superscript"/>
        </w:rPr>
        <w:t>st</w:t>
      </w:r>
      <w:r>
        <w:rPr>
          <w:sz w:val="28"/>
          <w:szCs w:val="28"/>
        </w:rPr>
        <w:t xml:space="preserve"> Respondent submitted that Applicant has approached the High Court for a review of the decision of Justice Matanda – Moyo.  As observed by ZIYAMBI JA, the Labour Court is a creat</w:t>
      </w:r>
      <w:r w:rsidR="007C5FD8">
        <w:rPr>
          <w:sz w:val="28"/>
          <w:szCs w:val="28"/>
        </w:rPr>
        <w:t>ure</w:t>
      </w:r>
      <w:r>
        <w:rPr>
          <w:sz w:val="28"/>
          <w:szCs w:val="28"/>
        </w:rPr>
        <w:t xml:space="preserve"> of statute and any proceedings should be within the four corners of the Act.  What is the effect of the review of Justice Matanda </w:t>
      </w:r>
      <w:r w:rsidR="007222B9">
        <w:rPr>
          <w:sz w:val="28"/>
          <w:szCs w:val="28"/>
        </w:rPr>
        <w:t>–</w:t>
      </w:r>
      <w:r>
        <w:rPr>
          <w:sz w:val="28"/>
          <w:szCs w:val="28"/>
        </w:rPr>
        <w:t xml:space="preserve"> Moyo</w:t>
      </w:r>
      <w:r w:rsidR="007222B9">
        <w:rPr>
          <w:sz w:val="28"/>
          <w:szCs w:val="28"/>
        </w:rPr>
        <w:t>’s decision on the current application?  The Act specifically provides for “appeals” to be d</w:t>
      </w:r>
      <w:r w:rsidR="007C5FD8">
        <w:rPr>
          <w:sz w:val="28"/>
          <w:szCs w:val="28"/>
        </w:rPr>
        <w:t>irected</w:t>
      </w:r>
      <w:r w:rsidR="007222B9">
        <w:rPr>
          <w:sz w:val="28"/>
          <w:szCs w:val="28"/>
        </w:rPr>
        <w:t xml:space="preserve"> to the Supreme Court.  </w:t>
      </w:r>
      <w:r w:rsidR="007222B9">
        <w:rPr>
          <w:sz w:val="28"/>
          <w:szCs w:val="28"/>
        </w:rPr>
        <w:lastRenderedPageBreak/>
        <w:t>Review of Labour Court decision</w:t>
      </w:r>
      <w:r w:rsidR="007C5FD8">
        <w:rPr>
          <w:sz w:val="28"/>
          <w:szCs w:val="28"/>
        </w:rPr>
        <w:t>s</w:t>
      </w:r>
      <w:r w:rsidR="007222B9">
        <w:rPr>
          <w:sz w:val="28"/>
          <w:szCs w:val="28"/>
        </w:rPr>
        <w:t xml:space="preserve"> is not provided for in terms of the Act.  Section 92 F provides for “Appeals against decisions of the Labour Court.”  What is not clear is whether Applicant’s counsel was avoiding the “appeal” route by filing a review application with the High Court.  My view is that with the amendment of the Labour Act, the legislature was decisive in g</w:t>
      </w:r>
      <w:r w:rsidR="007C5FD8">
        <w:rPr>
          <w:sz w:val="28"/>
          <w:szCs w:val="28"/>
        </w:rPr>
        <w:t>iv</w:t>
      </w:r>
      <w:r w:rsidR="007222B9">
        <w:rPr>
          <w:sz w:val="28"/>
          <w:szCs w:val="28"/>
        </w:rPr>
        <w:t>ing the mandate to the Labour Court in all labour matters and the appellate relief lying with the Supreme Court.  A reading of section 89 of the Act shows a deliberate exclusion of the other courts including the High Court.  I would therefore hold that the High Court does not have the jurisdiction to deal with labour matters, as this is the exclusive jurisdiction of the Labour Court.  I am of the further view that t</w:t>
      </w:r>
      <w:r w:rsidR="00697C9A">
        <w:rPr>
          <w:sz w:val="28"/>
          <w:szCs w:val="28"/>
        </w:rPr>
        <w:t>he inherent jurisdiction of the</w:t>
      </w:r>
      <w:r w:rsidR="007222B9">
        <w:rPr>
          <w:sz w:val="28"/>
          <w:szCs w:val="28"/>
        </w:rPr>
        <w:t xml:space="preserve"> High Court founded at common law would not extend to reviewing decision</w:t>
      </w:r>
      <w:r w:rsidR="007C5FD8">
        <w:rPr>
          <w:sz w:val="28"/>
          <w:szCs w:val="28"/>
        </w:rPr>
        <w:t>s</w:t>
      </w:r>
      <w:r w:rsidR="007222B9">
        <w:rPr>
          <w:sz w:val="28"/>
          <w:szCs w:val="28"/>
        </w:rPr>
        <w:t xml:space="preserve"> of the Labour Court where the legislat</w:t>
      </w:r>
      <w:r w:rsidR="007C5FD8">
        <w:rPr>
          <w:sz w:val="28"/>
          <w:szCs w:val="28"/>
        </w:rPr>
        <w:t>ure</w:t>
      </w:r>
      <w:r w:rsidR="007222B9">
        <w:rPr>
          <w:sz w:val="28"/>
          <w:szCs w:val="28"/>
        </w:rPr>
        <w:t xml:space="preserve"> has specifically provided that appeals from the Labour Court lie with the Supreme Court.  In the result, I find that the application for review with the High Court</w:t>
      </w:r>
      <w:r w:rsidR="00697C9A">
        <w:rPr>
          <w:sz w:val="28"/>
          <w:szCs w:val="28"/>
        </w:rPr>
        <w:t xml:space="preserve"> does not affect any decision that this Court may arrive at.  (See </w:t>
      </w:r>
      <w:r w:rsidR="00697C9A">
        <w:rPr>
          <w:b/>
          <w:sz w:val="28"/>
          <w:szCs w:val="28"/>
        </w:rPr>
        <w:t xml:space="preserve">Martin Sibanda and Anor v Benson Chinemhute &amp; Anor </w:t>
      </w:r>
      <w:r w:rsidR="00697C9A">
        <w:rPr>
          <w:sz w:val="28"/>
          <w:szCs w:val="28"/>
        </w:rPr>
        <w:t>HH 131/04).</w:t>
      </w:r>
    </w:p>
    <w:p w:rsidR="00697C9A" w:rsidRDefault="00697C9A" w:rsidP="000043C8">
      <w:pPr>
        <w:spacing w:after="0" w:line="360" w:lineRule="auto"/>
        <w:jc w:val="both"/>
        <w:rPr>
          <w:sz w:val="28"/>
          <w:szCs w:val="28"/>
        </w:rPr>
      </w:pPr>
    </w:p>
    <w:p w:rsidR="00697C9A" w:rsidRDefault="00697C9A" w:rsidP="000043C8">
      <w:pPr>
        <w:spacing w:after="0" w:line="360" w:lineRule="auto"/>
        <w:jc w:val="both"/>
        <w:rPr>
          <w:sz w:val="28"/>
          <w:szCs w:val="28"/>
        </w:rPr>
      </w:pPr>
      <w:r>
        <w:rPr>
          <w:sz w:val="28"/>
          <w:szCs w:val="28"/>
        </w:rPr>
        <w:tab/>
        <w:t>The C</w:t>
      </w:r>
      <w:r w:rsidR="007C5FD8">
        <w:rPr>
          <w:sz w:val="28"/>
          <w:szCs w:val="28"/>
        </w:rPr>
        <w:t>ourt inquired from Applicant’s C</w:t>
      </w:r>
      <w:r>
        <w:rPr>
          <w:sz w:val="28"/>
          <w:szCs w:val="28"/>
        </w:rPr>
        <w:t>ounsel as to why the application to the High Court had not been withdrawn when the current application was filed.  Counsel did not have any explanation save to state that it was not him who filed it but the previous lawyer who handled matter.  This observation by the Court was in light of the provisions of section 124 of the Act which discourages multiple</w:t>
      </w:r>
      <w:r w:rsidR="000B3507">
        <w:rPr>
          <w:sz w:val="28"/>
          <w:szCs w:val="28"/>
        </w:rPr>
        <w:t xml:space="preserve"> proceedings.  However, the Court has already considered the issue and made a decision.</w:t>
      </w:r>
    </w:p>
    <w:p w:rsidR="000B3507" w:rsidRDefault="000B3507" w:rsidP="000043C8">
      <w:pPr>
        <w:spacing w:after="0" w:line="360" w:lineRule="auto"/>
        <w:jc w:val="both"/>
        <w:rPr>
          <w:sz w:val="28"/>
          <w:szCs w:val="28"/>
        </w:rPr>
      </w:pPr>
      <w:r>
        <w:rPr>
          <w:sz w:val="28"/>
          <w:szCs w:val="28"/>
        </w:rPr>
        <w:tab/>
      </w:r>
    </w:p>
    <w:p w:rsidR="00970D83" w:rsidRDefault="000B3507" w:rsidP="000043C8">
      <w:pPr>
        <w:spacing w:after="0" w:line="360" w:lineRule="auto"/>
        <w:jc w:val="both"/>
        <w:rPr>
          <w:sz w:val="28"/>
          <w:szCs w:val="28"/>
        </w:rPr>
      </w:pPr>
      <w:r>
        <w:rPr>
          <w:sz w:val="28"/>
          <w:szCs w:val="28"/>
        </w:rPr>
        <w:lastRenderedPageBreak/>
        <w:tab/>
        <w:t>Applicant seeks an order emanating from the provisions of the Act.  The first issue to be determined is whether a Certificate of</w:t>
      </w:r>
      <w:r w:rsidR="007C5FD8">
        <w:rPr>
          <w:sz w:val="28"/>
          <w:szCs w:val="28"/>
        </w:rPr>
        <w:t xml:space="preserve"> No</w:t>
      </w:r>
      <w:r>
        <w:rPr>
          <w:sz w:val="28"/>
          <w:szCs w:val="28"/>
        </w:rPr>
        <w:t xml:space="preserve"> Settlement is in existence.  The record shows that such certificate was issued on </w:t>
      </w:r>
    </w:p>
    <w:p w:rsidR="000B3507" w:rsidRDefault="000B3507" w:rsidP="000043C8">
      <w:pPr>
        <w:spacing w:after="0" w:line="360" w:lineRule="auto"/>
        <w:jc w:val="both"/>
        <w:rPr>
          <w:sz w:val="28"/>
          <w:szCs w:val="28"/>
        </w:rPr>
      </w:pPr>
      <w:r>
        <w:rPr>
          <w:sz w:val="28"/>
          <w:szCs w:val="28"/>
        </w:rPr>
        <w:t>24 August 2013.  The second issue is whether this matter was not referred to arbitration.  Again the record shows that the matter was not referred to arbitration.  The conciliator in the Certificate of No Settlement states that the matter concerned “alleged unfair labour practice.”  The reasons for not referring the matter to arbitration have not been given.  The Court is the view that the elements required in terms of the provisions of the Act for the Court to consider the matter are present.  The Court has considered the relief sought by the Applicant.  One of the them is couched as:</w:t>
      </w:r>
    </w:p>
    <w:p w:rsidR="00970D83" w:rsidRDefault="00970D83" w:rsidP="00970D83">
      <w:pPr>
        <w:spacing w:after="0" w:line="240" w:lineRule="auto"/>
        <w:ind w:left="720"/>
        <w:jc w:val="both"/>
        <w:rPr>
          <w:i/>
          <w:sz w:val="24"/>
          <w:szCs w:val="24"/>
        </w:rPr>
      </w:pPr>
      <w:r w:rsidRPr="00970D83">
        <w:rPr>
          <w:i/>
          <w:sz w:val="24"/>
          <w:szCs w:val="24"/>
        </w:rPr>
        <w:t>“... hence the Certificate of No Settlement issued by Conciliator Madziye is irregular and ought to be quashed.”</w:t>
      </w:r>
    </w:p>
    <w:p w:rsidR="00970D83" w:rsidRDefault="00970D83" w:rsidP="00970D83">
      <w:pPr>
        <w:spacing w:after="0" w:line="240" w:lineRule="auto"/>
        <w:jc w:val="both"/>
        <w:rPr>
          <w:i/>
          <w:sz w:val="24"/>
          <w:szCs w:val="24"/>
        </w:rPr>
      </w:pPr>
    </w:p>
    <w:p w:rsidR="00970D83" w:rsidRDefault="00970D83" w:rsidP="00970D83">
      <w:pPr>
        <w:spacing w:after="0" w:line="240" w:lineRule="auto"/>
        <w:jc w:val="both"/>
        <w:rPr>
          <w:sz w:val="24"/>
          <w:szCs w:val="24"/>
        </w:rPr>
      </w:pPr>
    </w:p>
    <w:p w:rsidR="002F7775" w:rsidRDefault="002F7775" w:rsidP="002F7775">
      <w:pPr>
        <w:spacing w:after="0" w:line="360" w:lineRule="auto"/>
        <w:jc w:val="both"/>
        <w:rPr>
          <w:sz w:val="28"/>
          <w:szCs w:val="28"/>
        </w:rPr>
      </w:pPr>
      <w:r>
        <w:rPr>
          <w:sz w:val="28"/>
          <w:szCs w:val="28"/>
        </w:rPr>
        <w:tab/>
        <w:t>As observed, by 1</w:t>
      </w:r>
      <w:r w:rsidRPr="002F7775">
        <w:rPr>
          <w:sz w:val="28"/>
          <w:szCs w:val="28"/>
          <w:vertAlign w:val="superscript"/>
        </w:rPr>
        <w:t>st</w:t>
      </w:r>
      <w:r>
        <w:rPr>
          <w:sz w:val="28"/>
          <w:szCs w:val="28"/>
        </w:rPr>
        <w:t xml:space="preserve"> Respondent, the prese</w:t>
      </w:r>
      <w:r w:rsidR="007C5FD8">
        <w:rPr>
          <w:sz w:val="28"/>
          <w:szCs w:val="28"/>
        </w:rPr>
        <w:t>nc</w:t>
      </w:r>
      <w:r>
        <w:rPr>
          <w:sz w:val="28"/>
          <w:szCs w:val="28"/>
        </w:rPr>
        <w:t>e of a Certificate of No Settlement is a prerequisite before such an application can be made unless the application is made in terms of paragraph (b) of section 93 (7).  That prayer, in my view, must be dismissed.  Applicant avers that the application is in respect of a dispute of right.  The matter has not been heard and no evidence has been adduced because 1</w:t>
      </w:r>
      <w:r w:rsidRPr="002F7775">
        <w:rPr>
          <w:sz w:val="28"/>
          <w:szCs w:val="28"/>
          <w:vertAlign w:val="superscript"/>
        </w:rPr>
        <w:t>st</w:t>
      </w:r>
      <w:r>
        <w:rPr>
          <w:sz w:val="28"/>
          <w:szCs w:val="28"/>
        </w:rPr>
        <w:t xml:space="preserve"> Respondent and Applicant</w:t>
      </w:r>
      <w:r w:rsidR="00045F3E">
        <w:rPr>
          <w:sz w:val="28"/>
          <w:szCs w:val="28"/>
        </w:rPr>
        <w:t xml:space="preserve"> do not agree on what Code of Conduct is applicable in the circumstances.  1</w:t>
      </w:r>
      <w:r w:rsidR="00045F3E" w:rsidRPr="00045F3E">
        <w:rPr>
          <w:sz w:val="28"/>
          <w:szCs w:val="28"/>
          <w:vertAlign w:val="superscript"/>
        </w:rPr>
        <w:t>st</w:t>
      </w:r>
      <w:r w:rsidR="007C5FD8">
        <w:rPr>
          <w:sz w:val="28"/>
          <w:szCs w:val="28"/>
        </w:rPr>
        <w:t xml:space="preserve"> Respondent’s C</w:t>
      </w:r>
      <w:r w:rsidR="00045F3E">
        <w:rPr>
          <w:sz w:val="28"/>
          <w:szCs w:val="28"/>
        </w:rPr>
        <w:t>ounsel, in his submissions, made the concession that they would be agreeable to a referral to arbitrator where all issue</w:t>
      </w:r>
      <w:r w:rsidR="007C5FD8">
        <w:rPr>
          <w:sz w:val="28"/>
          <w:szCs w:val="28"/>
        </w:rPr>
        <w:t>s</w:t>
      </w:r>
      <w:r w:rsidR="00045F3E">
        <w:rPr>
          <w:sz w:val="28"/>
          <w:szCs w:val="28"/>
        </w:rPr>
        <w:t xml:space="preserve"> may be ventilated.  This was a proper concession in my view.  This Court is not in a position to order payment of any sums of money as it does not have any evidence on which to base such order.  A referral </w:t>
      </w:r>
      <w:r w:rsidR="007C5FD8">
        <w:rPr>
          <w:sz w:val="28"/>
          <w:szCs w:val="28"/>
        </w:rPr>
        <w:t xml:space="preserve">to </w:t>
      </w:r>
      <w:r w:rsidR="00045F3E">
        <w:rPr>
          <w:sz w:val="28"/>
          <w:szCs w:val="28"/>
        </w:rPr>
        <w:t>arbitration would allow both parties to ventilate the issues and the matter to be disposed on the merits as opposed to technicalities.</w:t>
      </w:r>
    </w:p>
    <w:p w:rsidR="00045F3E" w:rsidRDefault="00045F3E" w:rsidP="002F7775">
      <w:pPr>
        <w:spacing w:after="0" w:line="360" w:lineRule="auto"/>
        <w:jc w:val="both"/>
        <w:rPr>
          <w:sz w:val="28"/>
          <w:szCs w:val="28"/>
        </w:rPr>
      </w:pPr>
      <w:r>
        <w:rPr>
          <w:sz w:val="28"/>
          <w:szCs w:val="28"/>
        </w:rPr>
        <w:lastRenderedPageBreak/>
        <w:tab/>
        <w:t>Having considered the submissions made by the parties and having regard to the interests of justice, the application succeeds and the Court make</w:t>
      </w:r>
      <w:r w:rsidR="007C5FD8">
        <w:rPr>
          <w:sz w:val="28"/>
          <w:szCs w:val="28"/>
        </w:rPr>
        <w:t>s</w:t>
      </w:r>
      <w:r>
        <w:rPr>
          <w:sz w:val="28"/>
          <w:szCs w:val="28"/>
        </w:rPr>
        <w:t xml:space="preserve"> the following order:</w:t>
      </w:r>
    </w:p>
    <w:p w:rsidR="00045F3E" w:rsidRDefault="00045F3E" w:rsidP="00045F3E">
      <w:pPr>
        <w:pStyle w:val="ListParagraph"/>
        <w:numPr>
          <w:ilvl w:val="0"/>
          <w:numId w:val="3"/>
        </w:numPr>
        <w:spacing w:after="0" w:line="360" w:lineRule="auto"/>
        <w:jc w:val="both"/>
        <w:rPr>
          <w:sz w:val="28"/>
          <w:szCs w:val="28"/>
        </w:rPr>
      </w:pPr>
      <w:r>
        <w:rPr>
          <w:sz w:val="28"/>
          <w:szCs w:val="28"/>
        </w:rPr>
        <w:t>Application for relief in terms of section 93 (7) succeeds.</w:t>
      </w:r>
    </w:p>
    <w:p w:rsidR="00045F3E" w:rsidRDefault="00045F3E" w:rsidP="00045F3E">
      <w:pPr>
        <w:pStyle w:val="ListParagraph"/>
        <w:numPr>
          <w:ilvl w:val="0"/>
          <w:numId w:val="3"/>
        </w:numPr>
        <w:spacing w:after="0" w:line="360" w:lineRule="auto"/>
        <w:jc w:val="both"/>
        <w:rPr>
          <w:sz w:val="28"/>
          <w:szCs w:val="28"/>
        </w:rPr>
      </w:pPr>
      <w:r>
        <w:rPr>
          <w:sz w:val="28"/>
          <w:szCs w:val="28"/>
        </w:rPr>
        <w:t>The Senior Labour Officer is ordered to refer the matter to arbitration for hearing and the matter to be heard within 30 days of this order.</w:t>
      </w:r>
    </w:p>
    <w:p w:rsidR="00045F3E" w:rsidRPr="007C5FD8" w:rsidRDefault="00045F3E" w:rsidP="007C5FD8">
      <w:pPr>
        <w:spacing w:after="0" w:line="360" w:lineRule="auto"/>
        <w:ind w:left="360" w:firstLine="720"/>
        <w:jc w:val="both"/>
        <w:rPr>
          <w:sz w:val="28"/>
          <w:szCs w:val="28"/>
        </w:rPr>
      </w:pPr>
      <w:r w:rsidRPr="007C5FD8">
        <w:rPr>
          <w:sz w:val="28"/>
          <w:szCs w:val="28"/>
        </w:rPr>
        <w:t>The arbitrator’s Terms of Reference shall be:</w:t>
      </w:r>
    </w:p>
    <w:p w:rsidR="00045F3E" w:rsidRDefault="00045F3E" w:rsidP="00045F3E">
      <w:pPr>
        <w:pStyle w:val="ListParagraph"/>
        <w:numPr>
          <w:ilvl w:val="0"/>
          <w:numId w:val="5"/>
        </w:numPr>
        <w:spacing w:after="0" w:line="360" w:lineRule="auto"/>
        <w:jc w:val="both"/>
        <w:rPr>
          <w:sz w:val="28"/>
          <w:szCs w:val="28"/>
        </w:rPr>
      </w:pPr>
      <w:r>
        <w:rPr>
          <w:sz w:val="28"/>
          <w:szCs w:val="28"/>
        </w:rPr>
        <w:t>To determine the lawfulness or other</w:t>
      </w:r>
      <w:r w:rsidR="004F2DB8">
        <w:rPr>
          <w:sz w:val="28"/>
          <w:szCs w:val="28"/>
        </w:rPr>
        <w:t>wise of Applicant’s suspension</w:t>
      </w:r>
    </w:p>
    <w:p w:rsidR="004F2DB8" w:rsidRDefault="004F2DB8" w:rsidP="00045F3E">
      <w:pPr>
        <w:pStyle w:val="ListParagraph"/>
        <w:numPr>
          <w:ilvl w:val="0"/>
          <w:numId w:val="5"/>
        </w:numPr>
        <w:spacing w:after="0" w:line="360" w:lineRule="auto"/>
        <w:jc w:val="both"/>
        <w:rPr>
          <w:sz w:val="28"/>
          <w:szCs w:val="28"/>
        </w:rPr>
      </w:pPr>
      <w:r>
        <w:rPr>
          <w:sz w:val="28"/>
          <w:szCs w:val="28"/>
        </w:rPr>
        <w:t xml:space="preserve">To determine whether there was </w:t>
      </w:r>
      <w:r w:rsidR="007C5FD8">
        <w:rPr>
          <w:sz w:val="28"/>
          <w:szCs w:val="28"/>
        </w:rPr>
        <w:t xml:space="preserve">an </w:t>
      </w:r>
      <w:r>
        <w:rPr>
          <w:sz w:val="28"/>
          <w:szCs w:val="28"/>
        </w:rPr>
        <w:t>unlawful labour practice</w:t>
      </w:r>
    </w:p>
    <w:p w:rsidR="004F2DB8" w:rsidRDefault="004F2DB8" w:rsidP="00045F3E">
      <w:pPr>
        <w:pStyle w:val="ListParagraph"/>
        <w:numPr>
          <w:ilvl w:val="0"/>
          <w:numId w:val="5"/>
        </w:numPr>
        <w:spacing w:after="0" w:line="360" w:lineRule="auto"/>
        <w:jc w:val="both"/>
        <w:rPr>
          <w:sz w:val="28"/>
          <w:szCs w:val="28"/>
        </w:rPr>
      </w:pPr>
      <w:r>
        <w:rPr>
          <w:sz w:val="28"/>
          <w:szCs w:val="28"/>
        </w:rPr>
        <w:t>To determine the appropriate remedy.</w:t>
      </w:r>
    </w:p>
    <w:p w:rsidR="004F2DB8" w:rsidRDefault="004F2DB8" w:rsidP="004F2DB8">
      <w:pPr>
        <w:pStyle w:val="ListParagraph"/>
        <w:numPr>
          <w:ilvl w:val="0"/>
          <w:numId w:val="3"/>
        </w:numPr>
        <w:spacing w:after="0" w:line="360" w:lineRule="auto"/>
        <w:jc w:val="both"/>
        <w:rPr>
          <w:sz w:val="28"/>
          <w:szCs w:val="28"/>
        </w:rPr>
      </w:pPr>
      <w:r>
        <w:rPr>
          <w:sz w:val="28"/>
          <w:szCs w:val="28"/>
        </w:rPr>
        <w:t>There is no order as to costs.</w:t>
      </w:r>
    </w:p>
    <w:p w:rsidR="004F2DB8" w:rsidRDefault="004F2DB8" w:rsidP="004F2DB8">
      <w:pPr>
        <w:spacing w:after="0" w:line="360" w:lineRule="auto"/>
        <w:jc w:val="both"/>
        <w:rPr>
          <w:sz w:val="28"/>
          <w:szCs w:val="28"/>
        </w:rPr>
      </w:pPr>
    </w:p>
    <w:p w:rsidR="004F2DB8" w:rsidRDefault="004F2DB8" w:rsidP="004F2DB8">
      <w:pPr>
        <w:spacing w:after="0" w:line="360" w:lineRule="auto"/>
        <w:jc w:val="both"/>
        <w:rPr>
          <w:sz w:val="28"/>
          <w:szCs w:val="28"/>
        </w:rPr>
      </w:pPr>
    </w:p>
    <w:p w:rsidR="004F2DB8" w:rsidRDefault="004F2DB8" w:rsidP="004F2DB8">
      <w:pPr>
        <w:spacing w:after="0" w:line="360" w:lineRule="auto"/>
        <w:jc w:val="both"/>
        <w:rPr>
          <w:b/>
          <w:i/>
          <w:sz w:val="24"/>
          <w:szCs w:val="24"/>
        </w:rPr>
      </w:pPr>
    </w:p>
    <w:p w:rsidR="004F2DB8" w:rsidRDefault="004F2DB8" w:rsidP="004F2DB8">
      <w:pPr>
        <w:spacing w:after="0" w:line="360" w:lineRule="auto"/>
        <w:jc w:val="both"/>
        <w:rPr>
          <w:b/>
          <w:i/>
          <w:sz w:val="24"/>
          <w:szCs w:val="24"/>
        </w:rPr>
      </w:pPr>
      <w:r>
        <w:rPr>
          <w:b/>
          <w:i/>
          <w:sz w:val="24"/>
          <w:szCs w:val="24"/>
        </w:rPr>
        <w:t>Mtetwa &amp; Nyambirai, Applicant’s Legal Practitioners</w:t>
      </w:r>
    </w:p>
    <w:p w:rsidR="004F2DB8" w:rsidRPr="004F2DB8" w:rsidRDefault="004F2DB8" w:rsidP="004F2DB8">
      <w:pPr>
        <w:spacing w:after="0" w:line="360" w:lineRule="auto"/>
        <w:jc w:val="both"/>
        <w:rPr>
          <w:b/>
          <w:i/>
          <w:sz w:val="24"/>
          <w:szCs w:val="24"/>
        </w:rPr>
      </w:pPr>
      <w:r>
        <w:rPr>
          <w:b/>
          <w:i/>
          <w:sz w:val="24"/>
          <w:szCs w:val="24"/>
        </w:rPr>
        <w:t>Dube, Manikai &amp; Hwacha, 1</w:t>
      </w:r>
      <w:r w:rsidRPr="004F2DB8">
        <w:rPr>
          <w:b/>
          <w:i/>
          <w:sz w:val="24"/>
          <w:szCs w:val="24"/>
          <w:vertAlign w:val="superscript"/>
        </w:rPr>
        <w:t>st</w:t>
      </w:r>
      <w:r>
        <w:rPr>
          <w:b/>
          <w:i/>
          <w:sz w:val="24"/>
          <w:szCs w:val="24"/>
        </w:rPr>
        <w:t xml:space="preserve"> Respondent’s Legal Practitioners</w:t>
      </w:r>
    </w:p>
    <w:p w:rsidR="000B3507" w:rsidRPr="00697C9A" w:rsidRDefault="000B3507" w:rsidP="000043C8">
      <w:pPr>
        <w:spacing w:after="0" w:line="360" w:lineRule="auto"/>
        <w:jc w:val="both"/>
        <w:rPr>
          <w:sz w:val="28"/>
          <w:szCs w:val="28"/>
        </w:rPr>
      </w:pPr>
      <w:r>
        <w:rPr>
          <w:sz w:val="28"/>
          <w:szCs w:val="28"/>
        </w:rPr>
        <w:tab/>
      </w:r>
    </w:p>
    <w:p w:rsidR="005015A4" w:rsidRDefault="00FE3BE7" w:rsidP="000043C8">
      <w:pPr>
        <w:spacing w:line="240" w:lineRule="auto"/>
        <w:jc w:val="both"/>
        <w:rPr>
          <w:b/>
          <w:sz w:val="28"/>
          <w:szCs w:val="28"/>
        </w:rPr>
      </w:pPr>
      <w:r>
        <w:rPr>
          <w:b/>
          <w:sz w:val="28"/>
          <w:szCs w:val="28"/>
        </w:rPr>
        <w:tab/>
      </w:r>
    </w:p>
    <w:p w:rsidR="00FE3BE7" w:rsidRPr="006954EC" w:rsidRDefault="00FE3BE7" w:rsidP="006954EC">
      <w:pPr>
        <w:spacing w:line="360" w:lineRule="auto"/>
        <w:jc w:val="both"/>
        <w:rPr>
          <w:b/>
          <w:sz w:val="28"/>
          <w:szCs w:val="28"/>
        </w:rPr>
      </w:pPr>
    </w:p>
    <w:sectPr w:rsidR="00FE3BE7" w:rsidRPr="006954EC" w:rsidSect="00E965D5">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2CDE" w:rsidRDefault="00222CDE" w:rsidP="00E965D5">
      <w:pPr>
        <w:spacing w:after="0" w:line="240" w:lineRule="auto"/>
      </w:pPr>
      <w:r>
        <w:separator/>
      </w:r>
    </w:p>
  </w:endnote>
  <w:endnote w:type="continuationSeparator" w:id="1">
    <w:p w:rsidR="00222CDE" w:rsidRDefault="00222CDE" w:rsidP="00E965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2304383"/>
      <w:docPartObj>
        <w:docPartGallery w:val="Page Numbers (Bottom of Page)"/>
        <w:docPartUnique/>
      </w:docPartObj>
    </w:sdtPr>
    <w:sdtEndPr>
      <w:rPr>
        <w:noProof/>
      </w:rPr>
    </w:sdtEndPr>
    <w:sdtContent>
      <w:p w:rsidR="00045F3E" w:rsidRDefault="005934A1">
        <w:pPr>
          <w:pStyle w:val="Footer"/>
          <w:jc w:val="right"/>
        </w:pPr>
        <w:r>
          <w:fldChar w:fldCharType="begin"/>
        </w:r>
        <w:r w:rsidR="00045F3E">
          <w:instrText xml:space="preserve"> PAGE   \* MERGEFORMAT </w:instrText>
        </w:r>
        <w:r>
          <w:fldChar w:fldCharType="separate"/>
        </w:r>
        <w:r w:rsidR="00EA3600">
          <w:rPr>
            <w:noProof/>
          </w:rPr>
          <w:t>7</w:t>
        </w:r>
        <w:r>
          <w:rPr>
            <w:noProof/>
          </w:rPr>
          <w:fldChar w:fldCharType="end"/>
        </w:r>
      </w:p>
    </w:sdtContent>
  </w:sdt>
  <w:p w:rsidR="00045F3E" w:rsidRDefault="00045F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2CDE" w:rsidRDefault="00222CDE" w:rsidP="00E965D5">
      <w:pPr>
        <w:spacing w:after="0" w:line="240" w:lineRule="auto"/>
      </w:pPr>
      <w:r>
        <w:separator/>
      </w:r>
    </w:p>
  </w:footnote>
  <w:footnote w:type="continuationSeparator" w:id="1">
    <w:p w:rsidR="00222CDE" w:rsidRDefault="00222CDE" w:rsidP="00E965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F3E" w:rsidRDefault="00045F3E" w:rsidP="00E965D5">
    <w:pPr>
      <w:spacing w:line="360" w:lineRule="auto"/>
      <w:ind w:left="5040" w:firstLine="720"/>
      <w:jc w:val="both"/>
      <w:rPr>
        <w:b/>
        <w:sz w:val="28"/>
        <w:szCs w:val="28"/>
      </w:rPr>
    </w:pPr>
    <w:r>
      <w:rPr>
        <w:b/>
        <w:sz w:val="28"/>
        <w:szCs w:val="28"/>
      </w:rPr>
      <w:t>JUDGMENT NO LC/H/</w:t>
    </w:r>
    <w:r w:rsidR="000742BC">
      <w:rPr>
        <w:b/>
        <w:sz w:val="28"/>
        <w:szCs w:val="28"/>
      </w:rPr>
      <w:t>83</w:t>
    </w:r>
    <w:r>
      <w:rPr>
        <w:b/>
        <w:sz w:val="28"/>
        <w:szCs w:val="28"/>
      </w:rPr>
      <w:t>/14</w:t>
    </w:r>
  </w:p>
  <w:p w:rsidR="00045F3E" w:rsidRDefault="00045F3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011C2C"/>
    <w:multiLevelType w:val="hybridMultilevel"/>
    <w:tmpl w:val="80E098F2"/>
    <w:lvl w:ilvl="0" w:tplc="3B14B88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27F14E7"/>
    <w:multiLevelType w:val="hybridMultilevel"/>
    <w:tmpl w:val="F4AAA306"/>
    <w:lvl w:ilvl="0" w:tplc="BAE0C646">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nsid w:val="230B14E4"/>
    <w:multiLevelType w:val="hybridMultilevel"/>
    <w:tmpl w:val="341A5022"/>
    <w:lvl w:ilvl="0" w:tplc="9BCC4D48">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5C137C4B"/>
    <w:multiLevelType w:val="hybridMultilevel"/>
    <w:tmpl w:val="B22E1658"/>
    <w:lvl w:ilvl="0" w:tplc="5D2E040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76277E31"/>
    <w:multiLevelType w:val="hybridMultilevel"/>
    <w:tmpl w:val="791E0954"/>
    <w:lvl w:ilvl="0" w:tplc="F698DE58">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415DF"/>
    <w:rsid w:val="000043C8"/>
    <w:rsid w:val="00045F3E"/>
    <w:rsid w:val="000742BC"/>
    <w:rsid w:val="000B3507"/>
    <w:rsid w:val="001415DF"/>
    <w:rsid w:val="001F1314"/>
    <w:rsid w:val="001F68B6"/>
    <w:rsid w:val="00222CDE"/>
    <w:rsid w:val="002F7775"/>
    <w:rsid w:val="004E7CF9"/>
    <w:rsid w:val="004F2DB8"/>
    <w:rsid w:val="005015A4"/>
    <w:rsid w:val="005934A1"/>
    <w:rsid w:val="00621B29"/>
    <w:rsid w:val="00636B8F"/>
    <w:rsid w:val="00666D79"/>
    <w:rsid w:val="006954EC"/>
    <w:rsid w:val="00697C9A"/>
    <w:rsid w:val="006A2924"/>
    <w:rsid w:val="006D5A3C"/>
    <w:rsid w:val="007222B9"/>
    <w:rsid w:val="007C5FD8"/>
    <w:rsid w:val="00960D37"/>
    <w:rsid w:val="00970D83"/>
    <w:rsid w:val="00996FAC"/>
    <w:rsid w:val="00A808F5"/>
    <w:rsid w:val="00D04758"/>
    <w:rsid w:val="00E965D5"/>
    <w:rsid w:val="00EA3600"/>
    <w:rsid w:val="00EA77FC"/>
    <w:rsid w:val="00EB3E3A"/>
    <w:rsid w:val="00EC1F9F"/>
    <w:rsid w:val="00F70F75"/>
    <w:rsid w:val="00F800CA"/>
    <w:rsid w:val="00FE3BE7"/>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4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65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65D5"/>
  </w:style>
  <w:style w:type="paragraph" w:styleId="Footer">
    <w:name w:val="footer"/>
    <w:basedOn w:val="Normal"/>
    <w:link w:val="FooterChar"/>
    <w:uiPriority w:val="99"/>
    <w:unhideWhenUsed/>
    <w:rsid w:val="00E965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65D5"/>
  </w:style>
  <w:style w:type="paragraph" w:styleId="ListParagraph">
    <w:name w:val="List Paragraph"/>
    <w:basedOn w:val="Normal"/>
    <w:uiPriority w:val="34"/>
    <w:qFormat/>
    <w:rsid w:val="00FE3B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65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65D5"/>
  </w:style>
  <w:style w:type="paragraph" w:styleId="Footer">
    <w:name w:val="footer"/>
    <w:basedOn w:val="Normal"/>
    <w:link w:val="FooterChar"/>
    <w:uiPriority w:val="99"/>
    <w:unhideWhenUsed/>
    <w:rsid w:val="00E965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65D5"/>
  </w:style>
  <w:style w:type="paragraph" w:styleId="ListParagraph">
    <w:name w:val="List Paragraph"/>
    <w:basedOn w:val="Normal"/>
    <w:uiPriority w:val="34"/>
    <w:qFormat/>
    <w:rsid w:val="00FE3BE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1679</Words>
  <Characters>9572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T. DOBA</cp:lastModifiedBy>
  <cp:revision>2</cp:revision>
  <dcterms:created xsi:type="dcterms:W3CDTF">2014-04-30T08:28:00Z</dcterms:created>
  <dcterms:modified xsi:type="dcterms:W3CDTF">2014-04-30T08:28:00Z</dcterms:modified>
</cp:coreProperties>
</file>