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0AAD86" w14:textId="55BA3DA1" w:rsidR="00010ED1" w:rsidRDefault="00010ED1" w:rsidP="003A604C">
      <w:pPr>
        <w:jc w:val="both"/>
      </w:pPr>
      <w:bookmarkStart w:id="0" w:name="_GoBack"/>
      <w:bookmarkEnd w:id="0"/>
      <w:r>
        <w:t>PANGOLIN MINES AND MINERALS (PVT) LTD</w:t>
      </w:r>
    </w:p>
    <w:p w14:paraId="21AE628D" w14:textId="3A077884" w:rsidR="003D3A67" w:rsidRPr="003D3A67" w:rsidRDefault="003D3A67" w:rsidP="003A604C">
      <w:pPr>
        <w:jc w:val="both"/>
      </w:pPr>
      <w:r>
        <w:t>and</w:t>
      </w:r>
    </w:p>
    <w:p w14:paraId="4DAFDFA5" w14:textId="77777777" w:rsidR="00010ED1" w:rsidRDefault="00010ED1" w:rsidP="003A604C">
      <w:pPr>
        <w:jc w:val="both"/>
      </w:pPr>
      <w:r>
        <w:t>SAN MINING SYNDICATE</w:t>
      </w:r>
    </w:p>
    <w:p w14:paraId="6F23A16B" w14:textId="75B52B81" w:rsidR="00010ED1" w:rsidRDefault="00113A28" w:rsidP="003A604C">
      <w:pPr>
        <w:jc w:val="both"/>
      </w:pPr>
      <w:r>
        <w:t>versus</w:t>
      </w:r>
    </w:p>
    <w:p w14:paraId="44F475F7" w14:textId="77777777" w:rsidR="00010ED1" w:rsidRDefault="00010ED1" w:rsidP="003A604C">
      <w:pPr>
        <w:jc w:val="both"/>
      </w:pPr>
      <w:r>
        <w:t>AFROCHINE SMELTING (PVT) LTD</w:t>
      </w:r>
    </w:p>
    <w:p w14:paraId="715E5460" w14:textId="77777777" w:rsidR="00010ED1" w:rsidRPr="00804E6A" w:rsidRDefault="00010ED1" w:rsidP="003A604C">
      <w:pPr>
        <w:jc w:val="both"/>
        <w:rPr>
          <w:sz w:val="8"/>
          <w:szCs w:val="8"/>
        </w:rPr>
      </w:pPr>
    </w:p>
    <w:p w14:paraId="4AD7EA4D" w14:textId="77777777" w:rsidR="00010ED1" w:rsidRDefault="00010ED1" w:rsidP="00010ED1">
      <w:pPr>
        <w:jc w:val="both"/>
      </w:pPr>
    </w:p>
    <w:p w14:paraId="5D1FF547" w14:textId="77777777" w:rsidR="00370810" w:rsidRPr="00EB37C2" w:rsidRDefault="00370810" w:rsidP="00010ED1">
      <w:pPr>
        <w:jc w:val="both"/>
        <w:rPr>
          <w:sz w:val="16"/>
          <w:szCs w:val="16"/>
        </w:rPr>
      </w:pPr>
    </w:p>
    <w:p w14:paraId="50B8489E" w14:textId="77777777" w:rsidR="00010ED1" w:rsidRDefault="00010ED1" w:rsidP="00010ED1">
      <w:pPr>
        <w:jc w:val="both"/>
      </w:pPr>
      <w:r>
        <w:t>HIGH COURT OF ZIMBABWE</w:t>
      </w:r>
    </w:p>
    <w:p w14:paraId="48C6AB7E" w14:textId="77777777" w:rsidR="00010ED1" w:rsidRDefault="00010ED1" w:rsidP="00010ED1">
      <w:pPr>
        <w:jc w:val="both"/>
      </w:pPr>
      <w:r>
        <w:t>CHINAMORA J</w:t>
      </w:r>
    </w:p>
    <w:p w14:paraId="08ADCF4D" w14:textId="52E30284" w:rsidR="00010ED1" w:rsidRDefault="003D3A67" w:rsidP="00D114B2">
      <w:pPr>
        <w:jc w:val="both"/>
      </w:pPr>
      <w:r>
        <w:t xml:space="preserve">HARARE, 28 October 2021 &amp; </w:t>
      </w:r>
      <w:r w:rsidR="00010ED1">
        <w:t>1</w:t>
      </w:r>
      <w:r w:rsidR="001B40C2">
        <w:t>8</w:t>
      </w:r>
      <w:r w:rsidR="00010ED1">
        <w:t xml:space="preserve"> May 2023</w:t>
      </w:r>
    </w:p>
    <w:p w14:paraId="0EF67E3D" w14:textId="77777777" w:rsidR="00010ED1" w:rsidRDefault="00010ED1" w:rsidP="00D114B2">
      <w:pPr>
        <w:jc w:val="both"/>
      </w:pPr>
    </w:p>
    <w:p w14:paraId="43CB73A9" w14:textId="77777777" w:rsidR="00D114B2" w:rsidRDefault="00D114B2" w:rsidP="00D114B2">
      <w:pPr>
        <w:jc w:val="both"/>
        <w:rPr>
          <w:b/>
        </w:rPr>
      </w:pPr>
    </w:p>
    <w:p w14:paraId="2155A5A8" w14:textId="62330062" w:rsidR="00010ED1" w:rsidRPr="009A017B" w:rsidRDefault="00FD6A82" w:rsidP="00010ED1">
      <w:pPr>
        <w:spacing w:line="360" w:lineRule="auto"/>
        <w:jc w:val="both"/>
        <w:rPr>
          <w:b/>
        </w:rPr>
      </w:pPr>
      <w:r>
        <w:rPr>
          <w:b/>
        </w:rPr>
        <w:t>A</w:t>
      </w:r>
      <w:r w:rsidR="00010ED1">
        <w:rPr>
          <w:b/>
        </w:rPr>
        <w:t>pplication</w:t>
      </w:r>
      <w:r>
        <w:rPr>
          <w:b/>
        </w:rPr>
        <w:t xml:space="preserve"> for registration of arbitral award</w:t>
      </w:r>
    </w:p>
    <w:p w14:paraId="503F543E" w14:textId="77777777" w:rsidR="00666BA2" w:rsidRPr="00666BA2" w:rsidRDefault="00666BA2" w:rsidP="00010ED1">
      <w:pPr>
        <w:spacing w:line="360" w:lineRule="auto"/>
        <w:jc w:val="both"/>
        <w:rPr>
          <w:sz w:val="6"/>
          <w:szCs w:val="6"/>
        </w:rPr>
      </w:pPr>
    </w:p>
    <w:p w14:paraId="6F20EBFD" w14:textId="77777777" w:rsidR="00D114B2" w:rsidRDefault="00D114B2" w:rsidP="00010ED1">
      <w:pPr>
        <w:jc w:val="both"/>
      </w:pPr>
    </w:p>
    <w:p w14:paraId="1A79EB28" w14:textId="164E44BF" w:rsidR="00010ED1" w:rsidRDefault="00010ED1" w:rsidP="00010ED1">
      <w:pPr>
        <w:jc w:val="both"/>
      </w:pPr>
      <w:r w:rsidRPr="00FC5C03">
        <w:t>Adv</w:t>
      </w:r>
      <w:r w:rsidR="00C913E9">
        <w:rPr>
          <w:i/>
        </w:rPr>
        <w:t xml:space="preserve"> F Girach</w:t>
      </w:r>
      <w:r>
        <w:rPr>
          <w:i/>
        </w:rPr>
        <w:t xml:space="preserve">, </w:t>
      </w:r>
      <w:r>
        <w:t>for the applicant</w:t>
      </w:r>
    </w:p>
    <w:p w14:paraId="523F2D7B" w14:textId="77777777" w:rsidR="00010ED1" w:rsidRDefault="00010ED1" w:rsidP="00010ED1">
      <w:pPr>
        <w:jc w:val="both"/>
      </w:pPr>
      <w:r w:rsidRPr="00FC5C03">
        <w:t>Adv</w:t>
      </w:r>
      <w:r>
        <w:rPr>
          <w:i/>
        </w:rPr>
        <w:t xml:space="preserve"> T Mpofu with </w:t>
      </w:r>
      <w:r w:rsidRPr="00B17434">
        <w:t xml:space="preserve">Adv </w:t>
      </w:r>
      <w:r>
        <w:rPr>
          <w:i/>
        </w:rPr>
        <w:t xml:space="preserve">T Magwaliba, </w:t>
      </w:r>
      <w:r w:rsidRPr="00AC3AFA">
        <w:rPr>
          <w:iCs/>
        </w:rPr>
        <w:t>for the</w:t>
      </w:r>
      <w:r>
        <w:t xml:space="preserve"> respondents</w:t>
      </w:r>
    </w:p>
    <w:p w14:paraId="2D235EF7" w14:textId="77777777" w:rsidR="00666BA2" w:rsidRPr="00666BA2" w:rsidRDefault="00666BA2" w:rsidP="00010ED1">
      <w:pPr>
        <w:spacing w:line="360" w:lineRule="auto"/>
        <w:jc w:val="both"/>
        <w:rPr>
          <w:sz w:val="16"/>
          <w:szCs w:val="16"/>
        </w:rPr>
      </w:pPr>
    </w:p>
    <w:p w14:paraId="389F2DB1" w14:textId="77777777" w:rsidR="00010ED1" w:rsidRPr="00CC4E51" w:rsidRDefault="00010ED1" w:rsidP="00010ED1">
      <w:pPr>
        <w:spacing w:line="360" w:lineRule="auto"/>
        <w:jc w:val="both"/>
        <w:rPr>
          <w:b/>
          <w:sz w:val="8"/>
          <w:szCs w:val="8"/>
        </w:rPr>
      </w:pPr>
    </w:p>
    <w:p w14:paraId="4DA8AF8C" w14:textId="4CCA05A9" w:rsidR="00010ED1" w:rsidRDefault="002248C5" w:rsidP="002248C5">
      <w:pPr>
        <w:spacing w:line="360" w:lineRule="auto"/>
        <w:ind w:firstLine="720"/>
        <w:jc w:val="both"/>
      </w:pPr>
      <w:r w:rsidRPr="002248C5">
        <w:rPr>
          <w:b/>
        </w:rPr>
        <w:t>CHINAMORA J</w:t>
      </w:r>
      <w:r>
        <w:t xml:space="preserve">:    </w:t>
      </w:r>
      <w:r w:rsidR="00010ED1">
        <w:t>The applicant</w:t>
      </w:r>
      <w:r w:rsidR="00AE4B66">
        <w:t>s</w:t>
      </w:r>
      <w:r w:rsidR="00010ED1">
        <w:t xml:space="preserve"> approached this court seeking to register an arbitral award in terms of Article 35 of the </w:t>
      </w:r>
      <w:r w:rsidR="00CB39C1">
        <w:t xml:space="preserve">Model </w:t>
      </w:r>
      <w:r w:rsidR="00C731A2">
        <w:t xml:space="preserve">Law, which is contained in the </w:t>
      </w:r>
      <w:r w:rsidR="00010ED1">
        <w:t>Arbitration Act [</w:t>
      </w:r>
      <w:r w:rsidR="00010ED1" w:rsidRPr="002248C5">
        <w:rPr>
          <w:i/>
        </w:rPr>
        <w:t>Chapter 7:</w:t>
      </w:r>
      <w:r w:rsidR="00476F6B" w:rsidRPr="002248C5">
        <w:rPr>
          <w:i/>
        </w:rPr>
        <w:t>15</w:t>
      </w:r>
      <w:r w:rsidR="00010ED1">
        <w:t xml:space="preserve">]. The </w:t>
      </w:r>
      <w:r w:rsidR="00C731A2">
        <w:t>application</w:t>
      </w:r>
      <w:r w:rsidR="00010ED1">
        <w:t xml:space="preserve"> was opposed by the respondent. The</w:t>
      </w:r>
      <w:r w:rsidR="00BC5970">
        <w:t xml:space="preserve"> background to this dispute is that: the</w:t>
      </w:r>
      <w:r w:rsidR="00010ED1">
        <w:t xml:space="preserve"> applicants are holders </w:t>
      </w:r>
      <w:r w:rsidR="006B0BE1">
        <w:t xml:space="preserve">of </w:t>
      </w:r>
      <w:r w:rsidR="00010ED1">
        <w:t>mining claim</w:t>
      </w:r>
      <w:r w:rsidR="006B0BE1">
        <w:t>s, known as the Pangolin claims</w:t>
      </w:r>
      <w:r w:rsidR="00010ED1">
        <w:t>. Sometime in 2015</w:t>
      </w:r>
      <w:r w:rsidR="0014298A">
        <w:t>,</w:t>
      </w:r>
      <w:r w:rsidR="00010ED1">
        <w:t xml:space="preserve"> the respondent</w:t>
      </w:r>
      <w:r w:rsidR="00600398">
        <w:t xml:space="preserve"> encroached upon, and</w:t>
      </w:r>
      <w:r w:rsidR="00010ED1">
        <w:t xml:space="preserve"> took some soil </w:t>
      </w:r>
      <w:r w:rsidR="00067D0D">
        <w:t>containing chrome ore</w:t>
      </w:r>
      <w:r w:rsidR="00600398">
        <w:t>.</w:t>
      </w:r>
      <w:r w:rsidR="00067D0D">
        <w:t xml:space="preserve"> </w:t>
      </w:r>
      <w:r w:rsidR="00E7696F">
        <w:t>From</w:t>
      </w:r>
      <w:r w:rsidR="00010ED1">
        <w:t xml:space="preserve"> the</w:t>
      </w:r>
      <w:r w:rsidR="005228FB">
        <w:t>se claims</w:t>
      </w:r>
      <w:r w:rsidR="00010ED1">
        <w:t>. The applicants discovered th</w:t>
      </w:r>
      <w:r w:rsidR="00882E34">
        <w:t>is</w:t>
      </w:r>
      <w:r w:rsidR="0014765A">
        <w:t xml:space="preserve"> and </w:t>
      </w:r>
      <w:r w:rsidR="00010ED1">
        <w:t xml:space="preserve">instituted proceedings under HC 7386/15. </w:t>
      </w:r>
      <w:r w:rsidR="00176528">
        <w:t>O</w:t>
      </w:r>
      <w:r w:rsidR="00882E34">
        <w:t>n 18 January 2018, b</w:t>
      </w:r>
      <w:r w:rsidR="00010ED1">
        <w:t>y consent</w:t>
      </w:r>
      <w:r w:rsidR="00BB1513">
        <w:t>,</w:t>
      </w:r>
      <w:r w:rsidR="00010ED1">
        <w:t xml:space="preserve"> the cour</w:t>
      </w:r>
      <w:r w:rsidR="00B463E5">
        <w:t>t</w:t>
      </w:r>
      <w:r w:rsidR="00010ED1">
        <w:t xml:space="preserve"> </w:t>
      </w:r>
      <w:r w:rsidR="00176528">
        <w:t xml:space="preserve">(per </w:t>
      </w:r>
      <w:r w:rsidR="00176528" w:rsidRPr="002248C5">
        <w:rPr>
          <w:smallCaps/>
        </w:rPr>
        <w:t>CHIGUMBA</w:t>
      </w:r>
      <w:r w:rsidR="00176528">
        <w:t xml:space="preserve"> J) </w:t>
      </w:r>
      <w:r w:rsidR="00B463E5">
        <w:t>referred the matter to arbitration by an order in</w:t>
      </w:r>
      <w:r w:rsidR="00BB1513">
        <w:t xml:space="preserve"> the following </w:t>
      </w:r>
      <w:r w:rsidR="00B463E5">
        <w:t>terms</w:t>
      </w:r>
      <w:r w:rsidR="00010ED1">
        <w:t>:</w:t>
      </w:r>
    </w:p>
    <w:p w14:paraId="5A027CA9" w14:textId="77777777" w:rsidR="00C731A2" w:rsidRPr="00185D3B" w:rsidRDefault="00C731A2" w:rsidP="00010ED1">
      <w:pPr>
        <w:spacing w:line="360" w:lineRule="auto"/>
        <w:ind w:firstLine="720"/>
        <w:jc w:val="both"/>
        <w:rPr>
          <w:sz w:val="12"/>
          <w:szCs w:val="12"/>
        </w:rPr>
      </w:pPr>
    </w:p>
    <w:p w14:paraId="5B637C4D" w14:textId="77777777" w:rsidR="00010ED1" w:rsidRDefault="00010ED1" w:rsidP="00BC5970">
      <w:pPr>
        <w:ind w:left="720"/>
        <w:jc w:val="both"/>
        <w:rPr>
          <w:sz w:val="22"/>
          <w:szCs w:val="22"/>
        </w:rPr>
      </w:pPr>
      <w:r w:rsidRPr="00BC5970">
        <w:rPr>
          <w:sz w:val="22"/>
          <w:szCs w:val="22"/>
        </w:rPr>
        <w:t>“IT IS ORDERED BY CONSENT THAT:</w:t>
      </w:r>
    </w:p>
    <w:p w14:paraId="79F1B8CD" w14:textId="77777777" w:rsidR="00735BC9" w:rsidRPr="00735BC9" w:rsidRDefault="00735BC9" w:rsidP="00BC5970">
      <w:pPr>
        <w:ind w:left="720"/>
        <w:jc w:val="both"/>
        <w:rPr>
          <w:sz w:val="10"/>
          <w:szCs w:val="10"/>
        </w:rPr>
      </w:pPr>
    </w:p>
    <w:p w14:paraId="12A48C23" w14:textId="4608C90E" w:rsidR="00010ED1" w:rsidRPr="00BC5970" w:rsidRDefault="00010ED1" w:rsidP="00BC5970">
      <w:pPr>
        <w:pStyle w:val="ListParagraph"/>
        <w:numPr>
          <w:ilvl w:val="0"/>
          <w:numId w:val="15"/>
        </w:numPr>
        <w:ind w:left="1440"/>
        <w:jc w:val="both"/>
        <w:rPr>
          <w:sz w:val="22"/>
          <w:szCs w:val="22"/>
        </w:rPr>
      </w:pPr>
      <w:r w:rsidRPr="00BC5970">
        <w:rPr>
          <w:sz w:val="22"/>
          <w:szCs w:val="22"/>
        </w:rPr>
        <w:t xml:space="preserve">Defendant admits having removed soil from claims belonging to plaintiffs which soil contained </w:t>
      </w:r>
      <w:r w:rsidR="003730EE">
        <w:rPr>
          <w:sz w:val="22"/>
          <w:szCs w:val="22"/>
        </w:rPr>
        <w:t>c</w:t>
      </w:r>
      <w:r w:rsidRPr="00BC5970">
        <w:rPr>
          <w:sz w:val="22"/>
          <w:szCs w:val="22"/>
        </w:rPr>
        <w:t xml:space="preserve">hrome </w:t>
      </w:r>
      <w:r w:rsidR="003730EE">
        <w:rPr>
          <w:sz w:val="22"/>
          <w:szCs w:val="22"/>
        </w:rPr>
        <w:t>o</w:t>
      </w:r>
      <w:r w:rsidRPr="00BC5970">
        <w:rPr>
          <w:sz w:val="22"/>
          <w:szCs w:val="22"/>
        </w:rPr>
        <w:t>re.</w:t>
      </w:r>
    </w:p>
    <w:p w14:paraId="4DA0DF59" w14:textId="77777777" w:rsidR="00010ED1" w:rsidRPr="00BC5970" w:rsidRDefault="00010ED1" w:rsidP="00BC5970">
      <w:pPr>
        <w:pStyle w:val="ListParagraph"/>
        <w:numPr>
          <w:ilvl w:val="0"/>
          <w:numId w:val="15"/>
        </w:numPr>
        <w:ind w:left="1440"/>
        <w:jc w:val="both"/>
        <w:rPr>
          <w:sz w:val="22"/>
          <w:szCs w:val="22"/>
        </w:rPr>
      </w:pPr>
      <w:r w:rsidRPr="00BC5970">
        <w:rPr>
          <w:sz w:val="22"/>
          <w:szCs w:val="22"/>
        </w:rPr>
        <w:t xml:space="preserve">The dispute between the parties shall proceed by way of arbitration on the terms and conditions set out hereinunder. </w:t>
      </w:r>
    </w:p>
    <w:p w14:paraId="2FA541DC" w14:textId="77777777" w:rsidR="00010ED1" w:rsidRPr="00BC5970" w:rsidRDefault="00010ED1" w:rsidP="00BC5970">
      <w:pPr>
        <w:pStyle w:val="ListParagraph"/>
        <w:numPr>
          <w:ilvl w:val="0"/>
          <w:numId w:val="15"/>
        </w:numPr>
        <w:ind w:left="1440"/>
        <w:jc w:val="both"/>
        <w:rPr>
          <w:sz w:val="22"/>
          <w:szCs w:val="22"/>
        </w:rPr>
      </w:pPr>
      <w:r w:rsidRPr="00BC5970">
        <w:rPr>
          <w:sz w:val="22"/>
          <w:szCs w:val="22"/>
        </w:rPr>
        <w:t>Plaintiffs shall, within seven days of the date hereof, provide defendant with list of the persons to act as potential arbitrators.</w:t>
      </w:r>
    </w:p>
    <w:p w14:paraId="71DC574E" w14:textId="77777777" w:rsidR="00010ED1" w:rsidRPr="00BC5970" w:rsidRDefault="00010ED1" w:rsidP="00BC5970">
      <w:pPr>
        <w:pStyle w:val="ListParagraph"/>
        <w:numPr>
          <w:ilvl w:val="0"/>
          <w:numId w:val="15"/>
        </w:numPr>
        <w:ind w:left="1434" w:hanging="357"/>
        <w:jc w:val="both"/>
        <w:rPr>
          <w:sz w:val="22"/>
          <w:szCs w:val="22"/>
        </w:rPr>
      </w:pPr>
      <w:r w:rsidRPr="00BC5970">
        <w:rPr>
          <w:sz w:val="22"/>
          <w:szCs w:val="22"/>
        </w:rPr>
        <w:t>Defendant shall, within seven days of the date of receiving the names referred to in paragraph 3 hereof, select one of the persons named and advise plaintiffs of the choice made.</w:t>
      </w:r>
    </w:p>
    <w:p w14:paraId="2D0E48FE" w14:textId="77777777" w:rsidR="00010ED1" w:rsidRPr="006A530E" w:rsidRDefault="00010ED1" w:rsidP="006A530E">
      <w:pPr>
        <w:pStyle w:val="ListParagraph"/>
        <w:numPr>
          <w:ilvl w:val="0"/>
          <w:numId w:val="15"/>
        </w:numPr>
        <w:ind w:left="1434" w:hanging="357"/>
        <w:jc w:val="both"/>
        <w:rPr>
          <w:sz w:val="22"/>
          <w:szCs w:val="22"/>
        </w:rPr>
      </w:pPr>
      <w:r w:rsidRPr="006A530E">
        <w:rPr>
          <w:sz w:val="22"/>
          <w:szCs w:val="22"/>
        </w:rPr>
        <w:t>The matter shall then proceed to arbitration before the person so named on the following issues:</w:t>
      </w:r>
    </w:p>
    <w:p w14:paraId="18130348" w14:textId="2903D410" w:rsidR="00010ED1" w:rsidRPr="006A530E" w:rsidRDefault="00010ED1" w:rsidP="006A530E">
      <w:pPr>
        <w:pStyle w:val="ListParagraph"/>
        <w:numPr>
          <w:ilvl w:val="0"/>
          <w:numId w:val="16"/>
        </w:numPr>
        <w:ind w:left="1800" w:hanging="357"/>
        <w:jc w:val="both"/>
        <w:rPr>
          <w:sz w:val="22"/>
          <w:szCs w:val="22"/>
        </w:rPr>
      </w:pPr>
      <w:r w:rsidRPr="006A530E">
        <w:rPr>
          <w:sz w:val="22"/>
          <w:szCs w:val="22"/>
        </w:rPr>
        <w:t>The quantity of soil wrongfully and unlawfully removed by defendant from pl</w:t>
      </w:r>
      <w:r w:rsidR="00F379E6">
        <w:rPr>
          <w:sz w:val="22"/>
          <w:szCs w:val="22"/>
        </w:rPr>
        <w:t>a</w:t>
      </w:r>
      <w:r w:rsidRPr="006A530E">
        <w:rPr>
          <w:sz w:val="22"/>
          <w:szCs w:val="22"/>
        </w:rPr>
        <w:t>intiffs’ c</w:t>
      </w:r>
      <w:r w:rsidR="003F72BA">
        <w:rPr>
          <w:sz w:val="22"/>
          <w:szCs w:val="22"/>
        </w:rPr>
        <w:t>lai</w:t>
      </w:r>
      <w:r w:rsidRPr="006A530E">
        <w:rPr>
          <w:sz w:val="22"/>
          <w:szCs w:val="22"/>
        </w:rPr>
        <w:t>ms.</w:t>
      </w:r>
    </w:p>
    <w:p w14:paraId="2C718DD1" w14:textId="77777777" w:rsidR="00010ED1" w:rsidRPr="006A530E" w:rsidRDefault="00010ED1" w:rsidP="006A530E">
      <w:pPr>
        <w:pStyle w:val="ListParagraph"/>
        <w:numPr>
          <w:ilvl w:val="0"/>
          <w:numId w:val="16"/>
        </w:numPr>
        <w:ind w:left="1800" w:hanging="357"/>
        <w:jc w:val="both"/>
        <w:rPr>
          <w:sz w:val="22"/>
          <w:szCs w:val="22"/>
        </w:rPr>
      </w:pPr>
      <w:r w:rsidRPr="006A530E">
        <w:rPr>
          <w:sz w:val="22"/>
          <w:szCs w:val="22"/>
        </w:rPr>
        <w:lastRenderedPageBreak/>
        <w:t>The damages suffered by plaintiffs in consequence of such wrongful and unlawful removal, being the value of the chrome lost.</w:t>
      </w:r>
    </w:p>
    <w:p w14:paraId="1B5A484B" w14:textId="77777777" w:rsidR="00010ED1" w:rsidRPr="006A530E" w:rsidRDefault="00010ED1" w:rsidP="006A530E">
      <w:pPr>
        <w:pStyle w:val="ListParagraph"/>
        <w:numPr>
          <w:ilvl w:val="0"/>
          <w:numId w:val="15"/>
        </w:numPr>
        <w:ind w:left="1440" w:hanging="357"/>
        <w:jc w:val="both"/>
        <w:rPr>
          <w:sz w:val="22"/>
          <w:szCs w:val="22"/>
        </w:rPr>
      </w:pPr>
      <w:r w:rsidRPr="006A530E">
        <w:rPr>
          <w:sz w:val="22"/>
          <w:szCs w:val="22"/>
        </w:rPr>
        <w:t>Plaintiffs shall prepare and forward to the arbitrator a bundle containing the pleadings in the instant matter together with the bundle of documents prepared by the respective.</w:t>
      </w:r>
    </w:p>
    <w:p w14:paraId="71943604" w14:textId="77777777" w:rsidR="00010ED1" w:rsidRPr="006A530E" w:rsidRDefault="00010ED1" w:rsidP="006A530E">
      <w:pPr>
        <w:pStyle w:val="ListParagraph"/>
        <w:numPr>
          <w:ilvl w:val="0"/>
          <w:numId w:val="15"/>
        </w:numPr>
        <w:ind w:left="1440" w:hanging="357"/>
        <w:jc w:val="both"/>
        <w:rPr>
          <w:sz w:val="22"/>
          <w:szCs w:val="22"/>
        </w:rPr>
      </w:pPr>
      <w:r w:rsidRPr="006A530E">
        <w:rPr>
          <w:sz w:val="22"/>
          <w:szCs w:val="22"/>
        </w:rPr>
        <w:t>The matter shall thereafter proceed in terms of directions as may be issued by the arbitrator.</w:t>
      </w:r>
    </w:p>
    <w:p w14:paraId="5DE93050" w14:textId="77777777" w:rsidR="00010ED1" w:rsidRPr="006A530E" w:rsidRDefault="00010ED1" w:rsidP="006A530E">
      <w:pPr>
        <w:pStyle w:val="ListParagraph"/>
        <w:numPr>
          <w:ilvl w:val="0"/>
          <w:numId w:val="15"/>
        </w:numPr>
        <w:ind w:left="1440" w:hanging="357"/>
        <w:jc w:val="both"/>
        <w:rPr>
          <w:sz w:val="22"/>
          <w:szCs w:val="22"/>
        </w:rPr>
      </w:pPr>
      <w:r w:rsidRPr="006A530E">
        <w:rPr>
          <w:sz w:val="22"/>
          <w:szCs w:val="22"/>
        </w:rPr>
        <w:t>The cost of this matter will be costs in the arbitration.”</w:t>
      </w:r>
    </w:p>
    <w:p w14:paraId="55EF4673" w14:textId="77777777" w:rsidR="00010ED1" w:rsidRDefault="00010ED1" w:rsidP="00010ED1">
      <w:pPr>
        <w:spacing w:line="360" w:lineRule="auto"/>
        <w:jc w:val="both"/>
      </w:pPr>
    </w:p>
    <w:p w14:paraId="48ABC669" w14:textId="26FFAB38" w:rsidR="00F43AF1" w:rsidRDefault="006C40F6" w:rsidP="006D7289">
      <w:pPr>
        <w:spacing w:line="360" w:lineRule="auto"/>
        <w:ind w:firstLine="720"/>
        <w:jc w:val="both"/>
      </w:pPr>
      <w:r>
        <w:t xml:space="preserve">Pursuant to </w:t>
      </w:r>
      <w:r w:rsidR="00010ED1">
        <w:t xml:space="preserve">the </w:t>
      </w:r>
      <w:r w:rsidR="00334249">
        <w:t xml:space="preserve">above </w:t>
      </w:r>
      <w:r w:rsidR="00010ED1">
        <w:t>order, the matter was ref</w:t>
      </w:r>
      <w:r>
        <w:t xml:space="preserve">erred </w:t>
      </w:r>
      <w:r w:rsidR="00AD7E33">
        <w:t xml:space="preserve"> to </w:t>
      </w:r>
      <w:r>
        <w:t>arbitrat</w:t>
      </w:r>
      <w:r w:rsidR="00176528">
        <w:t>ion for quantification, since</w:t>
      </w:r>
      <w:r w:rsidR="00AD7E33">
        <w:t xml:space="preserve"> </w:t>
      </w:r>
      <w:r w:rsidR="00010ED1">
        <w:t xml:space="preserve"> On 6 June 2019, the arbitrator</w:t>
      </w:r>
      <w:r w:rsidR="00176528">
        <w:t xml:space="preserve"> (Dirk Benade)</w:t>
      </w:r>
      <w:r w:rsidR="005863AB">
        <w:t xml:space="preserve"> made</w:t>
      </w:r>
      <w:r w:rsidR="00010ED1">
        <w:t xml:space="preserve"> an award</w:t>
      </w:r>
      <w:r w:rsidR="0015010F">
        <w:t xml:space="preserve"> which required the</w:t>
      </w:r>
      <w:r w:rsidR="00010ED1">
        <w:t xml:space="preserve"> respondent </w:t>
      </w:r>
      <w:r w:rsidR="0015010F">
        <w:t xml:space="preserve">to pay </w:t>
      </w:r>
      <w:r w:rsidR="00010ED1">
        <w:t>the applicants the sum of US</w:t>
      </w:r>
      <w:r w:rsidR="009D68D1">
        <w:t>$</w:t>
      </w:r>
      <w:r w:rsidR="00010ED1">
        <w:t>378</w:t>
      </w:r>
      <w:r w:rsidR="009D68D1">
        <w:t>,</w:t>
      </w:r>
      <w:r w:rsidR="00010ED1">
        <w:t>628</w:t>
      </w:r>
      <w:r w:rsidR="009D68D1">
        <w:t>-</w:t>
      </w:r>
      <w:r w:rsidR="00010ED1">
        <w:t>20 together with interest at the prescribed rate from the date High Court proceedings were instituted.</w:t>
      </w:r>
      <w:r w:rsidR="00F217AD">
        <w:t xml:space="preserve"> </w:t>
      </w:r>
      <w:r w:rsidR="00010ED1">
        <w:t xml:space="preserve">In addition, the respondent was also ordered to pay the costs of </w:t>
      </w:r>
      <w:r w:rsidR="007F23EC">
        <w:t xml:space="preserve">suit in both the </w:t>
      </w:r>
      <w:r w:rsidR="00010ED1">
        <w:t xml:space="preserve">arbitration and High Court </w:t>
      </w:r>
      <w:r w:rsidR="007F23EC">
        <w:t>proceedings</w:t>
      </w:r>
      <w:r w:rsidR="00010ED1">
        <w:t>.</w:t>
      </w:r>
      <w:r w:rsidR="00A11E84">
        <w:t xml:space="preserve"> </w:t>
      </w:r>
      <w:r w:rsidR="00010ED1">
        <w:t xml:space="preserve">On </w:t>
      </w:r>
      <w:r w:rsidR="007F23EC">
        <w:t xml:space="preserve">9 </w:t>
      </w:r>
      <w:r w:rsidR="00010ED1">
        <w:t xml:space="preserve">August 2019, </w:t>
      </w:r>
      <w:r w:rsidR="007F23EC">
        <w:t>the respondent paid the sum of ZW$435,422-43 to the applicants through their lawyers, but the applicants objected to the payment</w:t>
      </w:r>
      <w:r w:rsidR="006E366E">
        <w:t>.</w:t>
      </w:r>
      <w:r w:rsidR="006D7289">
        <w:t xml:space="preserve"> </w:t>
      </w:r>
      <w:r w:rsidR="006E366E" w:rsidRPr="006D7289">
        <w:t>T</w:t>
      </w:r>
      <w:r w:rsidR="00434E83" w:rsidRPr="006D7289">
        <w:t xml:space="preserve">he applicants </w:t>
      </w:r>
      <w:r w:rsidR="006E366E" w:rsidRPr="006D7289">
        <w:t xml:space="preserve">then </w:t>
      </w:r>
      <w:r w:rsidR="00434E83" w:rsidRPr="006D7289">
        <w:t xml:space="preserve">filed the present application </w:t>
      </w:r>
      <w:r w:rsidR="00010ED1" w:rsidRPr="006D7289">
        <w:t>in terms of Article 35 seeking to register the</w:t>
      </w:r>
      <w:r w:rsidR="00434E83" w:rsidRPr="006D7289">
        <w:t xml:space="preserve"> </w:t>
      </w:r>
      <w:r w:rsidR="00010ED1" w:rsidRPr="006D7289">
        <w:t>award. The respondent opposed the application</w:t>
      </w:r>
      <w:r w:rsidR="00B257C1" w:rsidRPr="006D7289">
        <w:t>,</w:t>
      </w:r>
      <w:r w:rsidR="00010ED1" w:rsidRPr="006D7289">
        <w:t xml:space="preserve"> </w:t>
      </w:r>
      <w:r w:rsidR="00B257C1" w:rsidRPr="006D7289">
        <w:t xml:space="preserve">and </w:t>
      </w:r>
      <w:r w:rsidR="004478D8">
        <w:t>maintained that a judicially established liability as at 18 January 2018</w:t>
      </w:r>
      <w:r w:rsidR="00CE1FAA">
        <w:t xml:space="preserve">, </w:t>
      </w:r>
      <w:r w:rsidR="004F231A">
        <w:t>which was expressed in United States dollars</w:t>
      </w:r>
      <w:r w:rsidR="00CF406F">
        <w:t xml:space="preserve">, </w:t>
      </w:r>
      <w:r w:rsidR="00AD7E33">
        <w:t xml:space="preserve">was made by </w:t>
      </w:r>
      <w:r w:rsidR="00CF406F">
        <w:t xml:space="preserve">the payment of </w:t>
      </w:r>
      <w:r w:rsidR="00CF406F" w:rsidRPr="006D7289">
        <w:t>ZW$435,422-4</w:t>
      </w:r>
      <w:r w:rsidR="00CF406F">
        <w:t>3 (</w:t>
      </w:r>
      <w:r w:rsidR="00CF406F" w:rsidRPr="006D7289">
        <w:t>comprising the principal amount and interest</w:t>
      </w:r>
      <w:r w:rsidR="00CF406F">
        <w:t>)</w:t>
      </w:r>
      <w:r w:rsidR="00D24D60" w:rsidRPr="006D7289">
        <w:t>. Its argument continued that</w:t>
      </w:r>
      <w:r w:rsidR="00010ED1" w:rsidRPr="006D7289">
        <w:t xml:space="preserve"> </w:t>
      </w:r>
      <w:r w:rsidR="00D24D60" w:rsidRPr="006D7289">
        <w:t xml:space="preserve">it </w:t>
      </w:r>
      <w:r w:rsidR="00010ED1" w:rsidRPr="006D7289">
        <w:t>was oblig</w:t>
      </w:r>
      <w:r w:rsidR="00D37842">
        <w:t xml:space="preserve">ed by section 22 </w:t>
      </w:r>
      <w:r w:rsidR="00E65670">
        <w:t xml:space="preserve">(1) (d) </w:t>
      </w:r>
      <w:r w:rsidR="00D37842">
        <w:t>of the Finance (No.2) Act of 2009</w:t>
      </w:r>
      <w:r w:rsidR="00010ED1" w:rsidRPr="006D7289">
        <w:t xml:space="preserve"> to discharge the </w:t>
      </w:r>
      <w:r w:rsidR="00D37842">
        <w:t xml:space="preserve">said </w:t>
      </w:r>
      <w:r w:rsidR="00973A1A" w:rsidRPr="006D7289">
        <w:t xml:space="preserve">liability </w:t>
      </w:r>
      <w:r w:rsidR="00010ED1" w:rsidRPr="006D7289">
        <w:t xml:space="preserve">at the rate of </w:t>
      </w:r>
      <w:r w:rsidR="001713E1" w:rsidRPr="006D7289">
        <w:t>one</w:t>
      </w:r>
      <w:r w:rsidR="00010ED1" w:rsidRPr="006D7289">
        <w:t xml:space="preserve"> RTGS Dollar to </w:t>
      </w:r>
      <w:r w:rsidR="001713E1" w:rsidRPr="006D7289">
        <w:t>one</w:t>
      </w:r>
      <w:r w:rsidR="00010ED1" w:rsidRPr="006D7289">
        <w:t xml:space="preserve"> United States Dollar</w:t>
      </w:r>
      <w:r w:rsidR="00D37842">
        <w:t>. I will</w:t>
      </w:r>
      <w:r w:rsidR="00F731E6" w:rsidRPr="006D7289">
        <w:t xml:space="preserve"> hereinafter </w:t>
      </w:r>
      <w:r w:rsidR="00D37842">
        <w:t>refer to this conversion as</w:t>
      </w:r>
      <w:r w:rsidR="00F731E6" w:rsidRPr="006D7289">
        <w:t xml:space="preserve"> </w:t>
      </w:r>
      <w:r w:rsidR="00700A24" w:rsidRPr="006D7289">
        <w:t>“the one</w:t>
      </w:r>
      <w:r w:rsidR="009A5C43" w:rsidRPr="006D7289">
        <w:t>-</w:t>
      </w:r>
      <w:r w:rsidR="00700A24" w:rsidRPr="006D7289">
        <w:t>to</w:t>
      </w:r>
      <w:r w:rsidR="009A5C43" w:rsidRPr="006D7289">
        <w:t>-</w:t>
      </w:r>
      <w:r w:rsidR="00700A24" w:rsidRPr="006D7289">
        <w:t>one conversion”</w:t>
      </w:r>
      <w:r w:rsidR="00010ED1" w:rsidRPr="006D7289">
        <w:t>.</w:t>
      </w:r>
      <w:r w:rsidR="00F43AF1">
        <w:t xml:space="preserve"> Let me </w:t>
      </w:r>
      <w:r w:rsidR="002E7C08">
        <w:t xml:space="preserve">make it clear </w:t>
      </w:r>
      <w:r w:rsidR="00F43AF1">
        <w:t xml:space="preserve">that section 22 </w:t>
      </w:r>
      <w:r w:rsidR="001323F6">
        <w:t xml:space="preserve">(1) (d), aforesaid, </w:t>
      </w:r>
      <w:r w:rsidR="00F43AF1">
        <w:t xml:space="preserve">provides </w:t>
      </w:r>
      <w:r w:rsidR="002E7C08">
        <w:t>as follows</w:t>
      </w:r>
      <w:r w:rsidR="00F43AF1">
        <w:t>:</w:t>
      </w:r>
    </w:p>
    <w:p w14:paraId="32B17069" w14:textId="77777777" w:rsidR="00E65670" w:rsidRPr="001323F6" w:rsidRDefault="00E65670" w:rsidP="001323F6">
      <w:pPr>
        <w:ind w:firstLine="720"/>
        <w:jc w:val="both"/>
        <w:rPr>
          <w:sz w:val="22"/>
          <w:szCs w:val="22"/>
        </w:rPr>
      </w:pPr>
    </w:p>
    <w:p w14:paraId="4B076001" w14:textId="5F22330C" w:rsidR="00F43AF1" w:rsidRDefault="001323F6" w:rsidP="00E65EAE">
      <w:pPr>
        <w:spacing w:after="120"/>
        <w:ind w:left="720"/>
        <w:jc w:val="both"/>
        <w:rPr>
          <w:sz w:val="22"/>
          <w:szCs w:val="22"/>
        </w:rPr>
      </w:pPr>
      <w:r w:rsidRPr="001323F6">
        <w:rPr>
          <w:sz w:val="22"/>
          <w:szCs w:val="22"/>
        </w:rPr>
        <w:t>“</w:t>
      </w:r>
      <w:r w:rsidR="00EC0BD5">
        <w:rPr>
          <w:sz w:val="22"/>
          <w:szCs w:val="22"/>
        </w:rPr>
        <w:t xml:space="preserve">… </w:t>
      </w:r>
      <w:r w:rsidRPr="001323F6">
        <w:rPr>
          <w:sz w:val="22"/>
          <w:szCs w:val="22"/>
        </w:rPr>
        <w:t>for accounting and other purposes, all assets and liabilities that were, immediately before the effective date, valued and expressed in United States dollars (other than assets and liabilities referred to in section 44C (2) of the principal Act) shall on and after the effective date be deemed to be values in RTGS dollars at a rate of one-to-one to the United States Dollar”.</w:t>
      </w:r>
    </w:p>
    <w:p w14:paraId="5A7E02EC" w14:textId="77777777" w:rsidR="001323F6" w:rsidRPr="001323F6" w:rsidRDefault="001323F6" w:rsidP="001323F6">
      <w:pPr>
        <w:ind w:left="720"/>
        <w:jc w:val="both"/>
        <w:rPr>
          <w:sz w:val="22"/>
          <w:szCs w:val="22"/>
        </w:rPr>
      </w:pPr>
    </w:p>
    <w:p w14:paraId="188F2E10" w14:textId="48131549" w:rsidR="006D7289" w:rsidRPr="006D7289" w:rsidRDefault="00010ED1" w:rsidP="006D7289">
      <w:pPr>
        <w:spacing w:line="360" w:lineRule="auto"/>
        <w:ind w:firstLine="720"/>
        <w:jc w:val="both"/>
      </w:pPr>
      <w:r w:rsidRPr="006D7289">
        <w:t xml:space="preserve"> </w:t>
      </w:r>
      <w:r w:rsidR="00111321" w:rsidRPr="006D7289">
        <w:t xml:space="preserve">It was submitted for the </w:t>
      </w:r>
      <w:r w:rsidR="00D60E5B">
        <w:t xml:space="preserve">respondent </w:t>
      </w:r>
      <w:r w:rsidR="00111321" w:rsidRPr="006D7289">
        <w:t>that</w:t>
      </w:r>
      <w:r w:rsidR="00D60E5B">
        <w:t xml:space="preserve"> its liability in United States currency having been determined on 18 January 2018 by the order by consent of </w:t>
      </w:r>
      <w:r w:rsidR="00A96FA8" w:rsidRPr="00A96FA8">
        <w:rPr>
          <w:smallCaps/>
        </w:rPr>
        <w:t>chigumba</w:t>
      </w:r>
      <w:r w:rsidR="00A96FA8">
        <w:t xml:space="preserve"> </w:t>
      </w:r>
      <w:r w:rsidR="00D60E5B">
        <w:t>J, payment was duly made at the one-to-one conversion. Thus, the respondent agued that</w:t>
      </w:r>
      <w:r w:rsidR="00111321" w:rsidRPr="006D7289">
        <w:t xml:space="preserve"> the registration of the award so that payment could be enforced was contrary to public policy given the circumstances of this case.</w:t>
      </w:r>
      <w:r w:rsidR="004F6961" w:rsidRPr="006D7289">
        <w:t xml:space="preserve"> </w:t>
      </w:r>
      <w:r w:rsidR="005A098C" w:rsidRPr="006D7289">
        <w:rPr>
          <w:lang w:val="en-ZW"/>
        </w:rPr>
        <w:t xml:space="preserve">Reliance was placed on the decision in </w:t>
      </w:r>
      <w:r w:rsidR="005A098C" w:rsidRPr="006D7289">
        <w:rPr>
          <w:i/>
          <w:iCs/>
          <w:lang w:val="en-ZW"/>
        </w:rPr>
        <w:t xml:space="preserve">Mandiringa &amp; Ors </w:t>
      </w:r>
      <w:r w:rsidR="005A098C" w:rsidRPr="00A96FA8">
        <w:rPr>
          <w:iCs/>
          <w:lang w:val="en-ZW"/>
        </w:rPr>
        <w:t>v</w:t>
      </w:r>
      <w:r w:rsidR="005A098C" w:rsidRPr="006D7289">
        <w:rPr>
          <w:i/>
          <w:iCs/>
          <w:lang w:val="en-ZW"/>
        </w:rPr>
        <w:t xml:space="preserve"> </w:t>
      </w:r>
      <w:r w:rsidR="003C4CAF" w:rsidRPr="006D7289">
        <w:rPr>
          <w:i/>
          <w:iCs/>
          <w:lang w:val="en-ZW"/>
        </w:rPr>
        <w:t>NSSA</w:t>
      </w:r>
      <w:r w:rsidR="003C4CAF" w:rsidRPr="006D7289">
        <w:rPr>
          <w:lang w:val="en-ZW"/>
        </w:rPr>
        <w:t xml:space="preserve"> 2005 (2) ZLR 329 (H)</w:t>
      </w:r>
      <w:r w:rsidR="00C801CC" w:rsidRPr="006D7289">
        <w:rPr>
          <w:lang w:val="en-ZW"/>
        </w:rPr>
        <w:t xml:space="preserve">, </w:t>
      </w:r>
      <w:r w:rsidR="00F4379E" w:rsidRPr="006D7289">
        <w:rPr>
          <w:lang w:val="en-ZW"/>
        </w:rPr>
        <w:t>which confirmed that an arbitral award is binding and enforceable once registered with th</w:t>
      </w:r>
      <w:r w:rsidR="006D7289">
        <w:rPr>
          <w:lang w:val="en-ZW"/>
        </w:rPr>
        <w:t>is court</w:t>
      </w:r>
      <w:r w:rsidR="00F4379E" w:rsidRPr="006D7289">
        <w:rPr>
          <w:lang w:val="en-ZW"/>
        </w:rPr>
        <w:t>.</w:t>
      </w:r>
      <w:r w:rsidR="00A04594" w:rsidRPr="006D7289">
        <w:rPr>
          <w:lang w:val="en-ZW"/>
        </w:rPr>
        <w:t xml:space="preserve"> Because of this, the respondent contended that it is contrary to public policy to register a</w:t>
      </w:r>
      <w:r w:rsidR="00EC650C">
        <w:rPr>
          <w:lang w:val="en-ZW"/>
        </w:rPr>
        <w:t>n award which has been fully</w:t>
      </w:r>
      <w:r w:rsidR="00A04594" w:rsidRPr="006D7289">
        <w:rPr>
          <w:lang w:val="en-ZW"/>
        </w:rPr>
        <w:t xml:space="preserve"> satisfied.</w:t>
      </w:r>
      <w:r w:rsidR="006D7289" w:rsidRPr="006D7289">
        <w:rPr>
          <w:lang w:val="en-ZW"/>
        </w:rPr>
        <w:t xml:space="preserve"> There is merit in this argument if we consider that</w:t>
      </w:r>
      <w:r w:rsidR="008C76C1">
        <w:rPr>
          <w:lang w:val="en-ZW"/>
        </w:rPr>
        <w:t xml:space="preserve"> in</w:t>
      </w:r>
      <w:r w:rsidR="006D7289" w:rsidRPr="006D7289">
        <w:rPr>
          <w:lang w:val="en-ZW"/>
        </w:rPr>
        <w:t xml:space="preserve"> </w:t>
      </w:r>
      <w:r w:rsidR="006D7289" w:rsidRPr="006D7289">
        <w:rPr>
          <w:color w:val="212529"/>
        </w:rPr>
        <w:t xml:space="preserve">the case </w:t>
      </w:r>
      <w:r w:rsidR="006D7289" w:rsidRPr="006D7289">
        <w:rPr>
          <w:color w:val="212529"/>
        </w:rPr>
        <w:lastRenderedPageBreak/>
        <w:t>of </w:t>
      </w:r>
      <w:r w:rsidR="006D7289" w:rsidRPr="006D7289">
        <w:rPr>
          <w:i/>
          <w:iCs/>
          <w:color w:val="212529"/>
        </w:rPr>
        <w:t>Telone (Pvt) Ltd</w:t>
      </w:r>
      <w:r w:rsidR="006D7289" w:rsidRPr="006D7289">
        <w:rPr>
          <w:color w:val="212529"/>
        </w:rPr>
        <w:t> v </w:t>
      </w:r>
      <w:r w:rsidR="006D7289" w:rsidRPr="006D7289">
        <w:rPr>
          <w:i/>
          <w:iCs/>
          <w:color w:val="212529"/>
        </w:rPr>
        <w:t>Communication and Allied Services Workers Union of Zimbabwe </w:t>
      </w:r>
      <w:r w:rsidR="006D7289" w:rsidRPr="006D7289">
        <w:rPr>
          <w:color w:val="212529"/>
        </w:rPr>
        <w:t>2007 (2) ZLR 262 H</w:t>
      </w:r>
      <w:r w:rsidR="00CA7035">
        <w:rPr>
          <w:color w:val="212529"/>
        </w:rPr>
        <w:t>, this court gave the following guidance</w:t>
      </w:r>
      <w:r w:rsidR="006D7289" w:rsidRPr="006D7289">
        <w:rPr>
          <w:color w:val="212529"/>
        </w:rPr>
        <w:t>:</w:t>
      </w:r>
    </w:p>
    <w:p w14:paraId="5A45E51F" w14:textId="77777777" w:rsidR="006D7289" w:rsidRPr="00CA7035" w:rsidRDefault="006D7289" w:rsidP="006D7289">
      <w:pPr>
        <w:pStyle w:val="NormalWeb"/>
        <w:shd w:val="clear" w:color="auto" w:fill="FFFFFF"/>
        <w:spacing w:before="0" w:beforeAutospacing="0" w:after="0" w:afterAutospacing="0"/>
        <w:rPr>
          <w:color w:val="212529"/>
          <w:sz w:val="22"/>
          <w:szCs w:val="22"/>
        </w:rPr>
      </w:pPr>
    </w:p>
    <w:p w14:paraId="47E6D595" w14:textId="17AF0947" w:rsidR="006D7289" w:rsidRPr="00CA7035" w:rsidRDefault="006D7289" w:rsidP="006D7289">
      <w:pPr>
        <w:pStyle w:val="NormalWeb"/>
        <w:shd w:val="clear" w:color="auto" w:fill="FFFFFF"/>
        <w:spacing w:before="0" w:beforeAutospacing="0" w:after="0" w:afterAutospacing="0"/>
        <w:ind w:left="720"/>
        <w:rPr>
          <w:color w:val="212529"/>
          <w:sz w:val="22"/>
          <w:szCs w:val="22"/>
        </w:rPr>
      </w:pPr>
      <w:r w:rsidRPr="00CA7035">
        <w:rPr>
          <w:color w:val="212529"/>
          <w:sz w:val="22"/>
          <w:szCs w:val="22"/>
        </w:rPr>
        <w:t>“In assessing the award, it is inevitable that one has to consider the substantive effect of the award and determine whether or not it is contrary to public policy in its effect</w:t>
      </w:r>
      <w:r w:rsidR="00CA7035">
        <w:rPr>
          <w:color w:val="212529"/>
          <w:sz w:val="22"/>
          <w:szCs w:val="22"/>
        </w:rPr>
        <w:t>”.</w:t>
      </w:r>
    </w:p>
    <w:p w14:paraId="7EDB4BA8" w14:textId="7D9C90B0" w:rsidR="004D1081" w:rsidRPr="005A098C" w:rsidRDefault="004D1081" w:rsidP="00A04594">
      <w:pPr>
        <w:spacing w:line="360" w:lineRule="auto"/>
        <w:ind w:firstLine="720"/>
        <w:jc w:val="both"/>
        <w:rPr>
          <w:lang w:val="en-ZW"/>
        </w:rPr>
      </w:pPr>
    </w:p>
    <w:p w14:paraId="04723C71" w14:textId="42986D61" w:rsidR="00954029" w:rsidRDefault="006E365F" w:rsidP="006E365F">
      <w:pPr>
        <w:spacing w:line="360" w:lineRule="auto"/>
        <w:jc w:val="both"/>
        <w:rPr>
          <w:rFonts w:ascii="Andalus" w:hAnsi="Andalus" w:cs="Andalus"/>
          <w:bCs/>
        </w:rPr>
      </w:pPr>
      <w:r>
        <w:t>At any rate, another way of looking at it is that, registration of an award where the amount has been p</w:t>
      </w:r>
      <w:r w:rsidR="005777ED">
        <w:t>aid smirks</w:t>
      </w:r>
      <w:r>
        <w:t xml:space="preserve"> of a failure to apply one’s mind to the facts</w:t>
      </w:r>
      <w:r w:rsidR="00954029">
        <w:t>, namely, that the amount has been settled.</w:t>
      </w:r>
      <w:r>
        <w:t xml:space="preserve"> That in itself constitutes a ground for setting aside an </w:t>
      </w:r>
      <w:r w:rsidR="00916390">
        <w:t xml:space="preserve">arbitral award for being contrary to public policy. </w:t>
      </w:r>
      <w:r w:rsidR="00C52238">
        <w:t xml:space="preserve">This conclusion finds support in </w:t>
      </w:r>
      <w:r w:rsidR="00916390" w:rsidRPr="00916390">
        <w:rPr>
          <w:rFonts w:ascii="Andalus" w:hAnsi="Andalus" w:cs="Andalus"/>
          <w:bCs/>
          <w:i/>
          <w:iCs/>
        </w:rPr>
        <w:t>ZESA</w:t>
      </w:r>
      <w:r w:rsidR="00916390" w:rsidRPr="00A96FA8">
        <w:rPr>
          <w:rFonts w:ascii="Andalus" w:hAnsi="Andalus" w:cs="Andalus"/>
          <w:bCs/>
          <w:iCs/>
        </w:rPr>
        <w:t xml:space="preserve"> v</w:t>
      </w:r>
      <w:r w:rsidR="00916390" w:rsidRPr="00916390">
        <w:rPr>
          <w:rFonts w:ascii="Andalus" w:hAnsi="Andalus" w:cs="Andalus"/>
          <w:bCs/>
          <w:i/>
          <w:iCs/>
        </w:rPr>
        <w:t xml:space="preserve"> Maphosa</w:t>
      </w:r>
      <w:r w:rsidR="00916390" w:rsidRPr="00916390">
        <w:rPr>
          <w:rFonts w:ascii="Andalus" w:hAnsi="Andalus" w:cs="Andalus"/>
          <w:bCs/>
        </w:rPr>
        <w:t xml:space="preserve"> 1999 (2) ZLR 452</w:t>
      </w:r>
      <w:r w:rsidR="00474E92">
        <w:rPr>
          <w:rFonts w:ascii="Andalus" w:hAnsi="Andalus" w:cs="Andalus"/>
          <w:bCs/>
        </w:rPr>
        <w:t xml:space="preserve"> (S)</w:t>
      </w:r>
      <w:r w:rsidR="00F63E0F">
        <w:rPr>
          <w:rFonts w:ascii="Andalus" w:hAnsi="Andalus" w:cs="Andalus"/>
          <w:bCs/>
        </w:rPr>
        <w:t xml:space="preserve"> at 467E-G</w:t>
      </w:r>
      <w:r w:rsidR="00DF10DC">
        <w:rPr>
          <w:rFonts w:ascii="Andalus" w:hAnsi="Andalus" w:cs="Andalus"/>
          <w:bCs/>
        </w:rPr>
        <w:t xml:space="preserve">, where </w:t>
      </w:r>
      <w:r w:rsidR="00A96FA8" w:rsidRPr="00A96FA8">
        <w:rPr>
          <w:rFonts w:ascii="Andalus" w:hAnsi="Andalus" w:cs="Andalus"/>
          <w:bCs/>
          <w:smallCaps/>
        </w:rPr>
        <w:t>chidyausiku</w:t>
      </w:r>
      <w:r w:rsidR="00A96FA8">
        <w:rPr>
          <w:rFonts w:ascii="Andalus" w:hAnsi="Andalus" w:cs="Andalus"/>
          <w:bCs/>
        </w:rPr>
        <w:t xml:space="preserve"> </w:t>
      </w:r>
      <w:r w:rsidR="00DF10DC">
        <w:rPr>
          <w:rFonts w:ascii="Andalus" w:hAnsi="Andalus" w:cs="Andalus"/>
          <w:bCs/>
        </w:rPr>
        <w:t xml:space="preserve">CJ </w:t>
      </w:r>
      <w:r w:rsidR="00F63E0F">
        <w:rPr>
          <w:rFonts w:ascii="Andalus" w:hAnsi="Andalus" w:cs="Andalus"/>
          <w:bCs/>
        </w:rPr>
        <w:t xml:space="preserve">explained the </w:t>
      </w:r>
      <w:r w:rsidR="0065779D">
        <w:rPr>
          <w:rFonts w:ascii="Andalus" w:hAnsi="Andalus" w:cs="Andalus"/>
          <w:bCs/>
        </w:rPr>
        <w:t>law</w:t>
      </w:r>
      <w:r w:rsidR="00F63E0F">
        <w:rPr>
          <w:rFonts w:ascii="Andalus" w:hAnsi="Andalus" w:cs="Andalus"/>
          <w:bCs/>
        </w:rPr>
        <w:t xml:space="preserve"> </w:t>
      </w:r>
      <w:r w:rsidR="00DF10DC">
        <w:rPr>
          <w:rFonts w:ascii="Andalus" w:hAnsi="Andalus" w:cs="Andalus"/>
          <w:bCs/>
        </w:rPr>
        <w:t>as follows:</w:t>
      </w:r>
      <w:r w:rsidR="00916390" w:rsidRPr="00916390">
        <w:rPr>
          <w:rFonts w:ascii="Andalus" w:hAnsi="Andalus" w:cs="Andalus"/>
          <w:bCs/>
        </w:rPr>
        <w:t xml:space="preserve"> </w:t>
      </w:r>
    </w:p>
    <w:p w14:paraId="413FF99A" w14:textId="77777777" w:rsidR="00DF10DC" w:rsidRPr="00DF10DC" w:rsidRDefault="00DF10DC" w:rsidP="006E365F">
      <w:pPr>
        <w:spacing w:line="360" w:lineRule="auto"/>
        <w:jc w:val="both"/>
        <w:rPr>
          <w:rFonts w:ascii="Andalus" w:hAnsi="Andalus" w:cs="Andalus"/>
          <w:bCs/>
          <w:sz w:val="14"/>
          <w:szCs w:val="14"/>
        </w:rPr>
      </w:pPr>
    </w:p>
    <w:p w14:paraId="0A2D826B" w14:textId="5C0CF0E3" w:rsidR="00DF10DC" w:rsidRPr="00DF10DC" w:rsidRDefault="00DF10DC" w:rsidP="00DF10DC">
      <w:pPr>
        <w:ind w:left="720"/>
        <w:jc w:val="both"/>
        <w:rPr>
          <w:rFonts w:ascii="Andalus" w:hAnsi="Andalus" w:cs="Andalus"/>
          <w:bCs/>
          <w:sz w:val="22"/>
          <w:szCs w:val="22"/>
        </w:rPr>
      </w:pPr>
      <w:r w:rsidRPr="00DF10DC">
        <w:rPr>
          <w:rFonts w:ascii="Andalus" w:hAnsi="Andalus" w:cs="Andalus"/>
          <w:bCs/>
          <w:sz w:val="22"/>
          <w:szCs w:val="22"/>
        </w:rPr>
        <w:t>“</w:t>
      </w:r>
      <w:r w:rsidRPr="00DF10DC">
        <w:rPr>
          <w:sz w:val="22"/>
          <w:szCs w:val="22"/>
        </w:rPr>
        <w:t xml:space="preserve">Where, however, the reasoning or conclusion in an award goes beyond mere faultiness or incorrectness and constitutes a palpable inequity that is so far reaching and outrageous in its defiance of logic or acceptable </w:t>
      </w:r>
      <w:r w:rsidRPr="00DF10DC">
        <w:rPr>
          <w:i/>
          <w:sz w:val="22"/>
          <w:szCs w:val="22"/>
        </w:rPr>
        <w:t xml:space="preserve">moral </w:t>
      </w:r>
      <w:r w:rsidRPr="00DF10DC">
        <w:rPr>
          <w:sz w:val="22"/>
          <w:szCs w:val="22"/>
        </w:rPr>
        <w:t>standards that</w:t>
      </w:r>
      <w:r w:rsidR="0066460F">
        <w:rPr>
          <w:sz w:val="22"/>
          <w:szCs w:val="22"/>
        </w:rPr>
        <w:t xml:space="preserve"> </w:t>
      </w:r>
      <w:r w:rsidRPr="00DF10DC">
        <w:rPr>
          <w:sz w:val="22"/>
          <w:szCs w:val="22"/>
        </w:rPr>
        <w:t>a sensible and fair</w:t>
      </w:r>
      <w:r w:rsidR="0065779D">
        <w:rPr>
          <w:sz w:val="22"/>
          <w:szCs w:val="22"/>
        </w:rPr>
        <w:t>-</w:t>
      </w:r>
      <w:r w:rsidRPr="00DF10DC">
        <w:rPr>
          <w:sz w:val="22"/>
          <w:szCs w:val="22"/>
        </w:rPr>
        <w:t>minded person would   consider that the conception of justice in Zimbabwe would be intolerably hurt by the award, then</w:t>
      </w:r>
      <w:r w:rsidR="0065779D">
        <w:rPr>
          <w:sz w:val="22"/>
          <w:szCs w:val="22"/>
        </w:rPr>
        <w:t xml:space="preserve"> </w:t>
      </w:r>
      <w:r w:rsidRPr="00DF10DC">
        <w:rPr>
          <w:sz w:val="22"/>
          <w:szCs w:val="22"/>
        </w:rPr>
        <w:t>it would be</w:t>
      </w:r>
      <w:r w:rsidR="0065779D">
        <w:rPr>
          <w:sz w:val="22"/>
          <w:szCs w:val="22"/>
        </w:rPr>
        <w:t xml:space="preserve"> </w:t>
      </w:r>
      <w:r w:rsidRPr="00DF10DC">
        <w:rPr>
          <w:sz w:val="22"/>
          <w:szCs w:val="22"/>
        </w:rPr>
        <w:t>contrary to</w:t>
      </w:r>
      <w:r w:rsidR="0065779D">
        <w:rPr>
          <w:sz w:val="22"/>
          <w:szCs w:val="22"/>
        </w:rPr>
        <w:t xml:space="preserve"> </w:t>
      </w:r>
      <w:r w:rsidRPr="00DF10DC">
        <w:rPr>
          <w:sz w:val="22"/>
          <w:szCs w:val="22"/>
        </w:rPr>
        <w:t>public policy to uphold it.</w:t>
      </w:r>
      <w:r w:rsidR="0065779D">
        <w:rPr>
          <w:sz w:val="22"/>
          <w:szCs w:val="22"/>
        </w:rPr>
        <w:t xml:space="preserve"> </w:t>
      </w:r>
      <w:r w:rsidRPr="00A73F5B">
        <w:rPr>
          <w:sz w:val="22"/>
          <w:szCs w:val="22"/>
          <w:u w:val="single"/>
        </w:rPr>
        <w:t>The same consequence applies where</w:t>
      </w:r>
      <w:r w:rsidR="0065779D" w:rsidRPr="00A73F5B">
        <w:rPr>
          <w:sz w:val="22"/>
          <w:szCs w:val="22"/>
          <w:u w:val="single"/>
        </w:rPr>
        <w:t xml:space="preserve"> </w:t>
      </w:r>
      <w:r w:rsidRPr="00A73F5B">
        <w:rPr>
          <w:sz w:val="22"/>
          <w:szCs w:val="22"/>
          <w:u w:val="single"/>
        </w:rPr>
        <w:t>the arbitrator has not applied his mind to the question or has totally</w:t>
      </w:r>
      <w:r w:rsidR="003039D9" w:rsidRPr="00A73F5B">
        <w:rPr>
          <w:sz w:val="22"/>
          <w:szCs w:val="22"/>
          <w:u w:val="single"/>
        </w:rPr>
        <w:t xml:space="preserve"> </w:t>
      </w:r>
      <w:r w:rsidRPr="00A73F5B">
        <w:rPr>
          <w:sz w:val="22"/>
          <w:szCs w:val="22"/>
          <w:u w:val="single"/>
        </w:rPr>
        <w:t>misunderstood the issue, and the resultant injustice reaches the point mentioned above.</w:t>
      </w:r>
      <w:r w:rsidRPr="00A73F5B">
        <w:rPr>
          <w:sz w:val="22"/>
          <w:szCs w:val="22"/>
        </w:rPr>
        <w:t>”</w:t>
      </w:r>
      <w:r w:rsidR="00A73F5B" w:rsidRPr="00A73F5B">
        <w:rPr>
          <w:sz w:val="22"/>
          <w:szCs w:val="22"/>
        </w:rPr>
        <w:t xml:space="preserve"> </w:t>
      </w:r>
      <w:r w:rsidR="00A73F5B" w:rsidRPr="00A73F5B">
        <w:rPr>
          <w:b/>
          <w:bCs/>
          <w:sz w:val="22"/>
          <w:szCs w:val="22"/>
        </w:rPr>
        <w:t>[My own emphasis]</w:t>
      </w:r>
    </w:p>
    <w:p w14:paraId="0434D251" w14:textId="77777777" w:rsidR="00DF10DC" w:rsidRDefault="00DF10DC" w:rsidP="006E365F">
      <w:pPr>
        <w:spacing w:line="360" w:lineRule="auto"/>
        <w:jc w:val="both"/>
        <w:rPr>
          <w:rFonts w:ascii="Andalus" w:hAnsi="Andalus" w:cs="Andalus"/>
          <w:bCs/>
        </w:rPr>
      </w:pPr>
    </w:p>
    <w:p w14:paraId="50162CE7" w14:textId="65735714" w:rsidR="00A96FA8" w:rsidRDefault="00170DE8" w:rsidP="00B365C9">
      <w:pPr>
        <w:spacing w:line="360" w:lineRule="auto"/>
        <w:ind w:firstLine="720"/>
        <w:jc w:val="both"/>
      </w:pPr>
      <w:r>
        <w:t>On the other hand, th</w:t>
      </w:r>
      <w:r w:rsidR="004632FD">
        <w:t>e applicants</w:t>
      </w:r>
      <w:r w:rsidR="00010ED1">
        <w:t xml:space="preserve"> </w:t>
      </w:r>
      <w:r w:rsidR="00C23360">
        <w:t xml:space="preserve">contended that </w:t>
      </w:r>
      <w:r w:rsidR="00010ED1">
        <w:t xml:space="preserve">the </w:t>
      </w:r>
      <w:r w:rsidR="00E24791">
        <w:t xml:space="preserve">payment by the </w:t>
      </w:r>
      <w:r w:rsidR="00010ED1">
        <w:t xml:space="preserve">respondent </w:t>
      </w:r>
      <w:r w:rsidR="00E24791">
        <w:t xml:space="preserve">at the one-to-one conversion did not </w:t>
      </w:r>
      <w:r w:rsidR="00010ED1">
        <w:t xml:space="preserve">discharge </w:t>
      </w:r>
      <w:r w:rsidR="0020718E">
        <w:t>the debt</w:t>
      </w:r>
      <w:r w:rsidR="00010ED1">
        <w:t>. The</w:t>
      </w:r>
      <w:r w:rsidR="00303D76">
        <w:t>y drew the</w:t>
      </w:r>
      <w:r w:rsidR="00010ED1">
        <w:t xml:space="preserve"> court’s attention </w:t>
      </w:r>
      <w:r w:rsidR="00303D76">
        <w:t xml:space="preserve">to </w:t>
      </w:r>
      <w:r w:rsidR="00010ED1">
        <w:t>the date of the award</w:t>
      </w:r>
      <w:r w:rsidR="006B16ED">
        <w:t>, which</w:t>
      </w:r>
      <w:r w:rsidR="00010ED1">
        <w:t xml:space="preserve"> was 6 June 2019</w:t>
      </w:r>
      <w:r w:rsidR="006B16ED">
        <w:t>,</w:t>
      </w:r>
      <w:r w:rsidR="00010ED1">
        <w:t xml:space="preserve"> and</w:t>
      </w:r>
      <w:r w:rsidR="006B16ED">
        <w:t xml:space="preserve"> submitted that the effective date for the purposes of the</w:t>
      </w:r>
      <w:r w:rsidR="009A5C43">
        <w:t xml:space="preserve"> </w:t>
      </w:r>
      <w:r w:rsidR="006B16ED">
        <w:t>one</w:t>
      </w:r>
      <w:r w:rsidR="009A5C43">
        <w:t>-</w:t>
      </w:r>
      <w:r w:rsidR="006B16ED">
        <w:t>to</w:t>
      </w:r>
      <w:r w:rsidR="009A5C43">
        <w:t>-</w:t>
      </w:r>
      <w:r w:rsidR="006B16ED">
        <w:t xml:space="preserve">one conversion was </w:t>
      </w:r>
      <w:r w:rsidR="00010ED1">
        <w:t>22 February 2019</w:t>
      </w:r>
      <w:r w:rsidR="00BD51A4">
        <w:t xml:space="preserve">. In this respect, the applicants contended that </w:t>
      </w:r>
      <w:r w:rsidR="00A96FA8">
        <w:t xml:space="preserve">s </w:t>
      </w:r>
      <w:r w:rsidR="006F23B6">
        <w:t xml:space="preserve">22 of the Finance (No. 2) Act </w:t>
      </w:r>
      <w:r w:rsidR="00DC6124">
        <w:t>was to re-evaluate all assets and liabilities that were expressed in United States currency on/or before the effective date</w:t>
      </w:r>
      <w:r w:rsidR="007A067A">
        <w:t xml:space="preserve"> to be valued at the one-to-one conversion.</w:t>
      </w:r>
      <w:r w:rsidR="001E626B">
        <w:t xml:space="preserve"> Their argument was that, the award having been made on </w:t>
      </w:r>
      <w:r w:rsidR="009B2B6A">
        <w:t>6 June 2019, it was not a liability which was due on the effective date of 22 February 2019.</w:t>
      </w:r>
      <w:r w:rsidR="00892278">
        <w:t xml:space="preserve"> Rather, so the applicants submitted, before the award was rendered, the debt did not exist and the respondent had no obligation to pay the applicant anything on the effective date.</w:t>
      </w:r>
      <w:r w:rsidR="003A268F">
        <w:t xml:space="preserve"> It is on that basis that the applicants asserted that the debt should be paid at the interbank rate</w:t>
      </w:r>
      <w:r w:rsidR="00A422B6">
        <w:t>, hence the rejection of the payment.</w:t>
      </w:r>
      <w:r w:rsidR="00750DCE">
        <w:t xml:space="preserve"> This </w:t>
      </w:r>
      <w:r w:rsidR="00A96FA8">
        <w:t>argument is supported by</w:t>
      </w:r>
    </w:p>
    <w:p w14:paraId="015323E2" w14:textId="7DC57361" w:rsidR="00010ED1" w:rsidRDefault="00A96FA8" w:rsidP="00A96FA8">
      <w:pPr>
        <w:spacing w:line="360" w:lineRule="auto"/>
        <w:jc w:val="both"/>
      </w:pPr>
      <w:r>
        <w:t xml:space="preserve"> s</w:t>
      </w:r>
      <w:r w:rsidR="00750DCE">
        <w:t xml:space="preserve"> 22 (1) (e) of the Finance (No. 2) Act which allows </w:t>
      </w:r>
      <w:r w:rsidR="009E0AB7">
        <w:t>payment at the interbank rate for liabilities in United States dollars which arise after the effective date.</w:t>
      </w:r>
      <w:r w:rsidR="00750DCE">
        <w:t xml:space="preserve"> </w:t>
      </w:r>
      <w:r w:rsidR="006F1478">
        <w:t xml:space="preserve"> </w:t>
      </w:r>
    </w:p>
    <w:p w14:paraId="6A7AE0EA" w14:textId="5E633E66" w:rsidR="00010ED1" w:rsidRDefault="0019628C" w:rsidP="0019628C">
      <w:pPr>
        <w:spacing w:line="360" w:lineRule="auto"/>
        <w:ind w:firstLine="720"/>
        <w:jc w:val="both"/>
      </w:pPr>
      <w:r>
        <w:t>I</w:t>
      </w:r>
      <w:r w:rsidR="00812953">
        <w:t xml:space="preserve"> observe that this </w:t>
      </w:r>
      <w:r w:rsidR="00010ED1">
        <w:t xml:space="preserve">matter was </w:t>
      </w:r>
      <w:r w:rsidR="00BA6F30">
        <w:t>previously</w:t>
      </w:r>
      <w:r w:rsidR="00010ED1">
        <w:t xml:space="preserve"> </w:t>
      </w:r>
      <w:r w:rsidR="00812953">
        <w:t xml:space="preserve">heard </w:t>
      </w:r>
      <w:r w:rsidR="00010ED1">
        <w:t>b</w:t>
      </w:r>
      <w:r w:rsidR="00812953">
        <w:t>y</w:t>
      </w:r>
      <w:r w:rsidR="00010ED1">
        <w:t xml:space="preserve"> this </w:t>
      </w:r>
      <w:r w:rsidR="00865464">
        <w:t>c</w:t>
      </w:r>
      <w:r w:rsidR="00010ED1">
        <w:t>ourt</w:t>
      </w:r>
      <w:r w:rsidR="00812953">
        <w:t xml:space="preserve"> under HC 6522/19</w:t>
      </w:r>
      <w:r w:rsidR="00D561DE">
        <w:t>,</w:t>
      </w:r>
      <w:r w:rsidR="00010ED1">
        <w:t xml:space="preserve"> and a judgment </w:t>
      </w:r>
      <w:r w:rsidR="00812953">
        <w:t xml:space="preserve">(HH 782-19) </w:t>
      </w:r>
      <w:r w:rsidR="00010ED1">
        <w:t xml:space="preserve">was </w:t>
      </w:r>
      <w:r w:rsidR="00812953">
        <w:t>granted</w:t>
      </w:r>
      <w:r w:rsidR="00010ED1">
        <w:t xml:space="preserve"> against the respondent. In essence</w:t>
      </w:r>
      <w:r w:rsidR="003D3FA3">
        <w:t>,</w:t>
      </w:r>
      <w:r w:rsidR="000745B8">
        <w:t xml:space="preserve"> it was</w:t>
      </w:r>
      <w:r w:rsidR="00010ED1">
        <w:t xml:space="preserve"> held that </w:t>
      </w:r>
      <w:r w:rsidR="000745B8">
        <w:t xml:space="preserve">the </w:t>
      </w:r>
      <w:r w:rsidR="00010ED1">
        <w:lastRenderedPageBreak/>
        <w:t>opposition to the application was ill-founded</w:t>
      </w:r>
      <w:r w:rsidR="000745B8">
        <w:t xml:space="preserve">, </w:t>
      </w:r>
      <w:r w:rsidR="00010ED1">
        <w:t xml:space="preserve">and </w:t>
      </w:r>
      <w:r w:rsidR="000745B8">
        <w:t>the respondent had</w:t>
      </w:r>
      <w:r w:rsidR="00010ED1">
        <w:t xml:space="preserve"> to pay applicants the sum of US</w:t>
      </w:r>
      <w:r w:rsidR="003D3FA3">
        <w:t>$</w:t>
      </w:r>
      <w:r w:rsidR="00010ED1">
        <w:t>378</w:t>
      </w:r>
      <w:r w:rsidR="003D3FA3">
        <w:t>,</w:t>
      </w:r>
      <w:r w:rsidR="00010ED1">
        <w:t>628</w:t>
      </w:r>
      <w:r w:rsidR="003D3FA3">
        <w:t>-</w:t>
      </w:r>
      <w:r w:rsidR="00010ED1">
        <w:t>20</w:t>
      </w:r>
      <w:r w:rsidR="00B152FF">
        <w:t xml:space="preserve">, </w:t>
      </w:r>
      <w:r w:rsidR="00010ED1">
        <w:t xml:space="preserve">with interest at the prevailing interbank rate </w:t>
      </w:r>
      <w:r w:rsidR="003D3FA3">
        <w:t>at</w:t>
      </w:r>
      <w:r w:rsidR="00010ED1">
        <w:t xml:space="preserve"> the date of payment. The respondent appealed the </w:t>
      </w:r>
      <w:r w:rsidR="00B152FF">
        <w:t xml:space="preserve">decision </w:t>
      </w:r>
      <w:r w:rsidR="00010ED1">
        <w:t>under SC 663/19</w:t>
      </w:r>
      <w:r w:rsidR="00B152FF">
        <w:t>, and t</w:t>
      </w:r>
      <w:r w:rsidR="00010ED1">
        <w:t xml:space="preserve">he </w:t>
      </w:r>
      <w:r w:rsidR="00B152FF">
        <w:t xml:space="preserve">appeal was </w:t>
      </w:r>
      <w:r w:rsidR="00010ED1">
        <w:t xml:space="preserve">allowed. </w:t>
      </w:r>
      <w:r w:rsidR="00B152FF">
        <w:t xml:space="preserve">The Supreme Court </w:t>
      </w:r>
      <w:r w:rsidR="00010ED1">
        <w:t xml:space="preserve">set aside the </w:t>
      </w:r>
      <w:r w:rsidR="00B152FF">
        <w:t xml:space="preserve">High Court </w:t>
      </w:r>
      <w:r w:rsidR="00010ED1">
        <w:t xml:space="preserve">judgment and remitted the matter for determination of issues which were raised and not determined. </w:t>
      </w:r>
    </w:p>
    <w:p w14:paraId="348C86A5" w14:textId="77777777" w:rsidR="006A5CB3" w:rsidRDefault="001762BA" w:rsidP="001E0BF4">
      <w:pPr>
        <w:spacing w:line="360" w:lineRule="auto"/>
        <w:ind w:firstLine="720"/>
        <w:jc w:val="both"/>
      </w:pPr>
      <w:r>
        <w:t xml:space="preserve">I must state that </w:t>
      </w:r>
      <w:r w:rsidR="00010ED1">
        <w:t>the</w:t>
      </w:r>
      <w:r>
        <w:t xml:space="preserve"> </w:t>
      </w:r>
      <w:r w:rsidR="00010ED1">
        <w:t xml:space="preserve">application </w:t>
      </w:r>
      <w:r>
        <w:t xml:space="preserve">before me </w:t>
      </w:r>
      <w:r w:rsidR="00010ED1">
        <w:t xml:space="preserve">is for registration of an arbitral award. In terms of the applicable law, an application for the registration of an arbitral award is granted upon its mere presentation, authentication and production of the original arbitration agreement. </w:t>
      </w:r>
      <w:r w:rsidR="002A0AFE">
        <w:t xml:space="preserve">See </w:t>
      </w:r>
      <w:r w:rsidR="002A0AFE" w:rsidRPr="005C02C7">
        <w:rPr>
          <w:bCs/>
          <w:i/>
        </w:rPr>
        <w:t xml:space="preserve">Gwanda Rural District Council </w:t>
      </w:r>
      <w:r w:rsidR="002A0AFE" w:rsidRPr="00A96FA8">
        <w:rPr>
          <w:bCs/>
        </w:rPr>
        <w:t>v</w:t>
      </w:r>
      <w:r w:rsidR="002A0AFE" w:rsidRPr="005C02C7">
        <w:rPr>
          <w:bCs/>
          <w:i/>
        </w:rPr>
        <w:t xml:space="preserve"> Botha (SNR) </w:t>
      </w:r>
      <w:r w:rsidR="002A0AFE" w:rsidRPr="005C02C7">
        <w:rPr>
          <w:bCs/>
          <w:iCs/>
        </w:rPr>
        <w:t>SC 174</w:t>
      </w:r>
      <w:r w:rsidR="002A0AFE">
        <w:rPr>
          <w:bCs/>
          <w:iCs/>
        </w:rPr>
        <w:t>-2</w:t>
      </w:r>
      <w:r w:rsidR="002A0AFE" w:rsidRPr="005C02C7">
        <w:rPr>
          <w:bCs/>
          <w:iCs/>
        </w:rPr>
        <w:t>0.</w:t>
      </w:r>
      <w:r w:rsidR="00010ED1">
        <w:t xml:space="preserve"> The respondent</w:t>
      </w:r>
      <w:r w:rsidR="00366621">
        <w:t>,</w:t>
      </w:r>
      <w:r w:rsidR="00010ED1">
        <w:t xml:space="preserve"> on the other hand</w:t>
      </w:r>
      <w:r w:rsidR="00366621">
        <w:t>, can</w:t>
      </w:r>
      <w:r w:rsidR="00010ED1">
        <w:t xml:space="preserve"> object to the registration of </w:t>
      </w:r>
      <w:r w:rsidR="00876579">
        <w:t>the a</w:t>
      </w:r>
      <w:r w:rsidR="00010ED1">
        <w:t xml:space="preserve">rbitral award. This is because the right to object </w:t>
      </w:r>
      <w:r w:rsidR="00374ABB">
        <w:t xml:space="preserve">is </w:t>
      </w:r>
      <w:r w:rsidR="00010ED1">
        <w:t>confine</w:t>
      </w:r>
      <w:r w:rsidR="00374ABB">
        <w:t>d to</w:t>
      </w:r>
      <w:r w:rsidR="00010ED1">
        <w:t xml:space="preserve"> the ground</w:t>
      </w:r>
      <w:r w:rsidR="004C4290">
        <w:t xml:space="preserve">s </w:t>
      </w:r>
      <w:r w:rsidR="00010ED1">
        <w:t>of objection stipulated under Article 36</w:t>
      </w:r>
      <w:r w:rsidR="004C4290">
        <w:t xml:space="preserve">. In particular, Article 36 </w:t>
      </w:r>
      <w:r w:rsidR="00F05482">
        <w:t>(1) (b) (ii)</w:t>
      </w:r>
      <w:r w:rsidR="004C4290">
        <w:t xml:space="preserve"> stipulates </w:t>
      </w:r>
      <w:r w:rsidR="00374ABB">
        <w:t>that the recognition or enforcement of the award would be contrary to the public policy</w:t>
      </w:r>
      <w:r w:rsidR="00010ED1">
        <w:t>. Th</w:t>
      </w:r>
      <w:r w:rsidR="001E0BF4">
        <w:t>is is the precise basis of the respondent’s objection. To recapture the respondent’s case. The contention is that i</w:t>
      </w:r>
      <w:r w:rsidR="00010ED1">
        <w:t xml:space="preserve"> paid the sum of ZW$435</w:t>
      </w:r>
      <w:r w:rsidR="005C02C7">
        <w:t>,</w:t>
      </w:r>
      <w:r w:rsidR="00010ED1">
        <w:t xml:space="preserve">422.43 to the applicants as the full and final payment of its </w:t>
      </w:r>
      <w:r w:rsidR="001E0BF4">
        <w:t>liability</w:t>
      </w:r>
      <w:r w:rsidR="00010ED1">
        <w:t xml:space="preserve">. </w:t>
      </w:r>
      <w:r w:rsidR="006A5CB3">
        <w:t xml:space="preserve">This is </w:t>
      </w:r>
      <w:r w:rsidR="00010ED1">
        <w:t xml:space="preserve">dispute </w:t>
      </w:r>
      <w:r w:rsidR="006A5CB3">
        <w:t xml:space="preserve">by the applicants. </w:t>
      </w:r>
    </w:p>
    <w:p w14:paraId="0FB26EFE" w14:textId="61E6D4CC" w:rsidR="009E489B" w:rsidRDefault="006A5CB3" w:rsidP="008C1060">
      <w:pPr>
        <w:spacing w:line="360" w:lineRule="auto"/>
        <w:ind w:firstLine="720"/>
        <w:jc w:val="both"/>
      </w:pPr>
      <w:r>
        <w:t>An examination of the facts, especially the order by consent granted on 18 June 2018, shows that the respondent admitted liability</w:t>
      </w:r>
      <w:r w:rsidR="00A96FA8">
        <w:t xml:space="preserve"> on 18 June 2018, and para </w:t>
      </w:r>
      <w:r>
        <w:t>1 of the order confirms this.</w:t>
      </w:r>
      <w:r w:rsidR="00FB0B6C">
        <w:t xml:space="preserve"> However, the admission did not relate to liability to pay a specific amount to the applicants. In fact, the amount was still to be establi</w:t>
      </w:r>
      <w:r w:rsidR="00A96FA8">
        <w:t>shed. In this respect, para</w:t>
      </w:r>
      <w:r w:rsidR="00FB0B6C">
        <w:t xml:space="preserve"> 5 of the order provides for the quantum of liability to be determined through arbitration. </w:t>
      </w:r>
      <w:r w:rsidR="00A96FA8">
        <w:t>Specifically, para</w:t>
      </w:r>
      <w:r w:rsidR="000A62CF">
        <w:t xml:space="preserve"> 5 (b) states that the process was to determine the damages suffered by the applicants as a result of the removal by the respondent of soil containing chrome ore.</w:t>
      </w:r>
      <w:r w:rsidR="00880BA5">
        <w:t xml:space="preserve"> Because of the lack of a figure at this stage</w:t>
      </w:r>
      <w:r w:rsidR="00EE4090">
        <w:t>, the res</w:t>
      </w:r>
      <w:r w:rsidR="00A96FA8">
        <w:t>pondent’s argument that s</w:t>
      </w:r>
      <w:r w:rsidR="00EE4090">
        <w:t xml:space="preserve"> 22 of the Finance (No. 2) Act kicked in to authorize payment of the award based on a one-to-one conversion is untenable. </w:t>
      </w:r>
      <w:r w:rsidR="00CF31C5">
        <w:t>The inevitable question to ask is:</w:t>
      </w:r>
      <w:r w:rsidR="002C43BB">
        <w:t xml:space="preserve"> if no amount had been established by 22 February 2019, what was being converted at the rate of one-to-one? The answer is obviously that a conversion could not have been applied in the abstract.</w:t>
      </w:r>
      <w:r w:rsidR="00AD65B2">
        <w:t xml:space="preserve"> Consequently, I entirely </w:t>
      </w:r>
      <w:r w:rsidR="008C1060">
        <w:t xml:space="preserve">agreed </w:t>
      </w:r>
      <w:r w:rsidR="00AD65B2">
        <w:t>with the applicants the debt came into effect on 6 June 2019 when the award was made</w:t>
      </w:r>
      <w:r w:rsidR="00691446">
        <w:t>, since it could not have come into life before it was ascertained.</w:t>
      </w:r>
      <w:r w:rsidR="008C1060">
        <w:t xml:space="preserve"> </w:t>
      </w:r>
      <w:r w:rsidR="00010ED1">
        <w:t>I</w:t>
      </w:r>
      <w:r w:rsidR="008C1060">
        <w:t xml:space="preserve"> add that</w:t>
      </w:r>
      <w:r w:rsidR="00010ED1">
        <w:t xml:space="preserve"> I </w:t>
      </w:r>
      <w:r w:rsidR="00D0565E">
        <w:t>am satisfied that the applicants have made a case for the relief that they seek</w:t>
      </w:r>
      <w:r w:rsidR="00F96366">
        <w:t>, and I am inclined to grant the order they have asked for.</w:t>
      </w:r>
      <w:r w:rsidR="00E522CF">
        <w:t xml:space="preserve"> </w:t>
      </w:r>
    </w:p>
    <w:p w14:paraId="2A5A3E32" w14:textId="7819C549" w:rsidR="00010ED1" w:rsidRDefault="00E522CF" w:rsidP="008C1060">
      <w:pPr>
        <w:spacing w:line="360" w:lineRule="auto"/>
        <w:ind w:firstLine="720"/>
        <w:jc w:val="both"/>
      </w:pPr>
      <w:r>
        <w:lastRenderedPageBreak/>
        <w:t>The order I make is as follows:</w:t>
      </w:r>
    </w:p>
    <w:p w14:paraId="3990E568" w14:textId="77777777" w:rsidR="0091760F" w:rsidRPr="0091760F" w:rsidRDefault="0091760F" w:rsidP="0091760F">
      <w:pPr>
        <w:spacing w:line="360" w:lineRule="auto"/>
        <w:jc w:val="both"/>
        <w:rPr>
          <w:sz w:val="12"/>
          <w:szCs w:val="12"/>
        </w:rPr>
      </w:pPr>
    </w:p>
    <w:p w14:paraId="6310CB45" w14:textId="2E0108DA" w:rsidR="00010ED1" w:rsidRDefault="00010ED1" w:rsidP="00010ED1">
      <w:pPr>
        <w:pStyle w:val="ListParagraph"/>
        <w:numPr>
          <w:ilvl w:val="0"/>
          <w:numId w:val="17"/>
        </w:numPr>
        <w:spacing w:line="360" w:lineRule="auto"/>
        <w:jc w:val="both"/>
      </w:pPr>
      <w:r>
        <w:t xml:space="preserve">The </w:t>
      </w:r>
      <w:r w:rsidR="00F155C6">
        <w:t>arbitral award dated 6 June 2019 be and is hereby registered as an order of this court.</w:t>
      </w:r>
    </w:p>
    <w:p w14:paraId="153AED63" w14:textId="15EA5A73" w:rsidR="00F155C6" w:rsidRDefault="00F155C6" w:rsidP="00010ED1">
      <w:pPr>
        <w:pStyle w:val="ListParagraph"/>
        <w:numPr>
          <w:ilvl w:val="0"/>
          <w:numId w:val="17"/>
        </w:numPr>
        <w:spacing w:line="360" w:lineRule="auto"/>
        <w:jc w:val="both"/>
      </w:pPr>
      <w:r>
        <w:t>The respondent shall pay to the applicants the sum of US$378,628-20 at the interbank rate applicable on the date of actual payment, together with interest at the prescribed rate on that amount calculated from 3 August 2015 to date of full payment.</w:t>
      </w:r>
    </w:p>
    <w:p w14:paraId="16BE6E5A" w14:textId="77777777" w:rsidR="007B5A52" w:rsidRPr="007B5A52" w:rsidRDefault="007B5A52" w:rsidP="007B5A52">
      <w:pPr>
        <w:pStyle w:val="ListParagraph"/>
        <w:spacing w:line="360" w:lineRule="auto"/>
        <w:ind w:left="1080"/>
        <w:jc w:val="both"/>
        <w:rPr>
          <w:sz w:val="8"/>
          <w:szCs w:val="8"/>
        </w:rPr>
      </w:pPr>
    </w:p>
    <w:p w14:paraId="1652FE5F" w14:textId="019FDC8E" w:rsidR="00010ED1" w:rsidRDefault="009E489B" w:rsidP="00010ED1">
      <w:pPr>
        <w:pStyle w:val="ListParagraph"/>
        <w:numPr>
          <w:ilvl w:val="0"/>
          <w:numId w:val="17"/>
        </w:numPr>
        <w:spacing w:line="360" w:lineRule="auto"/>
        <w:jc w:val="both"/>
      </w:pPr>
      <w:r>
        <w:t>The respond shall pay the cost</w:t>
      </w:r>
      <w:r w:rsidR="007B5A52">
        <w:t>s</w:t>
      </w:r>
      <w:r>
        <w:t xml:space="preserve"> of arbitration</w:t>
      </w:r>
      <w:r w:rsidR="007B5A52">
        <w:t xml:space="preserve"> and those of this application.</w:t>
      </w:r>
    </w:p>
    <w:p w14:paraId="081044D2" w14:textId="6CDCF153" w:rsidR="007B5A52" w:rsidRPr="007C7786" w:rsidRDefault="007B5A52" w:rsidP="007B5A52">
      <w:pPr>
        <w:spacing w:line="360" w:lineRule="auto"/>
        <w:ind w:left="720"/>
        <w:jc w:val="both"/>
      </w:pPr>
    </w:p>
    <w:p w14:paraId="27E76A80" w14:textId="77777777" w:rsidR="00010ED1" w:rsidRDefault="00010ED1" w:rsidP="0078604C">
      <w:pPr>
        <w:jc w:val="both"/>
        <w:rPr>
          <w:i/>
        </w:rPr>
      </w:pPr>
    </w:p>
    <w:p w14:paraId="79A4CB80" w14:textId="77777777" w:rsidR="00010ED1" w:rsidRDefault="00010ED1" w:rsidP="0078604C">
      <w:pPr>
        <w:jc w:val="both"/>
        <w:rPr>
          <w:i/>
        </w:rPr>
      </w:pPr>
    </w:p>
    <w:p w14:paraId="4AB5505D" w14:textId="77777777" w:rsidR="009E489B" w:rsidRDefault="009E489B" w:rsidP="0078604C">
      <w:pPr>
        <w:jc w:val="both"/>
        <w:rPr>
          <w:i/>
        </w:rPr>
      </w:pPr>
    </w:p>
    <w:p w14:paraId="5CCF7112" w14:textId="77777777" w:rsidR="00010ED1" w:rsidRDefault="00010ED1" w:rsidP="0078604C">
      <w:pPr>
        <w:jc w:val="both"/>
        <w:rPr>
          <w:i/>
        </w:rPr>
      </w:pPr>
    </w:p>
    <w:p w14:paraId="125495BC" w14:textId="77777777" w:rsidR="00010ED1" w:rsidRDefault="00010ED1" w:rsidP="0078604C">
      <w:pPr>
        <w:jc w:val="both"/>
        <w:rPr>
          <w:i/>
        </w:rPr>
      </w:pPr>
    </w:p>
    <w:p w14:paraId="00E6382A" w14:textId="617B90B6" w:rsidR="0078604C" w:rsidRPr="00093F27" w:rsidRDefault="00085E59" w:rsidP="0078604C">
      <w:pPr>
        <w:jc w:val="both"/>
      </w:pPr>
      <w:r>
        <w:rPr>
          <w:i/>
        </w:rPr>
        <w:t>Honey &amp; Blanckenberg</w:t>
      </w:r>
      <w:r w:rsidR="005D37E8">
        <w:t>, applicant’s</w:t>
      </w:r>
      <w:r w:rsidR="000F1D04">
        <w:t xml:space="preserve"> legal p</w:t>
      </w:r>
      <w:r w:rsidR="0078604C" w:rsidRPr="00093F27">
        <w:t>ractitioners</w:t>
      </w:r>
    </w:p>
    <w:p w14:paraId="1B0566FF" w14:textId="6B41B06A" w:rsidR="0078604C" w:rsidRPr="007C7786" w:rsidRDefault="00E70D77" w:rsidP="00D952FF">
      <w:pPr>
        <w:jc w:val="both"/>
      </w:pPr>
      <w:r>
        <w:rPr>
          <w:i/>
        </w:rPr>
        <w:t>I E G Musimbe &amp; Partners</w:t>
      </w:r>
      <w:r w:rsidR="0078604C" w:rsidRPr="00093F27">
        <w:t xml:space="preserve">, </w:t>
      </w:r>
      <w:r w:rsidR="00955404">
        <w:t>respondent’s</w:t>
      </w:r>
      <w:r w:rsidR="0078604C" w:rsidRPr="00093F27">
        <w:t xml:space="preserve"> legal practitioners</w:t>
      </w:r>
    </w:p>
    <w:p w14:paraId="394CFFE8" w14:textId="77777777" w:rsidR="00D17074" w:rsidRPr="005A4D7A" w:rsidRDefault="00D17074" w:rsidP="00B01F42">
      <w:pPr>
        <w:spacing w:line="360" w:lineRule="auto"/>
        <w:jc w:val="both"/>
      </w:pPr>
      <w:r>
        <w:tab/>
      </w:r>
    </w:p>
    <w:sectPr w:rsidR="00D17074" w:rsidRPr="005A4D7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CF739E" w14:textId="77777777" w:rsidR="00A764A0" w:rsidRDefault="00A764A0" w:rsidP="005A4D7A">
      <w:r>
        <w:separator/>
      </w:r>
    </w:p>
  </w:endnote>
  <w:endnote w:type="continuationSeparator" w:id="0">
    <w:p w14:paraId="4AADF7F9" w14:textId="77777777" w:rsidR="00A764A0" w:rsidRDefault="00A764A0" w:rsidP="005A4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ndalus">
    <w:altName w:val="Times New Roman"/>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3C1706" w14:textId="77777777" w:rsidR="00A764A0" w:rsidRDefault="00A764A0" w:rsidP="005A4D7A">
      <w:r>
        <w:separator/>
      </w:r>
    </w:p>
  </w:footnote>
  <w:footnote w:type="continuationSeparator" w:id="0">
    <w:p w14:paraId="6EA783AA" w14:textId="77777777" w:rsidR="00A764A0" w:rsidRDefault="00A764A0" w:rsidP="005A4D7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029875"/>
      <w:docPartObj>
        <w:docPartGallery w:val="Page Numbers (Top of Page)"/>
        <w:docPartUnique/>
      </w:docPartObj>
    </w:sdtPr>
    <w:sdtEndPr>
      <w:rPr>
        <w:noProof/>
      </w:rPr>
    </w:sdtEndPr>
    <w:sdtContent>
      <w:p w14:paraId="577AB7C8" w14:textId="47F24767" w:rsidR="005A4D7A" w:rsidRDefault="005A4D7A" w:rsidP="00D27A4B">
        <w:pPr>
          <w:pStyle w:val="Header"/>
          <w:jc w:val="right"/>
          <w:rPr>
            <w:noProof/>
          </w:rPr>
        </w:pPr>
        <w:r>
          <w:fldChar w:fldCharType="begin"/>
        </w:r>
        <w:r>
          <w:instrText xml:space="preserve"> PAGE   \* MERGEFORMAT </w:instrText>
        </w:r>
        <w:r>
          <w:fldChar w:fldCharType="separate"/>
        </w:r>
        <w:r w:rsidR="004740B2">
          <w:rPr>
            <w:noProof/>
          </w:rPr>
          <w:t>1</w:t>
        </w:r>
        <w:r>
          <w:rPr>
            <w:noProof/>
          </w:rPr>
          <w:fldChar w:fldCharType="end"/>
        </w:r>
      </w:p>
      <w:p w14:paraId="19E96673" w14:textId="3F40B85B" w:rsidR="00B1216B" w:rsidRDefault="00DE036C" w:rsidP="00D27A4B">
        <w:pPr>
          <w:pStyle w:val="Header"/>
          <w:jc w:val="right"/>
          <w:rPr>
            <w:noProof/>
          </w:rPr>
        </w:pPr>
        <w:r>
          <w:rPr>
            <w:noProof/>
          </w:rPr>
          <w:t>HH 310-23</w:t>
        </w:r>
      </w:p>
      <w:p w14:paraId="2A0C07BF" w14:textId="77777777" w:rsidR="005A4D7A" w:rsidRDefault="003F702F" w:rsidP="00602A43">
        <w:pPr>
          <w:pStyle w:val="Header"/>
          <w:jc w:val="right"/>
          <w:rPr>
            <w:noProof/>
          </w:rPr>
        </w:pPr>
        <w:r>
          <w:rPr>
            <w:noProof/>
          </w:rPr>
          <w:t>HC 6522/19</w:t>
        </w:r>
      </w:p>
    </w:sdtContent>
  </w:sdt>
  <w:p w14:paraId="2A91E62E" w14:textId="77777777" w:rsidR="005A4D7A" w:rsidRDefault="005A4D7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31DFA"/>
    <w:multiLevelType w:val="hybridMultilevel"/>
    <w:tmpl w:val="1A160BE4"/>
    <w:lvl w:ilvl="0" w:tplc="AAECC55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3451B24"/>
    <w:multiLevelType w:val="hybridMultilevel"/>
    <w:tmpl w:val="C45A3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402EF"/>
    <w:multiLevelType w:val="hybridMultilevel"/>
    <w:tmpl w:val="9848A35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1B566D01"/>
    <w:multiLevelType w:val="hybridMultilevel"/>
    <w:tmpl w:val="A9D0178A"/>
    <w:lvl w:ilvl="0" w:tplc="1194D95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245F0DA7"/>
    <w:multiLevelType w:val="hybridMultilevel"/>
    <w:tmpl w:val="027CBE7C"/>
    <w:lvl w:ilvl="0" w:tplc="C7B0226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32FE6911"/>
    <w:multiLevelType w:val="hybridMultilevel"/>
    <w:tmpl w:val="223E0B8C"/>
    <w:lvl w:ilvl="0" w:tplc="638A22BE">
      <w:start w:val="1"/>
      <w:numFmt w:val="decimal"/>
      <w:lvlText w:val="%1."/>
      <w:lvlJc w:val="left"/>
      <w:pPr>
        <w:ind w:left="1080" w:hanging="360"/>
      </w:pPr>
      <w:rPr>
        <w:rFonts w:hint="default"/>
        <w:sz w:val="22"/>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373A7594"/>
    <w:multiLevelType w:val="hybridMultilevel"/>
    <w:tmpl w:val="24F40968"/>
    <w:lvl w:ilvl="0" w:tplc="ACE8E2C4">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7" w15:restartNumberingAfterBreak="0">
    <w:nsid w:val="38CC2C92"/>
    <w:multiLevelType w:val="hybridMultilevel"/>
    <w:tmpl w:val="AB12852E"/>
    <w:lvl w:ilvl="0" w:tplc="EB4A33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4F53390"/>
    <w:multiLevelType w:val="hybridMultilevel"/>
    <w:tmpl w:val="EEA282FA"/>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44F94F51"/>
    <w:multiLevelType w:val="hybridMultilevel"/>
    <w:tmpl w:val="3E0E0702"/>
    <w:lvl w:ilvl="0" w:tplc="C58621CE">
      <w:start w:val="1"/>
      <w:numFmt w:val="bullet"/>
      <w:lvlText w:val=""/>
      <w:lvlJc w:val="left"/>
      <w:pPr>
        <w:ind w:left="1800" w:hanging="360"/>
      </w:pPr>
      <w:rPr>
        <w:rFonts w:ascii="Symbol" w:eastAsiaTheme="minorHAnsi" w:hAnsi="Symbol" w:cs="Times New Roman" w:hint="default"/>
      </w:rPr>
    </w:lvl>
    <w:lvl w:ilvl="1" w:tplc="30090003" w:tentative="1">
      <w:start w:val="1"/>
      <w:numFmt w:val="bullet"/>
      <w:lvlText w:val="o"/>
      <w:lvlJc w:val="left"/>
      <w:pPr>
        <w:ind w:left="2520" w:hanging="360"/>
      </w:pPr>
      <w:rPr>
        <w:rFonts w:ascii="Courier New" w:hAnsi="Courier New" w:cs="Courier New" w:hint="default"/>
      </w:rPr>
    </w:lvl>
    <w:lvl w:ilvl="2" w:tplc="30090005" w:tentative="1">
      <w:start w:val="1"/>
      <w:numFmt w:val="bullet"/>
      <w:lvlText w:val=""/>
      <w:lvlJc w:val="left"/>
      <w:pPr>
        <w:ind w:left="3240" w:hanging="360"/>
      </w:pPr>
      <w:rPr>
        <w:rFonts w:ascii="Wingdings" w:hAnsi="Wingdings" w:hint="default"/>
      </w:rPr>
    </w:lvl>
    <w:lvl w:ilvl="3" w:tplc="30090001" w:tentative="1">
      <w:start w:val="1"/>
      <w:numFmt w:val="bullet"/>
      <w:lvlText w:val=""/>
      <w:lvlJc w:val="left"/>
      <w:pPr>
        <w:ind w:left="3960" w:hanging="360"/>
      </w:pPr>
      <w:rPr>
        <w:rFonts w:ascii="Symbol" w:hAnsi="Symbol" w:hint="default"/>
      </w:rPr>
    </w:lvl>
    <w:lvl w:ilvl="4" w:tplc="30090003" w:tentative="1">
      <w:start w:val="1"/>
      <w:numFmt w:val="bullet"/>
      <w:lvlText w:val="o"/>
      <w:lvlJc w:val="left"/>
      <w:pPr>
        <w:ind w:left="4680" w:hanging="360"/>
      </w:pPr>
      <w:rPr>
        <w:rFonts w:ascii="Courier New" w:hAnsi="Courier New" w:cs="Courier New" w:hint="default"/>
      </w:rPr>
    </w:lvl>
    <w:lvl w:ilvl="5" w:tplc="30090005" w:tentative="1">
      <w:start w:val="1"/>
      <w:numFmt w:val="bullet"/>
      <w:lvlText w:val=""/>
      <w:lvlJc w:val="left"/>
      <w:pPr>
        <w:ind w:left="5400" w:hanging="360"/>
      </w:pPr>
      <w:rPr>
        <w:rFonts w:ascii="Wingdings" w:hAnsi="Wingdings" w:hint="default"/>
      </w:rPr>
    </w:lvl>
    <w:lvl w:ilvl="6" w:tplc="30090001" w:tentative="1">
      <w:start w:val="1"/>
      <w:numFmt w:val="bullet"/>
      <w:lvlText w:val=""/>
      <w:lvlJc w:val="left"/>
      <w:pPr>
        <w:ind w:left="6120" w:hanging="360"/>
      </w:pPr>
      <w:rPr>
        <w:rFonts w:ascii="Symbol" w:hAnsi="Symbol" w:hint="default"/>
      </w:rPr>
    </w:lvl>
    <w:lvl w:ilvl="7" w:tplc="30090003" w:tentative="1">
      <w:start w:val="1"/>
      <w:numFmt w:val="bullet"/>
      <w:lvlText w:val="o"/>
      <w:lvlJc w:val="left"/>
      <w:pPr>
        <w:ind w:left="6840" w:hanging="360"/>
      </w:pPr>
      <w:rPr>
        <w:rFonts w:ascii="Courier New" w:hAnsi="Courier New" w:cs="Courier New" w:hint="default"/>
      </w:rPr>
    </w:lvl>
    <w:lvl w:ilvl="8" w:tplc="30090005" w:tentative="1">
      <w:start w:val="1"/>
      <w:numFmt w:val="bullet"/>
      <w:lvlText w:val=""/>
      <w:lvlJc w:val="left"/>
      <w:pPr>
        <w:ind w:left="7560" w:hanging="360"/>
      </w:pPr>
      <w:rPr>
        <w:rFonts w:ascii="Wingdings" w:hAnsi="Wingdings" w:hint="default"/>
      </w:rPr>
    </w:lvl>
  </w:abstractNum>
  <w:abstractNum w:abstractNumId="10" w15:restartNumberingAfterBreak="0">
    <w:nsid w:val="46D10756"/>
    <w:multiLevelType w:val="hybridMultilevel"/>
    <w:tmpl w:val="39863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E6236B"/>
    <w:multiLevelType w:val="hybridMultilevel"/>
    <w:tmpl w:val="D2603F36"/>
    <w:lvl w:ilvl="0" w:tplc="AC7461B4">
      <w:start w:val="1"/>
      <w:numFmt w:val="lowerLetter"/>
      <w:lvlText w:val="(%1)"/>
      <w:lvlJc w:val="left"/>
      <w:pPr>
        <w:ind w:left="2160" w:hanging="36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12" w15:restartNumberingAfterBreak="0">
    <w:nsid w:val="54366E14"/>
    <w:multiLevelType w:val="hybridMultilevel"/>
    <w:tmpl w:val="7390EA22"/>
    <w:lvl w:ilvl="0" w:tplc="C85AB00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15:restartNumberingAfterBreak="0">
    <w:nsid w:val="632312B8"/>
    <w:multiLevelType w:val="hybridMultilevel"/>
    <w:tmpl w:val="AE103524"/>
    <w:lvl w:ilvl="0" w:tplc="EBF24F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0304263"/>
    <w:multiLevelType w:val="hybridMultilevel"/>
    <w:tmpl w:val="6964899E"/>
    <w:lvl w:ilvl="0" w:tplc="150CE5D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15:restartNumberingAfterBreak="0">
    <w:nsid w:val="74AF3910"/>
    <w:multiLevelType w:val="hybridMultilevel"/>
    <w:tmpl w:val="754445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9E4F49"/>
    <w:multiLevelType w:val="hybridMultilevel"/>
    <w:tmpl w:val="75B8A838"/>
    <w:lvl w:ilvl="0" w:tplc="BD9445EA">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1"/>
  </w:num>
  <w:num w:numId="2">
    <w:abstractNumId w:val="10"/>
  </w:num>
  <w:num w:numId="3">
    <w:abstractNumId w:val="16"/>
  </w:num>
  <w:num w:numId="4">
    <w:abstractNumId w:val="11"/>
  </w:num>
  <w:num w:numId="5">
    <w:abstractNumId w:val="5"/>
  </w:num>
  <w:num w:numId="6">
    <w:abstractNumId w:val="9"/>
  </w:num>
  <w:num w:numId="7">
    <w:abstractNumId w:val="8"/>
  </w:num>
  <w:num w:numId="8">
    <w:abstractNumId w:val="6"/>
  </w:num>
  <w:num w:numId="9">
    <w:abstractNumId w:val="0"/>
  </w:num>
  <w:num w:numId="10">
    <w:abstractNumId w:val="3"/>
  </w:num>
  <w:num w:numId="11">
    <w:abstractNumId w:val="12"/>
  </w:num>
  <w:num w:numId="12">
    <w:abstractNumId w:val="2"/>
  </w:num>
  <w:num w:numId="13">
    <w:abstractNumId w:val="14"/>
  </w:num>
  <w:num w:numId="14">
    <w:abstractNumId w:val="4"/>
  </w:num>
  <w:num w:numId="15">
    <w:abstractNumId w:val="15"/>
  </w:num>
  <w:num w:numId="16">
    <w:abstractNumId w:val="7"/>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D7A"/>
    <w:rsid w:val="0000187D"/>
    <w:rsid w:val="00003953"/>
    <w:rsid w:val="00010ED1"/>
    <w:rsid w:val="000114AA"/>
    <w:rsid w:val="00020014"/>
    <w:rsid w:val="0002003E"/>
    <w:rsid w:val="00036F12"/>
    <w:rsid w:val="0003708D"/>
    <w:rsid w:val="00040C2D"/>
    <w:rsid w:val="000437A6"/>
    <w:rsid w:val="00051BCE"/>
    <w:rsid w:val="000571B7"/>
    <w:rsid w:val="00060409"/>
    <w:rsid w:val="000611E9"/>
    <w:rsid w:val="0006233A"/>
    <w:rsid w:val="00066EA2"/>
    <w:rsid w:val="000672F9"/>
    <w:rsid w:val="00067D0D"/>
    <w:rsid w:val="00072608"/>
    <w:rsid w:val="000745B8"/>
    <w:rsid w:val="00080A17"/>
    <w:rsid w:val="00081C16"/>
    <w:rsid w:val="00085DCC"/>
    <w:rsid w:val="00085E59"/>
    <w:rsid w:val="000865EA"/>
    <w:rsid w:val="000952B7"/>
    <w:rsid w:val="000965BC"/>
    <w:rsid w:val="0009791D"/>
    <w:rsid w:val="000A1059"/>
    <w:rsid w:val="000A542C"/>
    <w:rsid w:val="000A59D6"/>
    <w:rsid w:val="000A5B71"/>
    <w:rsid w:val="000A62CF"/>
    <w:rsid w:val="000A6E82"/>
    <w:rsid w:val="000B67D7"/>
    <w:rsid w:val="000B7869"/>
    <w:rsid w:val="000D059C"/>
    <w:rsid w:val="000D0B80"/>
    <w:rsid w:val="000D534A"/>
    <w:rsid w:val="000D71D6"/>
    <w:rsid w:val="000E0734"/>
    <w:rsid w:val="000E158A"/>
    <w:rsid w:val="000E203B"/>
    <w:rsid w:val="000E2799"/>
    <w:rsid w:val="000E4218"/>
    <w:rsid w:val="000E4576"/>
    <w:rsid w:val="000F17BB"/>
    <w:rsid w:val="000F1D04"/>
    <w:rsid w:val="000F26B8"/>
    <w:rsid w:val="000F3663"/>
    <w:rsid w:val="000F5F75"/>
    <w:rsid w:val="0010433B"/>
    <w:rsid w:val="00104513"/>
    <w:rsid w:val="00111321"/>
    <w:rsid w:val="00113A28"/>
    <w:rsid w:val="00116A7B"/>
    <w:rsid w:val="001177C4"/>
    <w:rsid w:val="00122F4E"/>
    <w:rsid w:val="001323F6"/>
    <w:rsid w:val="00136D44"/>
    <w:rsid w:val="00141FC5"/>
    <w:rsid w:val="0014298A"/>
    <w:rsid w:val="0014765A"/>
    <w:rsid w:val="0015010F"/>
    <w:rsid w:val="001528F8"/>
    <w:rsid w:val="001532D5"/>
    <w:rsid w:val="00153963"/>
    <w:rsid w:val="001550E0"/>
    <w:rsid w:val="001554FB"/>
    <w:rsid w:val="00155A31"/>
    <w:rsid w:val="0016302F"/>
    <w:rsid w:val="0016794A"/>
    <w:rsid w:val="00170DE8"/>
    <w:rsid w:val="001713E1"/>
    <w:rsid w:val="00171E1D"/>
    <w:rsid w:val="001762BA"/>
    <w:rsid w:val="00176528"/>
    <w:rsid w:val="00185D3B"/>
    <w:rsid w:val="00193712"/>
    <w:rsid w:val="0019628C"/>
    <w:rsid w:val="00197BA6"/>
    <w:rsid w:val="001A0DED"/>
    <w:rsid w:val="001A4C1C"/>
    <w:rsid w:val="001B40C2"/>
    <w:rsid w:val="001B58AC"/>
    <w:rsid w:val="001C1FD5"/>
    <w:rsid w:val="001C2442"/>
    <w:rsid w:val="001C5CAC"/>
    <w:rsid w:val="001D0246"/>
    <w:rsid w:val="001D69CA"/>
    <w:rsid w:val="001E0BF4"/>
    <w:rsid w:val="001E2CB7"/>
    <w:rsid w:val="001E3A2E"/>
    <w:rsid w:val="001E3F92"/>
    <w:rsid w:val="001E4D55"/>
    <w:rsid w:val="001E626B"/>
    <w:rsid w:val="001E67D3"/>
    <w:rsid w:val="001F09AE"/>
    <w:rsid w:val="001F66F3"/>
    <w:rsid w:val="002044BB"/>
    <w:rsid w:val="0020718E"/>
    <w:rsid w:val="00210221"/>
    <w:rsid w:val="00210AA3"/>
    <w:rsid w:val="002135CB"/>
    <w:rsid w:val="00214036"/>
    <w:rsid w:val="00216164"/>
    <w:rsid w:val="0021673D"/>
    <w:rsid w:val="00222C3C"/>
    <w:rsid w:val="002248C5"/>
    <w:rsid w:val="0022768B"/>
    <w:rsid w:val="0023192B"/>
    <w:rsid w:val="002320CE"/>
    <w:rsid w:val="002327DD"/>
    <w:rsid w:val="00232A80"/>
    <w:rsid w:val="00245C7E"/>
    <w:rsid w:val="0025303C"/>
    <w:rsid w:val="00254367"/>
    <w:rsid w:val="00256EB3"/>
    <w:rsid w:val="00260491"/>
    <w:rsid w:val="002610EF"/>
    <w:rsid w:val="00261F3E"/>
    <w:rsid w:val="00264E2F"/>
    <w:rsid w:val="00272EAD"/>
    <w:rsid w:val="002774CE"/>
    <w:rsid w:val="0028493F"/>
    <w:rsid w:val="002862F4"/>
    <w:rsid w:val="002912A6"/>
    <w:rsid w:val="002918E2"/>
    <w:rsid w:val="00293088"/>
    <w:rsid w:val="002A0A83"/>
    <w:rsid w:val="002A0AFE"/>
    <w:rsid w:val="002A3CB3"/>
    <w:rsid w:val="002A6F91"/>
    <w:rsid w:val="002B10C2"/>
    <w:rsid w:val="002C43BB"/>
    <w:rsid w:val="002D1758"/>
    <w:rsid w:val="002D2D9C"/>
    <w:rsid w:val="002D34A3"/>
    <w:rsid w:val="002E7C08"/>
    <w:rsid w:val="002F286B"/>
    <w:rsid w:val="0030244B"/>
    <w:rsid w:val="00302E9F"/>
    <w:rsid w:val="003039D9"/>
    <w:rsid w:val="00303D76"/>
    <w:rsid w:val="00306E52"/>
    <w:rsid w:val="0031037A"/>
    <w:rsid w:val="00310778"/>
    <w:rsid w:val="0031216D"/>
    <w:rsid w:val="003126EF"/>
    <w:rsid w:val="003128D2"/>
    <w:rsid w:val="00312EB5"/>
    <w:rsid w:val="00316234"/>
    <w:rsid w:val="003269B4"/>
    <w:rsid w:val="0032732D"/>
    <w:rsid w:val="00334249"/>
    <w:rsid w:val="00337377"/>
    <w:rsid w:val="00337DAA"/>
    <w:rsid w:val="003414FF"/>
    <w:rsid w:val="00345AEE"/>
    <w:rsid w:val="003463B3"/>
    <w:rsid w:val="0034645B"/>
    <w:rsid w:val="00350971"/>
    <w:rsid w:val="00350B7A"/>
    <w:rsid w:val="00355D5A"/>
    <w:rsid w:val="003612A4"/>
    <w:rsid w:val="00363C81"/>
    <w:rsid w:val="003648FB"/>
    <w:rsid w:val="00366621"/>
    <w:rsid w:val="00370810"/>
    <w:rsid w:val="003713EA"/>
    <w:rsid w:val="003730EE"/>
    <w:rsid w:val="0037364A"/>
    <w:rsid w:val="00374ABB"/>
    <w:rsid w:val="00376C8F"/>
    <w:rsid w:val="00384ACD"/>
    <w:rsid w:val="00391D01"/>
    <w:rsid w:val="00392338"/>
    <w:rsid w:val="003937C0"/>
    <w:rsid w:val="0039564B"/>
    <w:rsid w:val="00395ACD"/>
    <w:rsid w:val="003A0463"/>
    <w:rsid w:val="003A20F2"/>
    <w:rsid w:val="003A268F"/>
    <w:rsid w:val="003A3DB4"/>
    <w:rsid w:val="003A604C"/>
    <w:rsid w:val="003B7670"/>
    <w:rsid w:val="003C00A5"/>
    <w:rsid w:val="003C4878"/>
    <w:rsid w:val="003C4CAF"/>
    <w:rsid w:val="003D16C4"/>
    <w:rsid w:val="003D3A67"/>
    <w:rsid w:val="003D3FA3"/>
    <w:rsid w:val="003E2A69"/>
    <w:rsid w:val="003E3469"/>
    <w:rsid w:val="003F16BA"/>
    <w:rsid w:val="003F6A14"/>
    <w:rsid w:val="003F702F"/>
    <w:rsid w:val="003F72BA"/>
    <w:rsid w:val="003F7E0D"/>
    <w:rsid w:val="00400F8F"/>
    <w:rsid w:val="00401C12"/>
    <w:rsid w:val="00403340"/>
    <w:rsid w:val="00406705"/>
    <w:rsid w:val="0041406F"/>
    <w:rsid w:val="004169FF"/>
    <w:rsid w:val="00421154"/>
    <w:rsid w:val="004233D1"/>
    <w:rsid w:val="00427E63"/>
    <w:rsid w:val="00430154"/>
    <w:rsid w:val="00434E83"/>
    <w:rsid w:val="00437249"/>
    <w:rsid w:val="00440149"/>
    <w:rsid w:val="00440FE6"/>
    <w:rsid w:val="0044147E"/>
    <w:rsid w:val="00442BE2"/>
    <w:rsid w:val="00446C70"/>
    <w:rsid w:val="00447503"/>
    <w:rsid w:val="004478D8"/>
    <w:rsid w:val="0045012B"/>
    <w:rsid w:val="0045356E"/>
    <w:rsid w:val="00461487"/>
    <w:rsid w:val="0046215A"/>
    <w:rsid w:val="004632FD"/>
    <w:rsid w:val="004633DB"/>
    <w:rsid w:val="004655E0"/>
    <w:rsid w:val="0047026A"/>
    <w:rsid w:val="00472847"/>
    <w:rsid w:val="00473937"/>
    <w:rsid w:val="004740B2"/>
    <w:rsid w:val="00474E92"/>
    <w:rsid w:val="00476F6B"/>
    <w:rsid w:val="00480ADB"/>
    <w:rsid w:val="00483E55"/>
    <w:rsid w:val="00486278"/>
    <w:rsid w:val="004906BC"/>
    <w:rsid w:val="0049394A"/>
    <w:rsid w:val="00494246"/>
    <w:rsid w:val="0049730D"/>
    <w:rsid w:val="004A61A8"/>
    <w:rsid w:val="004B10DD"/>
    <w:rsid w:val="004B317E"/>
    <w:rsid w:val="004B652A"/>
    <w:rsid w:val="004B682A"/>
    <w:rsid w:val="004B6F2C"/>
    <w:rsid w:val="004B73BD"/>
    <w:rsid w:val="004C01D6"/>
    <w:rsid w:val="004C4290"/>
    <w:rsid w:val="004C6E2F"/>
    <w:rsid w:val="004D0E53"/>
    <w:rsid w:val="004D1081"/>
    <w:rsid w:val="004D1790"/>
    <w:rsid w:val="004D3C5A"/>
    <w:rsid w:val="004D529D"/>
    <w:rsid w:val="004D5F23"/>
    <w:rsid w:val="004E1CA6"/>
    <w:rsid w:val="004E2DB6"/>
    <w:rsid w:val="004E6230"/>
    <w:rsid w:val="004F10AC"/>
    <w:rsid w:val="004F231A"/>
    <w:rsid w:val="004F3423"/>
    <w:rsid w:val="004F6961"/>
    <w:rsid w:val="0050449E"/>
    <w:rsid w:val="00510068"/>
    <w:rsid w:val="0052193D"/>
    <w:rsid w:val="005228FB"/>
    <w:rsid w:val="00522AE8"/>
    <w:rsid w:val="00530CAF"/>
    <w:rsid w:val="00536DD0"/>
    <w:rsid w:val="00541615"/>
    <w:rsid w:val="00550006"/>
    <w:rsid w:val="00551345"/>
    <w:rsid w:val="005542E0"/>
    <w:rsid w:val="0055781E"/>
    <w:rsid w:val="00570DA7"/>
    <w:rsid w:val="00572285"/>
    <w:rsid w:val="00576AB1"/>
    <w:rsid w:val="005777ED"/>
    <w:rsid w:val="00582248"/>
    <w:rsid w:val="0058439D"/>
    <w:rsid w:val="00585ADB"/>
    <w:rsid w:val="005863AB"/>
    <w:rsid w:val="005907B6"/>
    <w:rsid w:val="005A098C"/>
    <w:rsid w:val="005A3DBF"/>
    <w:rsid w:val="005A4D7A"/>
    <w:rsid w:val="005A7777"/>
    <w:rsid w:val="005B1138"/>
    <w:rsid w:val="005C02C7"/>
    <w:rsid w:val="005C4004"/>
    <w:rsid w:val="005C4C0C"/>
    <w:rsid w:val="005C70F6"/>
    <w:rsid w:val="005D29EF"/>
    <w:rsid w:val="005D37E8"/>
    <w:rsid w:val="005D5403"/>
    <w:rsid w:val="005E3DC3"/>
    <w:rsid w:val="005F3CDC"/>
    <w:rsid w:val="00600398"/>
    <w:rsid w:val="00602A43"/>
    <w:rsid w:val="006050C9"/>
    <w:rsid w:val="00617518"/>
    <w:rsid w:val="006212E7"/>
    <w:rsid w:val="00625475"/>
    <w:rsid w:val="0062717A"/>
    <w:rsid w:val="006312A6"/>
    <w:rsid w:val="00635CC0"/>
    <w:rsid w:val="00643EFC"/>
    <w:rsid w:val="00650456"/>
    <w:rsid w:val="00651661"/>
    <w:rsid w:val="00651C0C"/>
    <w:rsid w:val="006522CB"/>
    <w:rsid w:val="00654D61"/>
    <w:rsid w:val="0065777F"/>
    <w:rsid w:val="0065779D"/>
    <w:rsid w:val="006621C8"/>
    <w:rsid w:val="0066397C"/>
    <w:rsid w:val="00664246"/>
    <w:rsid w:val="00664375"/>
    <w:rsid w:val="0066460F"/>
    <w:rsid w:val="00666BA2"/>
    <w:rsid w:val="0066779B"/>
    <w:rsid w:val="00671F28"/>
    <w:rsid w:val="0068294A"/>
    <w:rsid w:val="00684658"/>
    <w:rsid w:val="00684BCF"/>
    <w:rsid w:val="00686691"/>
    <w:rsid w:val="00690749"/>
    <w:rsid w:val="00691446"/>
    <w:rsid w:val="00692503"/>
    <w:rsid w:val="00693119"/>
    <w:rsid w:val="00693980"/>
    <w:rsid w:val="00694EE5"/>
    <w:rsid w:val="006967A1"/>
    <w:rsid w:val="006A530E"/>
    <w:rsid w:val="006A5CB3"/>
    <w:rsid w:val="006B0BE1"/>
    <w:rsid w:val="006B16ED"/>
    <w:rsid w:val="006B2068"/>
    <w:rsid w:val="006B30B6"/>
    <w:rsid w:val="006B73FF"/>
    <w:rsid w:val="006C40F6"/>
    <w:rsid w:val="006C4C49"/>
    <w:rsid w:val="006D7289"/>
    <w:rsid w:val="006D7540"/>
    <w:rsid w:val="006D7B81"/>
    <w:rsid w:val="006E3078"/>
    <w:rsid w:val="006E365F"/>
    <w:rsid w:val="006E366E"/>
    <w:rsid w:val="006E3B9F"/>
    <w:rsid w:val="006E4F06"/>
    <w:rsid w:val="006E58AE"/>
    <w:rsid w:val="006E65FF"/>
    <w:rsid w:val="006F1478"/>
    <w:rsid w:val="006F1C05"/>
    <w:rsid w:val="006F23B6"/>
    <w:rsid w:val="006F4D38"/>
    <w:rsid w:val="006F623A"/>
    <w:rsid w:val="00700A24"/>
    <w:rsid w:val="00707C19"/>
    <w:rsid w:val="00717EC6"/>
    <w:rsid w:val="00725659"/>
    <w:rsid w:val="00726400"/>
    <w:rsid w:val="00735BC9"/>
    <w:rsid w:val="00735D94"/>
    <w:rsid w:val="00743437"/>
    <w:rsid w:val="00744F95"/>
    <w:rsid w:val="00745A88"/>
    <w:rsid w:val="00745DDE"/>
    <w:rsid w:val="00750DCE"/>
    <w:rsid w:val="00751708"/>
    <w:rsid w:val="00751B16"/>
    <w:rsid w:val="0075667E"/>
    <w:rsid w:val="007604BD"/>
    <w:rsid w:val="00763074"/>
    <w:rsid w:val="007645BC"/>
    <w:rsid w:val="00771BAA"/>
    <w:rsid w:val="007732FE"/>
    <w:rsid w:val="00782208"/>
    <w:rsid w:val="0078604C"/>
    <w:rsid w:val="00797CDD"/>
    <w:rsid w:val="007A067A"/>
    <w:rsid w:val="007A4D77"/>
    <w:rsid w:val="007A7354"/>
    <w:rsid w:val="007B2FED"/>
    <w:rsid w:val="007B5A52"/>
    <w:rsid w:val="007C5075"/>
    <w:rsid w:val="007C5FC8"/>
    <w:rsid w:val="007C6ADB"/>
    <w:rsid w:val="007C7407"/>
    <w:rsid w:val="007E2071"/>
    <w:rsid w:val="007E4A9B"/>
    <w:rsid w:val="007E531D"/>
    <w:rsid w:val="007E61CA"/>
    <w:rsid w:val="007F13A7"/>
    <w:rsid w:val="007F23EC"/>
    <w:rsid w:val="007F548B"/>
    <w:rsid w:val="007F6C87"/>
    <w:rsid w:val="00800AA5"/>
    <w:rsid w:val="00804E6A"/>
    <w:rsid w:val="008059A6"/>
    <w:rsid w:val="00805C0C"/>
    <w:rsid w:val="00806DA7"/>
    <w:rsid w:val="00812953"/>
    <w:rsid w:val="0081551A"/>
    <w:rsid w:val="0082157B"/>
    <w:rsid w:val="008352B8"/>
    <w:rsid w:val="0084029F"/>
    <w:rsid w:val="008433B1"/>
    <w:rsid w:val="00865464"/>
    <w:rsid w:val="00865937"/>
    <w:rsid w:val="00866CC9"/>
    <w:rsid w:val="00867091"/>
    <w:rsid w:val="00870ED5"/>
    <w:rsid w:val="008720F3"/>
    <w:rsid w:val="00876579"/>
    <w:rsid w:val="00880747"/>
    <w:rsid w:val="00880BA5"/>
    <w:rsid w:val="00882E34"/>
    <w:rsid w:val="00892278"/>
    <w:rsid w:val="0089437C"/>
    <w:rsid w:val="008978E6"/>
    <w:rsid w:val="008A0B77"/>
    <w:rsid w:val="008A4817"/>
    <w:rsid w:val="008C1060"/>
    <w:rsid w:val="008C362C"/>
    <w:rsid w:val="008C76C1"/>
    <w:rsid w:val="008E05A8"/>
    <w:rsid w:val="008E7622"/>
    <w:rsid w:val="008F555E"/>
    <w:rsid w:val="009000AB"/>
    <w:rsid w:val="00903C03"/>
    <w:rsid w:val="0090407F"/>
    <w:rsid w:val="00916390"/>
    <w:rsid w:val="00916FBE"/>
    <w:rsid w:val="0091760F"/>
    <w:rsid w:val="009371D8"/>
    <w:rsid w:val="00944FD8"/>
    <w:rsid w:val="009537B3"/>
    <w:rsid w:val="00954029"/>
    <w:rsid w:val="00955031"/>
    <w:rsid w:val="00955404"/>
    <w:rsid w:val="00956603"/>
    <w:rsid w:val="00970CB3"/>
    <w:rsid w:val="00973A1A"/>
    <w:rsid w:val="00975505"/>
    <w:rsid w:val="009771F7"/>
    <w:rsid w:val="009856EF"/>
    <w:rsid w:val="00994144"/>
    <w:rsid w:val="009A304E"/>
    <w:rsid w:val="009A35C7"/>
    <w:rsid w:val="009A3715"/>
    <w:rsid w:val="009A3D40"/>
    <w:rsid w:val="009A5C43"/>
    <w:rsid w:val="009A5E66"/>
    <w:rsid w:val="009A7838"/>
    <w:rsid w:val="009B2188"/>
    <w:rsid w:val="009B2B6A"/>
    <w:rsid w:val="009B77C1"/>
    <w:rsid w:val="009C0AD8"/>
    <w:rsid w:val="009C18C8"/>
    <w:rsid w:val="009D4C6C"/>
    <w:rsid w:val="009D68D1"/>
    <w:rsid w:val="009E057B"/>
    <w:rsid w:val="009E0AB7"/>
    <w:rsid w:val="009E0ABA"/>
    <w:rsid w:val="009E136D"/>
    <w:rsid w:val="009E2C74"/>
    <w:rsid w:val="009E41AC"/>
    <w:rsid w:val="009E489B"/>
    <w:rsid w:val="009F1254"/>
    <w:rsid w:val="009F1EE6"/>
    <w:rsid w:val="009F5882"/>
    <w:rsid w:val="00A04594"/>
    <w:rsid w:val="00A113D8"/>
    <w:rsid w:val="00A11E84"/>
    <w:rsid w:val="00A13A56"/>
    <w:rsid w:val="00A15259"/>
    <w:rsid w:val="00A17652"/>
    <w:rsid w:val="00A264C8"/>
    <w:rsid w:val="00A34C5A"/>
    <w:rsid w:val="00A422B6"/>
    <w:rsid w:val="00A43366"/>
    <w:rsid w:val="00A51299"/>
    <w:rsid w:val="00A55D96"/>
    <w:rsid w:val="00A62231"/>
    <w:rsid w:val="00A648DF"/>
    <w:rsid w:val="00A72B47"/>
    <w:rsid w:val="00A73F5B"/>
    <w:rsid w:val="00A764A0"/>
    <w:rsid w:val="00A77D68"/>
    <w:rsid w:val="00A800BF"/>
    <w:rsid w:val="00A81FE3"/>
    <w:rsid w:val="00A831D8"/>
    <w:rsid w:val="00A83860"/>
    <w:rsid w:val="00A83ECD"/>
    <w:rsid w:val="00A8595C"/>
    <w:rsid w:val="00A87CA1"/>
    <w:rsid w:val="00A91562"/>
    <w:rsid w:val="00A96FA8"/>
    <w:rsid w:val="00AA243F"/>
    <w:rsid w:val="00AA30A6"/>
    <w:rsid w:val="00AB2038"/>
    <w:rsid w:val="00AB66E0"/>
    <w:rsid w:val="00AB6AAC"/>
    <w:rsid w:val="00AC1FE7"/>
    <w:rsid w:val="00AC6CF4"/>
    <w:rsid w:val="00AD233D"/>
    <w:rsid w:val="00AD2F06"/>
    <w:rsid w:val="00AD4C7B"/>
    <w:rsid w:val="00AD5601"/>
    <w:rsid w:val="00AD65B2"/>
    <w:rsid w:val="00AD681C"/>
    <w:rsid w:val="00AD7E33"/>
    <w:rsid w:val="00AE1292"/>
    <w:rsid w:val="00AE2D98"/>
    <w:rsid w:val="00AE480F"/>
    <w:rsid w:val="00AE4B66"/>
    <w:rsid w:val="00AE7A15"/>
    <w:rsid w:val="00AF3D0A"/>
    <w:rsid w:val="00AF4DB5"/>
    <w:rsid w:val="00B01F42"/>
    <w:rsid w:val="00B03919"/>
    <w:rsid w:val="00B1049C"/>
    <w:rsid w:val="00B11A35"/>
    <w:rsid w:val="00B11FF9"/>
    <w:rsid w:val="00B1216B"/>
    <w:rsid w:val="00B1390F"/>
    <w:rsid w:val="00B152FF"/>
    <w:rsid w:val="00B17434"/>
    <w:rsid w:val="00B223FE"/>
    <w:rsid w:val="00B22F3F"/>
    <w:rsid w:val="00B2319D"/>
    <w:rsid w:val="00B23941"/>
    <w:rsid w:val="00B257C1"/>
    <w:rsid w:val="00B365C9"/>
    <w:rsid w:val="00B41DB3"/>
    <w:rsid w:val="00B43B15"/>
    <w:rsid w:val="00B44BAA"/>
    <w:rsid w:val="00B45F49"/>
    <w:rsid w:val="00B463E5"/>
    <w:rsid w:val="00B52494"/>
    <w:rsid w:val="00B57BE2"/>
    <w:rsid w:val="00B602F2"/>
    <w:rsid w:val="00B61E1C"/>
    <w:rsid w:val="00B628A5"/>
    <w:rsid w:val="00B631EE"/>
    <w:rsid w:val="00B6330D"/>
    <w:rsid w:val="00B64590"/>
    <w:rsid w:val="00B65351"/>
    <w:rsid w:val="00B802E2"/>
    <w:rsid w:val="00B80E31"/>
    <w:rsid w:val="00B84D1A"/>
    <w:rsid w:val="00B8536B"/>
    <w:rsid w:val="00B869D8"/>
    <w:rsid w:val="00B87B13"/>
    <w:rsid w:val="00B90284"/>
    <w:rsid w:val="00BA6F30"/>
    <w:rsid w:val="00BB1513"/>
    <w:rsid w:val="00BB68AB"/>
    <w:rsid w:val="00BC1321"/>
    <w:rsid w:val="00BC4E92"/>
    <w:rsid w:val="00BC5352"/>
    <w:rsid w:val="00BC5970"/>
    <w:rsid w:val="00BD33EC"/>
    <w:rsid w:val="00BD51A4"/>
    <w:rsid w:val="00BE36FF"/>
    <w:rsid w:val="00BF0793"/>
    <w:rsid w:val="00BF2527"/>
    <w:rsid w:val="00BF43C2"/>
    <w:rsid w:val="00BF7893"/>
    <w:rsid w:val="00BF7BFC"/>
    <w:rsid w:val="00C03FF2"/>
    <w:rsid w:val="00C06CD9"/>
    <w:rsid w:val="00C06DF5"/>
    <w:rsid w:val="00C1322C"/>
    <w:rsid w:val="00C13DF8"/>
    <w:rsid w:val="00C14F18"/>
    <w:rsid w:val="00C16E9B"/>
    <w:rsid w:val="00C23360"/>
    <w:rsid w:val="00C301FD"/>
    <w:rsid w:val="00C45974"/>
    <w:rsid w:val="00C52238"/>
    <w:rsid w:val="00C52288"/>
    <w:rsid w:val="00C57737"/>
    <w:rsid w:val="00C62A45"/>
    <w:rsid w:val="00C63D1E"/>
    <w:rsid w:val="00C659C4"/>
    <w:rsid w:val="00C704A0"/>
    <w:rsid w:val="00C731A2"/>
    <w:rsid w:val="00C77795"/>
    <w:rsid w:val="00C801CC"/>
    <w:rsid w:val="00C821E4"/>
    <w:rsid w:val="00C82738"/>
    <w:rsid w:val="00C83510"/>
    <w:rsid w:val="00C835A5"/>
    <w:rsid w:val="00C87CDA"/>
    <w:rsid w:val="00C913E9"/>
    <w:rsid w:val="00C91487"/>
    <w:rsid w:val="00C9237D"/>
    <w:rsid w:val="00C9581B"/>
    <w:rsid w:val="00CA68DA"/>
    <w:rsid w:val="00CA7035"/>
    <w:rsid w:val="00CB39C1"/>
    <w:rsid w:val="00CB713E"/>
    <w:rsid w:val="00CC074F"/>
    <w:rsid w:val="00CC3CCE"/>
    <w:rsid w:val="00CD1DCF"/>
    <w:rsid w:val="00CD205D"/>
    <w:rsid w:val="00CD2266"/>
    <w:rsid w:val="00CD551B"/>
    <w:rsid w:val="00CD67B2"/>
    <w:rsid w:val="00CE1FAA"/>
    <w:rsid w:val="00CE37B8"/>
    <w:rsid w:val="00CE42F4"/>
    <w:rsid w:val="00CE71F7"/>
    <w:rsid w:val="00CF03B8"/>
    <w:rsid w:val="00CF2C19"/>
    <w:rsid w:val="00CF3048"/>
    <w:rsid w:val="00CF31C5"/>
    <w:rsid w:val="00CF3683"/>
    <w:rsid w:val="00CF406F"/>
    <w:rsid w:val="00CF514A"/>
    <w:rsid w:val="00D03DA6"/>
    <w:rsid w:val="00D0565E"/>
    <w:rsid w:val="00D114B2"/>
    <w:rsid w:val="00D11D6C"/>
    <w:rsid w:val="00D17074"/>
    <w:rsid w:val="00D221D5"/>
    <w:rsid w:val="00D229F7"/>
    <w:rsid w:val="00D233F5"/>
    <w:rsid w:val="00D24D60"/>
    <w:rsid w:val="00D27A4B"/>
    <w:rsid w:val="00D34EB7"/>
    <w:rsid w:val="00D3556F"/>
    <w:rsid w:val="00D375C6"/>
    <w:rsid w:val="00D37842"/>
    <w:rsid w:val="00D37BA5"/>
    <w:rsid w:val="00D442D8"/>
    <w:rsid w:val="00D4619C"/>
    <w:rsid w:val="00D47D22"/>
    <w:rsid w:val="00D50D83"/>
    <w:rsid w:val="00D546E2"/>
    <w:rsid w:val="00D5556E"/>
    <w:rsid w:val="00D561DE"/>
    <w:rsid w:val="00D57174"/>
    <w:rsid w:val="00D60E5B"/>
    <w:rsid w:val="00D610A0"/>
    <w:rsid w:val="00D67CA0"/>
    <w:rsid w:val="00D7118C"/>
    <w:rsid w:val="00D8078C"/>
    <w:rsid w:val="00D8336B"/>
    <w:rsid w:val="00D85FA4"/>
    <w:rsid w:val="00D91253"/>
    <w:rsid w:val="00D94006"/>
    <w:rsid w:val="00D952FF"/>
    <w:rsid w:val="00D9603F"/>
    <w:rsid w:val="00D96C7F"/>
    <w:rsid w:val="00DA3D80"/>
    <w:rsid w:val="00DA5308"/>
    <w:rsid w:val="00DA67EF"/>
    <w:rsid w:val="00DA68EE"/>
    <w:rsid w:val="00DB3F3F"/>
    <w:rsid w:val="00DC02B4"/>
    <w:rsid w:val="00DC31A1"/>
    <w:rsid w:val="00DC6124"/>
    <w:rsid w:val="00DC67DE"/>
    <w:rsid w:val="00DD5F5C"/>
    <w:rsid w:val="00DD6155"/>
    <w:rsid w:val="00DD6400"/>
    <w:rsid w:val="00DD7ABA"/>
    <w:rsid w:val="00DE036C"/>
    <w:rsid w:val="00DE07AE"/>
    <w:rsid w:val="00DE0E4F"/>
    <w:rsid w:val="00DE4B06"/>
    <w:rsid w:val="00DF0BEC"/>
    <w:rsid w:val="00DF10DC"/>
    <w:rsid w:val="00DF1C6B"/>
    <w:rsid w:val="00E00E80"/>
    <w:rsid w:val="00E0317A"/>
    <w:rsid w:val="00E120FB"/>
    <w:rsid w:val="00E13D2B"/>
    <w:rsid w:val="00E169E5"/>
    <w:rsid w:val="00E24791"/>
    <w:rsid w:val="00E24E67"/>
    <w:rsid w:val="00E265C2"/>
    <w:rsid w:val="00E31293"/>
    <w:rsid w:val="00E43CF6"/>
    <w:rsid w:val="00E44C2B"/>
    <w:rsid w:val="00E468F7"/>
    <w:rsid w:val="00E522CF"/>
    <w:rsid w:val="00E52EE3"/>
    <w:rsid w:val="00E56569"/>
    <w:rsid w:val="00E63094"/>
    <w:rsid w:val="00E631D6"/>
    <w:rsid w:val="00E6468D"/>
    <w:rsid w:val="00E65670"/>
    <w:rsid w:val="00E65C65"/>
    <w:rsid w:val="00E65EAE"/>
    <w:rsid w:val="00E70D77"/>
    <w:rsid w:val="00E7504A"/>
    <w:rsid w:val="00E7696F"/>
    <w:rsid w:val="00E76A2A"/>
    <w:rsid w:val="00E7721E"/>
    <w:rsid w:val="00E809B8"/>
    <w:rsid w:val="00E8133B"/>
    <w:rsid w:val="00E8221E"/>
    <w:rsid w:val="00E84888"/>
    <w:rsid w:val="00E85328"/>
    <w:rsid w:val="00E85449"/>
    <w:rsid w:val="00E85474"/>
    <w:rsid w:val="00E86990"/>
    <w:rsid w:val="00E91E91"/>
    <w:rsid w:val="00EA4301"/>
    <w:rsid w:val="00EA4B21"/>
    <w:rsid w:val="00EA54ED"/>
    <w:rsid w:val="00EA6B9F"/>
    <w:rsid w:val="00EB09DB"/>
    <w:rsid w:val="00EB17A0"/>
    <w:rsid w:val="00EB1F7C"/>
    <w:rsid w:val="00EB37C2"/>
    <w:rsid w:val="00EB3831"/>
    <w:rsid w:val="00EB7F34"/>
    <w:rsid w:val="00EC0BD5"/>
    <w:rsid w:val="00EC2011"/>
    <w:rsid w:val="00EC650C"/>
    <w:rsid w:val="00EC704D"/>
    <w:rsid w:val="00ED1097"/>
    <w:rsid w:val="00ED46AD"/>
    <w:rsid w:val="00ED4F11"/>
    <w:rsid w:val="00EE11FB"/>
    <w:rsid w:val="00EE4090"/>
    <w:rsid w:val="00EE7F03"/>
    <w:rsid w:val="00EF1459"/>
    <w:rsid w:val="00EF542B"/>
    <w:rsid w:val="00F05482"/>
    <w:rsid w:val="00F05724"/>
    <w:rsid w:val="00F116E5"/>
    <w:rsid w:val="00F118C4"/>
    <w:rsid w:val="00F12BF1"/>
    <w:rsid w:val="00F14FD6"/>
    <w:rsid w:val="00F155C6"/>
    <w:rsid w:val="00F217AD"/>
    <w:rsid w:val="00F218E9"/>
    <w:rsid w:val="00F32BA5"/>
    <w:rsid w:val="00F379E6"/>
    <w:rsid w:val="00F42E41"/>
    <w:rsid w:val="00F43344"/>
    <w:rsid w:val="00F4379E"/>
    <w:rsid w:val="00F43AF1"/>
    <w:rsid w:val="00F52F17"/>
    <w:rsid w:val="00F569B2"/>
    <w:rsid w:val="00F620AC"/>
    <w:rsid w:val="00F632E0"/>
    <w:rsid w:val="00F63E0F"/>
    <w:rsid w:val="00F707A7"/>
    <w:rsid w:val="00F731E6"/>
    <w:rsid w:val="00F7408D"/>
    <w:rsid w:val="00F926A8"/>
    <w:rsid w:val="00F96366"/>
    <w:rsid w:val="00FB0B6C"/>
    <w:rsid w:val="00FB4552"/>
    <w:rsid w:val="00FB762D"/>
    <w:rsid w:val="00FC2AF6"/>
    <w:rsid w:val="00FC30B9"/>
    <w:rsid w:val="00FC3D61"/>
    <w:rsid w:val="00FC5C03"/>
    <w:rsid w:val="00FC70A6"/>
    <w:rsid w:val="00FD00F3"/>
    <w:rsid w:val="00FD1BB0"/>
    <w:rsid w:val="00FD5E8E"/>
    <w:rsid w:val="00FD5FDC"/>
    <w:rsid w:val="00FD6A82"/>
    <w:rsid w:val="00FE0D64"/>
    <w:rsid w:val="00FE1D51"/>
    <w:rsid w:val="00FE23F2"/>
    <w:rsid w:val="00FE2D6C"/>
    <w:rsid w:val="00FF17A2"/>
    <w:rsid w:val="00FF2DDE"/>
    <w:rsid w:val="00FF50D1"/>
    <w:rsid w:val="00FF7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BBD15"/>
  <w15:docId w15:val="{FE29BEE3-2E01-422E-BEBC-02DCACAF3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D7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4D7A"/>
    <w:pPr>
      <w:tabs>
        <w:tab w:val="center" w:pos="4680"/>
        <w:tab w:val="right" w:pos="9360"/>
      </w:tabs>
    </w:pPr>
  </w:style>
  <w:style w:type="character" w:customStyle="1" w:styleId="HeaderChar">
    <w:name w:val="Header Char"/>
    <w:basedOn w:val="DefaultParagraphFont"/>
    <w:link w:val="Header"/>
    <w:uiPriority w:val="99"/>
    <w:rsid w:val="005A4D7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A4D7A"/>
    <w:pPr>
      <w:tabs>
        <w:tab w:val="center" w:pos="4680"/>
        <w:tab w:val="right" w:pos="9360"/>
      </w:tabs>
    </w:pPr>
  </w:style>
  <w:style w:type="character" w:customStyle="1" w:styleId="FooterChar">
    <w:name w:val="Footer Char"/>
    <w:basedOn w:val="DefaultParagraphFont"/>
    <w:link w:val="Footer"/>
    <w:uiPriority w:val="99"/>
    <w:rsid w:val="005A4D7A"/>
    <w:rPr>
      <w:rFonts w:ascii="Times New Roman" w:eastAsia="Times New Roman" w:hAnsi="Times New Roman" w:cs="Times New Roman"/>
      <w:sz w:val="24"/>
      <w:szCs w:val="24"/>
    </w:rPr>
  </w:style>
  <w:style w:type="paragraph" w:styleId="ListParagraph">
    <w:name w:val="List Paragraph"/>
    <w:basedOn w:val="Normal"/>
    <w:uiPriority w:val="34"/>
    <w:qFormat/>
    <w:rsid w:val="004A61A8"/>
    <w:pPr>
      <w:ind w:left="720"/>
      <w:contextualSpacing/>
    </w:pPr>
  </w:style>
  <w:style w:type="paragraph" w:styleId="BalloonText">
    <w:name w:val="Balloon Text"/>
    <w:basedOn w:val="Normal"/>
    <w:link w:val="BalloonTextChar"/>
    <w:uiPriority w:val="99"/>
    <w:semiHidden/>
    <w:unhideWhenUsed/>
    <w:rsid w:val="00B121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216B"/>
    <w:rPr>
      <w:rFonts w:ascii="Segoe UI" w:eastAsia="Times New Roman" w:hAnsi="Segoe UI" w:cs="Segoe UI"/>
      <w:sz w:val="18"/>
      <w:szCs w:val="18"/>
    </w:rPr>
  </w:style>
  <w:style w:type="paragraph" w:styleId="NoSpacing">
    <w:name w:val="No Spacing"/>
    <w:uiPriority w:val="1"/>
    <w:qFormat/>
    <w:rsid w:val="00010ED1"/>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D7289"/>
    <w:pPr>
      <w:spacing w:before="100" w:beforeAutospacing="1" w:after="100" w:afterAutospacing="1"/>
    </w:pPr>
    <w:rPr>
      <w:lang w:val="en-ZW" w:eastAsia="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320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1606</Words>
  <Characters>9155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jsc-Mujuru</dc:creator>
  <cp:lastModifiedBy>JSC</cp:lastModifiedBy>
  <cp:revision>2</cp:revision>
  <cp:lastPrinted>2023-05-18T11:01:00Z</cp:lastPrinted>
  <dcterms:created xsi:type="dcterms:W3CDTF">2023-05-19T09:55:00Z</dcterms:created>
  <dcterms:modified xsi:type="dcterms:W3CDTF">2023-05-19T09:55:00Z</dcterms:modified>
</cp:coreProperties>
</file>