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C0F" w:rsidRDefault="00317DF6">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PANASHE PETROLEUM </w:t>
      </w:r>
    </w:p>
    <w:p w:rsidR="004F7C0F" w:rsidRDefault="00317DF6">
      <w:pPr>
        <w:rPr>
          <w:rFonts w:ascii="Times New Roman" w:hAnsi="Times New Roman" w:cs="Times New Roman"/>
          <w:b/>
        </w:rPr>
      </w:pPr>
      <w:r>
        <w:rPr>
          <w:rFonts w:ascii="Times New Roman" w:hAnsi="Times New Roman" w:cs="Times New Roman"/>
          <w:b/>
        </w:rPr>
        <w:t>And</w:t>
      </w:r>
    </w:p>
    <w:p w:rsidR="004F7C0F" w:rsidRDefault="00317DF6">
      <w:pPr>
        <w:pStyle w:val="NoSpacing"/>
        <w:jc w:val="both"/>
        <w:rPr>
          <w:rFonts w:ascii="Times New Roman" w:hAnsi="Times New Roman" w:cs="Times New Roman"/>
          <w:b/>
          <w:bCs/>
          <w:sz w:val="24"/>
          <w:szCs w:val="24"/>
        </w:rPr>
      </w:pPr>
      <w:r>
        <w:rPr>
          <w:rFonts w:ascii="Times New Roman" w:hAnsi="Times New Roman" w:cs="Times New Roman"/>
          <w:b/>
          <w:sz w:val="24"/>
          <w:szCs w:val="24"/>
        </w:rPr>
        <w:t>ELIMA FU</w:t>
      </w:r>
      <w:bookmarkStart w:id="0" w:name="_GoBack"/>
      <w:bookmarkEnd w:id="0"/>
      <w:r>
        <w:rPr>
          <w:rFonts w:ascii="Times New Roman" w:hAnsi="Times New Roman" w:cs="Times New Roman"/>
          <w:b/>
          <w:sz w:val="24"/>
          <w:szCs w:val="24"/>
        </w:rPr>
        <w:t>ELS (PVT) LTD</w:t>
      </w:r>
    </w:p>
    <w:p w:rsidR="004F7C0F" w:rsidRDefault="004F7C0F">
      <w:pPr>
        <w:pStyle w:val="NoSpacing"/>
        <w:jc w:val="both"/>
        <w:rPr>
          <w:rFonts w:ascii="Times New Roman" w:hAnsi="Times New Roman" w:cs="Times New Roman"/>
          <w:b/>
          <w:sz w:val="24"/>
          <w:szCs w:val="24"/>
        </w:rPr>
      </w:pPr>
    </w:p>
    <w:p w:rsidR="004F7C0F" w:rsidRDefault="00317DF6">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rsidR="004F7C0F" w:rsidRDefault="004F7C0F">
      <w:pPr>
        <w:pStyle w:val="NoSpacing"/>
        <w:jc w:val="both"/>
        <w:rPr>
          <w:rFonts w:ascii="Times New Roman" w:hAnsi="Times New Roman" w:cs="Times New Roman"/>
          <w:b/>
          <w:sz w:val="24"/>
          <w:szCs w:val="24"/>
        </w:rPr>
      </w:pPr>
    </w:p>
    <w:p w:rsidR="004F7C0F" w:rsidRDefault="00317DF6">
      <w:pPr>
        <w:pStyle w:val="NoSpacing"/>
        <w:jc w:val="both"/>
        <w:rPr>
          <w:rFonts w:ascii="Times New Roman" w:hAnsi="Times New Roman" w:cs="Times New Roman"/>
          <w:sz w:val="24"/>
          <w:szCs w:val="24"/>
        </w:rPr>
      </w:pPr>
      <w:r>
        <w:rPr>
          <w:rFonts w:ascii="Times New Roman" w:hAnsi="Times New Roman" w:cs="Times New Roman"/>
          <w:b/>
          <w:bCs/>
          <w:sz w:val="24"/>
          <w:szCs w:val="24"/>
        </w:rPr>
        <w:t>A ONE TRANSPORT (P</w:t>
      </w:r>
      <w:r>
        <w:rPr>
          <w:rFonts w:ascii="Times New Roman" w:hAnsi="Times New Roman" w:cs="Times New Roman"/>
          <w:b/>
          <w:bCs/>
          <w:sz w:val="24"/>
          <w:szCs w:val="24"/>
        </w:rPr>
        <w:t>VT</w:t>
      </w:r>
      <w:r>
        <w:rPr>
          <w:rFonts w:ascii="Times New Roman" w:hAnsi="Times New Roman" w:cs="Times New Roman"/>
          <w:b/>
          <w:bCs/>
          <w:sz w:val="24"/>
          <w:szCs w:val="24"/>
        </w:rPr>
        <w:t>) LTD</w:t>
      </w:r>
      <w:r>
        <w:rPr>
          <w:rFonts w:ascii="Times New Roman" w:hAnsi="Times New Roman" w:cs="Times New Roman"/>
          <w:sz w:val="24"/>
          <w:szCs w:val="24"/>
        </w:rPr>
        <w:t xml:space="preserve"> </w:t>
      </w:r>
    </w:p>
    <w:p w:rsidR="004F7C0F" w:rsidRDefault="004F7C0F">
      <w:pPr>
        <w:pStyle w:val="NoSpacing"/>
        <w:jc w:val="both"/>
        <w:rPr>
          <w:rFonts w:ascii="Times New Roman" w:hAnsi="Times New Roman" w:cs="Times New Roman"/>
          <w:sz w:val="24"/>
          <w:szCs w:val="24"/>
        </w:rPr>
      </w:pPr>
    </w:p>
    <w:p w:rsidR="004F7C0F" w:rsidRDefault="00317DF6">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4F7C0F" w:rsidRDefault="00317DF6">
      <w:pPr>
        <w:spacing w:after="0" w:line="240" w:lineRule="auto"/>
        <w:rPr>
          <w:rFonts w:ascii="Times New Roman" w:hAnsi="Times New Roman" w:cs="Times New Roman"/>
        </w:rPr>
      </w:pPr>
      <w:r>
        <w:rPr>
          <w:rFonts w:ascii="Times New Roman" w:hAnsi="Times New Roman" w:cs="Times New Roman"/>
        </w:rPr>
        <w:t xml:space="preserve">COMMERCIAL DIVISION </w:t>
      </w:r>
    </w:p>
    <w:p w:rsidR="004F7C0F" w:rsidRDefault="00317DF6">
      <w:pPr>
        <w:pStyle w:val="NoSpacing"/>
        <w:jc w:val="both"/>
        <w:rPr>
          <w:rFonts w:ascii="Times New Roman" w:hAnsi="Times New Roman" w:cs="Times New Roman"/>
          <w:sz w:val="24"/>
          <w:szCs w:val="24"/>
        </w:rPr>
      </w:pPr>
      <w:r>
        <w:rPr>
          <w:rFonts w:ascii="Times New Roman" w:hAnsi="Times New Roman" w:cs="Times New Roman"/>
          <w:sz w:val="24"/>
          <w:szCs w:val="24"/>
        </w:rPr>
        <w:t>CHILIMBE AND NDLOVU JJ</w:t>
      </w:r>
    </w:p>
    <w:p w:rsidR="004F7C0F" w:rsidRDefault="00317DF6">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Pr>
          <w:rFonts w:ascii="Times New Roman" w:hAnsi="Times New Roman" w:cs="Times New Roman"/>
          <w:sz w:val="24"/>
          <w:szCs w:val="24"/>
        </w:rPr>
        <w:t>10 July</w:t>
      </w:r>
      <w:r>
        <w:rPr>
          <w:rFonts w:ascii="Times New Roman" w:hAnsi="Times New Roman" w:cs="Times New Roman"/>
          <w:sz w:val="24"/>
          <w:szCs w:val="24"/>
        </w:rPr>
        <w:t xml:space="preserve"> &amp; 27 August 2025. </w:t>
      </w:r>
    </w:p>
    <w:p w:rsidR="004F7C0F" w:rsidRDefault="004F7C0F">
      <w:pPr>
        <w:pStyle w:val="NoSpacing"/>
        <w:jc w:val="both"/>
        <w:rPr>
          <w:rFonts w:ascii="Times New Roman" w:hAnsi="Times New Roman" w:cs="Times New Roman"/>
          <w:sz w:val="24"/>
          <w:szCs w:val="24"/>
        </w:rPr>
      </w:pPr>
    </w:p>
    <w:p w:rsidR="004F7C0F" w:rsidRDefault="00317DF6">
      <w:pPr>
        <w:rPr>
          <w:rFonts w:ascii="Times New Roman" w:hAnsi="Times New Roman" w:cs="Times New Roman"/>
          <w:b/>
          <w:i/>
        </w:rPr>
      </w:pPr>
      <w:r>
        <w:rPr>
          <w:rFonts w:ascii="Times New Roman" w:hAnsi="Times New Roman" w:cs="Times New Roman"/>
          <w:b/>
          <w:i/>
        </w:rPr>
        <w:t>Civil Appeal</w:t>
      </w:r>
    </w:p>
    <w:p w:rsidR="004F7C0F" w:rsidRDefault="004F7C0F">
      <w:pPr>
        <w:pStyle w:val="NoSpacing"/>
        <w:jc w:val="both"/>
        <w:rPr>
          <w:rFonts w:ascii="Times New Roman" w:hAnsi="Times New Roman" w:cs="Times New Roman"/>
          <w:b/>
          <w:i/>
          <w:sz w:val="24"/>
          <w:szCs w:val="24"/>
        </w:rPr>
      </w:pPr>
    </w:p>
    <w:p w:rsidR="004F7C0F" w:rsidRDefault="004F7C0F">
      <w:pPr>
        <w:pStyle w:val="NoSpacing"/>
        <w:jc w:val="both"/>
        <w:rPr>
          <w:rFonts w:ascii="Times New Roman" w:hAnsi="Times New Roman" w:cs="Times New Roman"/>
          <w:sz w:val="24"/>
          <w:szCs w:val="24"/>
        </w:rPr>
      </w:pPr>
    </w:p>
    <w:p w:rsidR="004F7C0F" w:rsidRDefault="00317DF6">
      <w:pPr>
        <w:pStyle w:val="NoSpacing"/>
        <w:jc w:val="both"/>
        <w:rPr>
          <w:rFonts w:ascii="Times New Roman" w:hAnsi="Times New Roman" w:cs="Times New Roman"/>
          <w:sz w:val="24"/>
          <w:szCs w:val="24"/>
        </w:rPr>
      </w:pPr>
      <w:proofErr w:type="spellStart"/>
      <w:r>
        <w:rPr>
          <w:rFonts w:ascii="Times New Roman" w:hAnsi="Times New Roman" w:cs="Times New Roman"/>
          <w:iCs/>
          <w:sz w:val="24"/>
          <w:szCs w:val="24"/>
        </w:rPr>
        <w:t>Mr</w:t>
      </w:r>
      <w:proofErr w:type="spellEnd"/>
      <w:r>
        <w:rPr>
          <w:rFonts w:ascii="Times New Roman" w:hAnsi="Times New Roman" w:cs="Times New Roman"/>
          <w:iCs/>
          <w:sz w:val="24"/>
          <w:szCs w:val="24"/>
        </w:rPr>
        <w:t xml:space="preserve"> </w:t>
      </w:r>
      <w:r>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Masara</w:t>
      </w:r>
      <w:proofErr w:type="spellEnd"/>
      <w:r>
        <w:rPr>
          <w:rFonts w:ascii="Times New Roman" w:hAnsi="Times New Roman" w:cs="Times New Roman"/>
          <w:sz w:val="24"/>
          <w:szCs w:val="24"/>
        </w:rPr>
        <w:t xml:space="preserve">, for the </w:t>
      </w:r>
      <w:r>
        <w:rPr>
          <w:rFonts w:ascii="Times New Roman" w:hAnsi="Times New Roman" w:cs="Times New Roman"/>
          <w:sz w:val="24"/>
          <w:szCs w:val="24"/>
        </w:rPr>
        <w:t>Appellant</w:t>
      </w:r>
    </w:p>
    <w:p w:rsidR="004F7C0F" w:rsidRDefault="00317DF6">
      <w:pPr>
        <w:pStyle w:val="NoSpacing"/>
        <w:jc w:val="both"/>
        <w:rPr>
          <w:rFonts w:ascii="Times New Roman" w:hAnsi="Times New Roman" w:cs="Times New Roman"/>
          <w:sz w:val="24"/>
          <w:szCs w:val="24"/>
        </w:rPr>
      </w:pPr>
      <w:proofErr w:type="spellStart"/>
      <w:r>
        <w:rPr>
          <w:rFonts w:ascii="Times New Roman" w:hAnsi="Times New Roman" w:cs="Times New Roman"/>
          <w:iCs/>
          <w:sz w:val="24"/>
          <w:szCs w:val="24"/>
        </w:rPr>
        <w:t>M</w:t>
      </w:r>
      <w:r>
        <w:rPr>
          <w:rFonts w:ascii="Times New Roman" w:hAnsi="Times New Roman" w:cs="Times New Roman"/>
          <w:iCs/>
          <w:sz w:val="24"/>
          <w:szCs w:val="24"/>
        </w:rPr>
        <w:t>r</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w:t>
      </w:r>
      <w:r>
        <w:rPr>
          <w:rFonts w:ascii="Times New Roman" w:hAnsi="Times New Roman" w:cs="Times New Roman"/>
          <w:i/>
          <w:sz w:val="24"/>
          <w:szCs w:val="24"/>
        </w:rPr>
        <w:t>uringani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4F7C0F" w:rsidRDefault="004F7C0F">
      <w:pPr>
        <w:pStyle w:val="NoSpacing"/>
        <w:spacing w:line="360" w:lineRule="auto"/>
        <w:jc w:val="both"/>
        <w:rPr>
          <w:rFonts w:ascii="Times New Roman" w:hAnsi="Times New Roman" w:cs="Times New Roman"/>
          <w:sz w:val="24"/>
          <w:szCs w:val="24"/>
        </w:rPr>
      </w:pPr>
    </w:p>
    <w:p w:rsidR="004F7C0F" w:rsidRDefault="00317DF6">
      <w:pPr>
        <w:spacing w:line="360" w:lineRule="auto"/>
        <w:ind w:firstLine="720"/>
        <w:rPr>
          <w:rFonts w:ascii="Times New Roman" w:hAnsi="Times New Roman" w:cs="Times New Roman"/>
          <w:sz w:val="22"/>
          <w:szCs w:val="22"/>
        </w:rPr>
      </w:pPr>
      <w:r>
        <w:rPr>
          <w:rFonts w:ascii="Times New Roman" w:hAnsi="Times New Roman" w:cs="Times New Roman"/>
          <w:b/>
          <w:sz w:val="22"/>
          <w:szCs w:val="22"/>
        </w:rPr>
        <w:t>NDLOVU J</w:t>
      </w:r>
      <w:r>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sz w:val="22"/>
          <w:szCs w:val="22"/>
        </w:rPr>
        <w:t xml:space="preserve">This is an appeal against part of the judgment of the Magistrates’ </w:t>
      </w:r>
      <w:r>
        <w:rPr>
          <w:rFonts w:ascii="Times New Roman" w:hAnsi="Times New Roman" w:cs="Times New Roman"/>
          <w:sz w:val="22"/>
          <w:szCs w:val="22"/>
        </w:rPr>
        <w:t>C</w:t>
      </w:r>
      <w:r>
        <w:rPr>
          <w:rFonts w:ascii="Times New Roman" w:hAnsi="Times New Roman" w:cs="Times New Roman"/>
          <w:sz w:val="22"/>
          <w:szCs w:val="22"/>
        </w:rPr>
        <w:t xml:space="preserve">ourt sitting at Harare, handed down by </w:t>
      </w:r>
      <w:r>
        <w:rPr>
          <w:rFonts w:ascii="Times New Roman" w:hAnsi="Times New Roman" w:cs="Times New Roman"/>
          <w:i/>
          <w:sz w:val="22"/>
          <w:szCs w:val="22"/>
        </w:rPr>
        <w:t>Esquire</w:t>
      </w:r>
      <w:r>
        <w:rPr>
          <w:rFonts w:ascii="Times New Roman" w:hAnsi="Times New Roman" w:cs="Times New Roman"/>
          <w:sz w:val="22"/>
          <w:szCs w:val="22"/>
        </w:rPr>
        <w:t xml:space="preserve"> L NCUBE in Case No. HREC-CD112/25 on the </w:t>
      </w:r>
      <w:proofErr w:type="gramStart"/>
      <w:r>
        <w:rPr>
          <w:rFonts w:ascii="Times New Roman" w:hAnsi="Times New Roman" w:cs="Times New Roman"/>
          <w:sz w:val="22"/>
          <w:szCs w:val="22"/>
        </w:rPr>
        <w:t>19</w:t>
      </w:r>
      <w:r>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Pr>
          <w:rFonts w:ascii="Times New Roman" w:hAnsi="Times New Roman" w:cs="Times New Roman"/>
          <w:sz w:val="22"/>
          <w:szCs w:val="22"/>
        </w:rPr>
        <w:t xml:space="preserve"> of</w:t>
      </w:r>
      <w:proofErr w:type="gramEnd"/>
      <w:r>
        <w:rPr>
          <w:rFonts w:ascii="Times New Roman" w:hAnsi="Times New Roman" w:cs="Times New Roman"/>
          <w:sz w:val="22"/>
          <w:szCs w:val="22"/>
        </w:rPr>
        <w:t xml:space="preserve"> March 2025.</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BRIEF BACKGROUND</w:t>
      </w:r>
    </w:p>
    <w:p w:rsidR="004F7C0F" w:rsidRDefault="00317DF6">
      <w:pPr>
        <w:pStyle w:val="ListParagraph"/>
        <w:spacing w:line="360" w:lineRule="auto"/>
        <w:ind w:left="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Both the appellants and the </w:t>
      </w:r>
      <w:r>
        <w:rPr>
          <w:rFonts w:ascii="Times New Roman" w:hAnsi="Times New Roman" w:cs="Times New Roman"/>
          <w:sz w:val="22"/>
          <w:szCs w:val="22"/>
        </w:rPr>
        <w:t xml:space="preserve">respondent are companies duly registered in accordance with the laws of Zimbabwe. The respondent owns a Service Station situated in Harare. The respondent leased the property to the second appellant, who informed the respondent that it intended to operate </w:t>
      </w:r>
      <w:r>
        <w:rPr>
          <w:rFonts w:ascii="Times New Roman" w:hAnsi="Times New Roman" w:cs="Times New Roman"/>
          <w:sz w:val="22"/>
          <w:szCs w:val="22"/>
        </w:rPr>
        <w:t>a service station in the name of the first appellant. The first appellant did not sign the lease agreement between the respondent and the second appellant for leasing the property. The respondent then claimed that it had never given vacant possession of th</w:t>
      </w:r>
      <w:r>
        <w:rPr>
          <w:rFonts w:ascii="Times New Roman" w:hAnsi="Times New Roman" w:cs="Times New Roman"/>
          <w:sz w:val="22"/>
          <w:szCs w:val="22"/>
        </w:rPr>
        <w:t>e property to the first appellant; therefore, the second appellant had no authority to do so. The respondent further claimed that it believed that the first appellant had signed the lease agreement and consequently proceeded to give a Notice of Termination</w:t>
      </w:r>
      <w:r>
        <w:rPr>
          <w:rFonts w:ascii="Times New Roman" w:hAnsi="Times New Roman" w:cs="Times New Roman"/>
          <w:sz w:val="22"/>
          <w:szCs w:val="22"/>
        </w:rPr>
        <w:t xml:space="preserve"> of the lease agreement, which was non-existent.</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PROCEEDINGS IN THE COURT A QUO</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Subsequently, the respondent issued a summons against the appellants, seeking an eviction order against the 1st appellant and damages of US$8,000 for rentals from November 1</w:t>
      </w:r>
      <w:r>
        <w:rPr>
          <w:rFonts w:ascii="Times New Roman" w:hAnsi="Times New Roman" w:cs="Times New Roman"/>
          <w:sz w:val="22"/>
          <w:szCs w:val="22"/>
        </w:rPr>
        <w:t xml:space="preserve">, 2024, to the date of eviction. The appellants entered an appearance to defend and proceeded to file a special plea regarding </w:t>
      </w:r>
      <w:r>
        <w:rPr>
          <w:rFonts w:ascii="Times New Roman" w:hAnsi="Times New Roman" w:cs="Times New Roman"/>
          <w:i/>
          <w:iCs/>
          <w:sz w:val="22"/>
          <w:szCs w:val="22"/>
        </w:rPr>
        <w:lastRenderedPageBreak/>
        <w:t>locus standi</w:t>
      </w:r>
      <w:r>
        <w:rPr>
          <w:rFonts w:ascii="Times New Roman" w:hAnsi="Times New Roman" w:cs="Times New Roman"/>
          <w:sz w:val="22"/>
          <w:szCs w:val="22"/>
        </w:rPr>
        <w:t>, contending that the respondent could not institute proceedings against them regarding the property because there wa</w:t>
      </w:r>
      <w:r>
        <w:rPr>
          <w:rFonts w:ascii="Times New Roman" w:hAnsi="Times New Roman" w:cs="Times New Roman"/>
          <w:sz w:val="22"/>
          <w:szCs w:val="22"/>
        </w:rPr>
        <w:t xml:space="preserve">s no legal relationship between the parties. Furthermore, they averred that the respondent did not own the property; therefore, it could not bring eviction proceedings against them. The respondent also filed an application for summary judgment in terms of </w:t>
      </w:r>
      <w:r>
        <w:rPr>
          <w:rFonts w:ascii="Times New Roman" w:hAnsi="Times New Roman" w:cs="Times New Roman"/>
          <w:sz w:val="22"/>
          <w:szCs w:val="22"/>
        </w:rPr>
        <w:t>Order 15 of the Magistrates’ Court (Civil) Rules 2019.</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DECISION OF THE COURT A QUO</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 xml:space="preserve">3] </w:t>
      </w:r>
      <w:r>
        <w:rPr>
          <w:rFonts w:ascii="Times New Roman" w:hAnsi="Times New Roman" w:cs="Times New Roman"/>
          <w:sz w:val="22"/>
          <w:szCs w:val="22"/>
        </w:rPr>
        <w:tab/>
      </w:r>
      <w:r>
        <w:rPr>
          <w:rFonts w:ascii="Times New Roman" w:hAnsi="Times New Roman" w:cs="Times New Roman"/>
          <w:sz w:val="22"/>
          <w:szCs w:val="22"/>
        </w:rPr>
        <w:t xml:space="preserve">Both the special plea and the application for summary judgment were heard and determined by the court a quo at the same time, and both applications were dismissed. Aggrieved by the court </w:t>
      </w:r>
      <w:r>
        <w:rPr>
          <w:rFonts w:ascii="Times New Roman" w:hAnsi="Times New Roman" w:cs="Times New Roman"/>
          <w:i/>
          <w:iCs/>
          <w:sz w:val="22"/>
          <w:szCs w:val="22"/>
        </w:rPr>
        <w:t>a quo's</w:t>
      </w:r>
      <w:r>
        <w:rPr>
          <w:rFonts w:ascii="Times New Roman" w:hAnsi="Times New Roman" w:cs="Times New Roman"/>
          <w:sz w:val="22"/>
          <w:szCs w:val="22"/>
        </w:rPr>
        <w:t xml:space="preserve"> decision, the appellants noted an appeal against part of the </w:t>
      </w:r>
      <w:r>
        <w:rPr>
          <w:rFonts w:ascii="Times New Roman" w:hAnsi="Times New Roman" w:cs="Times New Roman"/>
          <w:sz w:val="22"/>
          <w:szCs w:val="22"/>
        </w:rPr>
        <w:t xml:space="preserve">court </w:t>
      </w:r>
      <w:r>
        <w:rPr>
          <w:rFonts w:ascii="Times New Roman" w:hAnsi="Times New Roman" w:cs="Times New Roman"/>
          <w:i/>
          <w:iCs/>
          <w:sz w:val="22"/>
          <w:szCs w:val="22"/>
        </w:rPr>
        <w:t>a quo's</w:t>
      </w:r>
      <w:r>
        <w:rPr>
          <w:rFonts w:ascii="Times New Roman" w:hAnsi="Times New Roman" w:cs="Times New Roman"/>
          <w:sz w:val="22"/>
          <w:szCs w:val="22"/>
        </w:rPr>
        <w:t xml:space="preserve"> decision, specifically the rejection of the special plea.</w:t>
      </w:r>
      <w:r>
        <w:rPr>
          <w:rFonts w:ascii="Times New Roman" w:hAnsi="Times New Roman" w:cs="Times New Roman"/>
          <w:sz w:val="22"/>
          <w:szCs w:val="22"/>
        </w:rPr>
        <w:tab/>
      </w:r>
      <w:r>
        <w:rPr>
          <w:rFonts w:ascii="Times New Roman" w:hAnsi="Times New Roman" w:cs="Times New Roman"/>
          <w:sz w:val="22"/>
          <w:szCs w:val="22"/>
        </w:rPr>
        <w:tab/>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PROCEEDINGS BEFORE THIS COURT</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Grounds of Appeal</w:t>
      </w:r>
    </w:p>
    <w:p w:rsidR="004F7C0F" w:rsidRDefault="00317DF6">
      <w:pPr>
        <w:spacing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1. The court a quo misdirected itself in determining that the special plea of lack of </w:t>
      </w:r>
      <w:r>
        <w:rPr>
          <w:rFonts w:ascii="Times New Roman" w:hAnsi="Times New Roman" w:cs="Times New Roman"/>
          <w:i/>
          <w:iCs/>
          <w:sz w:val="20"/>
          <w:szCs w:val="20"/>
        </w:rPr>
        <w:t>locus standi</w:t>
      </w:r>
      <w:r>
        <w:rPr>
          <w:rFonts w:ascii="Times New Roman" w:hAnsi="Times New Roman" w:cs="Times New Roman"/>
          <w:sz w:val="20"/>
          <w:szCs w:val="20"/>
        </w:rPr>
        <w:t xml:space="preserve"> on the part of the respondent was </w:t>
      </w:r>
      <w:r>
        <w:rPr>
          <w:rFonts w:ascii="Times New Roman" w:hAnsi="Times New Roman" w:cs="Times New Roman"/>
          <w:sz w:val="20"/>
          <w:szCs w:val="20"/>
        </w:rPr>
        <w:t xml:space="preserve">based on the fact that the respondent had not pleaded the basis upon which it sought the eviction first appellant when the special plea of lack of </w:t>
      </w:r>
      <w:r>
        <w:rPr>
          <w:rFonts w:ascii="Times New Roman" w:hAnsi="Times New Roman" w:cs="Times New Roman"/>
          <w:i/>
          <w:iCs/>
          <w:sz w:val="20"/>
          <w:szCs w:val="20"/>
        </w:rPr>
        <w:t>locus standi</w:t>
      </w:r>
      <w:r>
        <w:rPr>
          <w:rFonts w:ascii="Times New Roman" w:hAnsi="Times New Roman" w:cs="Times New Roman"/>
          <w:sz w:val="20"/>
          <w:szCs w:val="20"/>
        </w:rPr>
        <w:t xml:space="preserve"> was based on the fact that the respondent did not own No. 11F Market Street, </w:t>
      </w:r>
      <w:proofErr w:type="spellStart"/>
      <w:r>
        <w:rPr>
          <w:rFonts w:ascii="Times New Roman" w:hAnsi="Times New Roman" w:cs="Times New Roman"/>
          <w:sz w:val="20"/>
          <w:szCs w:val="20"/>
        </w:rPr>
        <w:t>Eastlea</w:t>
      </w:r>
      <w:proofErr w:type="spellEnd"/>
      <w:r>
        <w:rPr>
          <w:rFonts w:ascii="Times New Roman" w:hAnsi="Times New Roman" w:cs="Times New Roman"/>
          <w:sz w:val="20"/>
          <w:szCs w:val="20"/>
        </w:rPr>
        <w:t>, Harare (he</w:t>
      </w:r>
      <w:r>
        <w:rPr>
          <w:rFonts w:ascii="Times New Roman" w:hAnsi="Times New Roman" w:cs="Times New Roman"/>
          <w:sz w:val="20"/>
          <w:szCs w:val="20"/>
        </w:rPr>
        <w:t>reinafter referred to as “the property”) from which the respondent sought the eviction of the first appellant.</w:t>
      </w:r>
    </w:p>
    <w:p w:rsidR="004F7C0F" w:rsidRDefault="00317DF6">
      <w:pPr>
        <w:spacing w:line="240" w:lineRule="auto"/>
        <w:rPr>
          <w:rFonts w:ascii="Times New Roman" w:hAnsi="Times New Roman" w:cs="Times New Roman"/>
          <w:sz w:val="20"/>
          <w:szCs w:val="20"/>
        </w:rPr>
      </w:pPr>
      <w:r>
        <w:rPr>
          <w:rFonts w:ascii="Times New Roman" w:hAnsi="Times New Roman" w:cs="Times New Roman"/>
          <w:sz w:val="20"/>
          <w:szCs w:val="20"/>
        </w:rPr>
        <w:t>2. As a corollary, the court a quo grossly misdirected itself in determining that, by pleading that it was the owner of the property, the respond</w:t>
      </w:r>
      <w:r>
        <w:rPr>
          <w:rFonts w:ascii="Times New Roman" w:hAnsi="Times New Roman" w:cs="Times New Roman"/>
          <w:sz w:val="20"/>
          <w:szCs w:val="20"/>
        </w:rPr>
        <w:t xml:space="preserve">ent had established that it had the </w:t>
      </w:r>
      <w:r>
        <w:rPr>
          <w:rFonts w:ascii="Times New Roman" w:hAnsi="Times New Roman" w:cs="Times New Roman"/>
          <w:i/>
          <w:iCs/>
          <w:sz w:val="20"/>
          <w:szCs w:val="20"/>
        </w:rPr>
        <w:t>locus standi</w:t>
      </w:r>
      <w:r>
        <w:rPr>
          <w:rFonts w:ascii="Times New Roman" w:hAnsi="Times New Roman" w:cs="Times New Roman"/>
          <w:sz w:val="20"/>
          <w:szCs w:val="20"/>
        </w:rPr>
        <w:t xml:space="preserve"> to sue for the eviction of the first appellant from the property in the face of contrary evidence that the property is owned by City of Harare who had leased it to Messrs. Kingstone </w:t>
      </w:r>
      <w:proofErr w:type="spellStart"/>
      <w:r>
        <w:rPr>
          <w:rFonts w:ascii="Times New Roman" w:hAnsi="Times New Roman" w:cs="Times New Roman"/>
          <w:sz w:val="20"/>
          <w:szCs w:val="20"/>
        </w:rPr>
        <w:t>Ringisai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Makarichi</w:t>
      </w:r>
      <w:proofErr w:type="spellEnd"/>
      <w:r>
        <w:rPr>
          <w:rFonts w:ascii="Times New Roman" w:hAnsi="Times New Roman" w:cs="Times New Roman"/>
          <w:sz w:val="20"/>
          <w:szCs w:val="20"/>
        </w:rPr>
        <w:t xml:space="preserve">, George </w:t>
      </w:r>
      <w:proofErr w:type="spellStart"/>
      <w:r>
        <w:rPr>
          <w:rFonts w:ascii="Times New Roman" w:hAnsi="Times New Roman" w:cs="Times New Roman"/>
          <w:sz w:val="20"/>
          <w:szCs w:val="20"/>
        </w:rPr>
        <w:t>Jokonya</w:t>
      </w:r>
      <w:proofErr w:type="spellEnd"/>
      <w:r>
        <w:rPr>
          <w:rFonts w:ascii="Times New Roman" w:hAnsi="Times New Roman" w:cs="Times New Roman"/>
          <w:sz w:val="20"/>
          <w:szCs w:val="20"/>
        </w:rPr>
        <w:t xml:space="preserve"> and Washington </w:t>
      </w:r>
      <w:proofErr w:type="spellStart"/>
      <w:r>
        <w:rPr>
          <w:rFonts w:ascii="Times New Roman" w:hAnsi="Times New Roman" w:cs="Times New Roman"/>
          <w:sz w:val="20"/>
          <w:szCs w:val="20"/>
        </w:rPr>
        <w:t>Madzinga</w:t>
      </w:r>
      <w:proofErr w:type="spellEnd"/>
      <w:r>
        <w:rPr>
          <w:rFonts w:ascii="Times New Roman" w:hAnsi="Times New Roman" w:cs="Times New Roman"/>
          <w:sz w:val="20"/>
          <w:szCs w:val="20"/>
        </w:rPr>
        <w:t xml:space="preserve"> which lease ex</w:t>
      </w:r>
      <w:r>
        <w:rPr>
          <w:rFonts w:ascii="Times New Roman" w:hAnsi="Times New Roman" w:cs="Times New Roman"/>
          <w:sz w:val="20"/>
          <w:szCs w:val="20"/>
        </w:rPr>
        <w:t>pired on 1 April 2014.</w:t>
      </w:r>
    </w:p>
    <w:p w:rsidR="004F7C0F" w:rsidRDefault="00317DF6">
      <w:pPr>
        <w:spacing w:line="240" w:lineRule="auto"/>
        <w:rPr>
          <w:rFonts w:ascii="Times New Roman" w:hAnsi="Times New Roman" w:cs="Times New Roman"/>
          <w:sz w:val="20"/>
          <w:szCs w:val="20"/>
        </w:rPr>
      </w:pPr>
      <w:r>
        <w:rPr>
          <w:rFonts w:ascii="Times New Roman" w:hAnsi="Times New Roman" w:cs="Times New Roman"/>
          <w:sz w:val="20"/>
          <w:szCs w:val="20"/>
        </w:rPr>
        <w:t>3. The court a quo erred in failing to determine the issue of whether or not the respondent owned the service station at the property.</w:t>
      </w:r>
      <w:r>
        <w:rPr>
          <w:rFonts w:ascii="Times New Roman" w:hAnsi="Times New Roman" w:cs="Times New Roman"/>
          <w:sz w:val="20"/>
          <w:szCs w:val="20"/>
        </w:rPr>
        <w:t>”</w:t>
      </w:r>
    </w:p>
    <w:p w:rsidR="004F7C0F" w:rsidRDefault="004F7C0F">
      <w:pPr>
        <w:spacing w:line="240" w:lineRule="auto"/>
        <w:rPr>
          <w:rFonts w:ascii="Times New Roman" w:hAnsi="Times New Roman" w:cs="Times New Roman"/>
          <w:sz w:val="20"/>
          <w:szCs w:val="20"/>
        </w:rPr>
      </w:pPr>
    </w:p>
    <w:p w:rsidR="004F7C0F" w:rsidRDefault="00317DF6">
      <w:pPr>
        <w:spacing w:line="240" w:lineRule="auto"/>
        <w:rPr>
          <w:rFonts w:ascii="Times New Roman" w:hAnsi="Times New Roman" w:cs="Times New Roman"/>
          <w:b/>
        </w:rPr>
      </w:pPr>
      <w:r>
        <w:rPr>
          <w:rFonts w:ascii="Times New Roman" w:hAnsi="Times New Roman" w:cs="Times New Roman"/>
          <w:b/>
        </w:rPr>
        <w:t>RELIEF SOUGHT</w:t>
      </w:r>
    </w:p>
    <w:p w:rsidR="004F7C0F" w:rsidRDefault="00317DF6">
      <w:pPr>
        <w:spacing w:line="240" w:lineRule="auto"/>
        <w:rPr>
          <w:rFonts w:ascii="Times New Roman" w:hAnsi="Times New Roman" w:cs="Times New Roman"/>
          <w:i/>
          <w:sz w:val="20"/>
          <w:szCs w:val="20"/>
        </w:rPr>
      </w:pPr>
      <w:r>
        <w:rPr>
          <w:rFonts w:ascii="Times New Roman" w:hAnsi="Times New Roman" w:cs="Times New Roman"/>
          <w:i/>
          <w:sz w:val="20"/>
          <w:szCs w:val="20"/>
        </w:rPr>
        <w:t xml:space="preserve">1. </w:t>
      </w:r>
      <w:r>
        <w:rPr>
          <w:rFonts w:ascii="Times New Roman" w:hAnsi="Times New Roman" w:cs="Times New Roman"/>
          <w:i/>
          <w:sz w:val="20"/>
          <w:szCs w:val="20"/>
        </w:rPr>
        <w:t>“</w:t>
      </w:r>
      <w:r>
        <w:rPr>
          <w:rFonts w:ascii="Times New Roman" w:hAnsi="Times New Roman" w:cs="Times New Roman"/>
          <w:i/>
          <w:sz w:val="20"/>
          <w:szCs w:val="20"/>
        </w:rPr>
        <w:t>That the appeal succeeds with costs.</w:t>
      </w:r>
    </w:p>
    <w:p w:rsidR="004F7C0F" w:rsidRDefault="00317DF6">
      <w:pPr>
        <w:spacing w:line="240" w:lineRule="auto"/>
        <w:rPr>
          <w:rFonts w:ascii="Times New Roman" w:hAnsi="Times New Roman" w:cs="Times New Roman"/>
          <w:i/>
          <w:sz w:val="20"/>
          <w:szCs w:val="20"/>
        </w:rPr>
      </w:pPr>
      <w:r>
        <w:rPr>
          <w:rFonts w:ascii="Times New Roman" w:hAnsi="Times New Roman" w:cs="Times New Roman"/>
          <w:i/>
          <w:sz w:val="20"/>
          <w:szCs w:val="20"/>
        </w:rPr>
        <w:t>2. That judgment of the court a quo dismi</w:t>
      </w:r>
      <w:r>
        <w:rPr>
          <w:rFonts w:ascii="Times New Roman" w:hAnsi="Times New Roman" w:cs="Times New Roman"/>
          <w:i/>
          <w:sz w:val="20"/>
          <w:szCs w:val="20"/>
        </w:rPr>
        <w:t>ssing the appellants’ special plea of lack of locus standi on the part of the respondent is set aside and substituted with the following:</w:t>
      </w:r>
    </w:p>
    <w:p w:rsidR="004F7C0F" w:rsidRDefault="00317DF6">
      <w:pPr>
        <w:spacing w:line="240" w:lineRule="auto"/>
        <w:rPr>
          <w:rFonts w:ascii="Times New Roman" w:hAnsi="Times New Roman" w:cs="Times New Roman"/>
          <w:i/>
          <w:sz w:val="20"/>
          <w:szCs w:val="20"/>
        </w:rPr>
      </w:pPr>
      <w:r>
        <w:rPr>
          <w:rFonts w:ascii="Times New Roman" w:hAnsi="Times New Roman" w:cs="Times New Roman"/>
          <w:i/>
          <w:sz w:val="20"/>
          <w:szCs w:val="20"/>
        </w:rPr>
        <w:t>“(a) Plaintiff’s claim be and is hereby dismissed for lack of locus standi on the part of the plaintiff.</w:t>
      </w:r>
    </w:p>
    <w:p w:rsidR="004F7C0F" w:rsidRDefault="00317DF6">
      <w:pPr>
        <w:spacing w:line="240" w:lineRule="auto"/>
        <w:rPr>
          <w:rFonts w:ascii="Times New Roman" w:hAnsi="Times New Roman" w:cs="Times New Roman"/>
          <w:i/>
          <w:sz w:val="20"/>
          <w:szCs w:val="20"/>
        </w:rPr>
      </w:pPr>
      <w:r>
        <w:rPr>
          <w:rFonts w:ascii="Times New Roman" w:hAnsi="Times New Roman" w:cs="Times New Roman"/>
          <w:i/>
          <w:sz w:val="20"/>
          <w:szCs w:val="20"/>
        </w:rPr>
        <w:t>(b) Plaintiff</w:t>
      </w:r>
      <w:r>
        <w:rPr>
          <w:rFonts w:ascii="Times New Roman" w:hAnsi="Times New Roman" w:cs="Times New Roman"/>
          <w:i/>
          <w:sz w:val="20"/>
          <w:szCs w:val="20"/>
        </w:rPr>
        <w:t xml:space="preserve"> shall pay costs of suit on a legal practitioner and client scale.”</w:t>
      </w:r>
    </w:p>
    <w:p w:rsidR="004F7C0F" w:rsidRDefault="004F7C0F">
      <w:pPr>
        <w:spacing w:line="240" w:lineRule="auto"/>
        <w:rPr>
          <w:rFonts w:ascii="Times New Roman" w:hAnsi="Times New Roman" w:cs="Times New Roman"/>
          <w:sz w:val="20"/>
          <w:szCs w:val="20"/>
        </w:rPr>
      </w:pP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PRELIMINARY POINTS RAISED BY THE RESPONDENT</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 xml:space="preserve">The respondent took three points </w:t>
      </w:r>
      <w:r>
        <w:rPr>
          <w:rFonts w:ascii="Times New Roman" w:hAnsi="Times New Roman" w:cs="Times New Roman"/>
          <w:iCs/>
          <w:sz w:val="22"/>
          <w:szCs w:val="22"/>
        </w:rPr>
        <w:t xml:space="preserve">in </w:t>
      </w:r>
      <w:proofErr w:type="spellStart"/>
      <w:r>
        <w:rPr>
          <w:rFonts w:ascii="Times New Roman" w:hAnsi="Times New Roman" w:cs="Times New Roman"/>
          <w:i/>
          <w:sz w:val="22"/>
          <w:szCs w:val="22"/>
        </w:rPr>
        <w:t>limine</w:t>
      </w:r>
      <w:proofErr w:type="spellEnd"/>
      <w:r>
        <w:rPr>
          <w:rFonts w:ascii="Times New Roman" w:hAnsi="Times New Roman" w:cs="Times New Roman"/>
          <w:sz w:val="22"/>
          <w:szCs w:val="22"/>
        </w:rPr>
        <w:t xml:space="preserve"> against the appeal filed by the appellants, namely;</w:t>
      </w:r>
    </w:p>
    <w:p w:rsidR="004F7C0F" w:rsidRDefault="00317DF6">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lastRenderedPageBreak/>
        <w:t>i</w:t>
      </w:r>
      <w:proofErr w:type="spellEnd"/>
      <w:r>
        <w:rPr>
          <w:rFonts w:ascii="Times New Roman" w:hAnsi="Times New Roman" w:cs="Times New Roman"/>
          <w:sz w:val="22"/>
          <w:szCs w:val="22"/>
        </w:rPr>
        <w:t>) Certification of inspection is invalid.</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ii) Appeal on an interlocutory order is not final and definitive.</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iii) Grounds of appeal relate to issues not subject to the determination of the court a quo</w:t>
      </w:r>
    </w:p>
    <w:p w:rsidR="004F7C0F" w:rsidRDefault="004F7C0F">
      <w:pPr>
        <w:spacing w:line="360" w:lineRule="auto"/>
        <w:rPr>
          <w:rFonts w:ascii="Times New Roman" w:hAnsi="Times New Roman" w:cs="Times New Roman"/>
          <w:b/>
          <w:sz w:val="22"/>
          <w:szCs w:val="22"/>
        </w:rPr>
      </w:pP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Certification of inspection is invalid.</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The respondent submitted that, in terms of the Rules o</w:t>
      </w:r>
      <w:r>
        <w:rPr>
          <w:rFonts w:ascii="Times New Roman" w:hAnsi="Times New Roman" w:cs="Times New Roman"/>
          <w:sz w:val="22"/>
          <w:szCs w:val="22"/>
        </w:rPr>
        <w:t xml:space="preserve">f the Supreme Court, 2018 (as amended), it was not permitted to inspect and certify the record as a true and accurate reflection of the proceedings before the court a quo. On this basis, the respondent argued that the appeal should be struck off the roll, </w:t>
      </w:r>
      <w:r>
        <w:rPr>
          <w:rFonts w:ascii="Times New Roman" w:hAnsi="Times New Roman" w:cs="Times New Roman"/>
          <w:sz w:val="22"/>
          <w:szCs w:val="22"/>
        </w:rPr>
        <w:t>in accordance with Practice Direction 3 of 2013, because it had been enrolled without a valid certificate of inspection.</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The appellants did not dispute the absence of a valid certificate of inspection regarding the record before the court. Instead, they</w:t>
      </w:r>
      <w:r>
        <w:rPr>
          <w:rFonts w:ascii="Times New Roman" w:hAnsi="Times New Roman" w:cs="Times New Roman"/>
          <w:sz w:val="22"/>
          <w:szCs w:val="22"/>
        </w:rPr>
        <w:t xml:space="preserve"> submitted that they too were “surprised” that the record had been filed with the Registrar of the appellate court without any prior invitation to the parties to inspect and confirm its accuracy. Despite this irregularity, the appellants maintained that th</w:t>
      </w:r>
      <w:r>
        <w:rPr>
          <w:rFonts w:ascii="Times New Roman" w:hAnsi="Times New Roman" w:cs="Times New Roman"/>
          <w:sz w:val="22"/>
          <w:szCs w:val="22"/>
        </w:rPr>
        <w:t>ey had no objection to the contents of the record as filed.</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This point lacks merit and should be dismissed. The respondent correctly cited Rule 17(11) of the Supreme Court Rules in this regard; however, we are not the Supreme Court, and this matter does</w:t>
      </w:r>
      <w:r>
        <w:rPr>
          <w:rFonts w:ascii="Times New Roman" w:hAnsi="Times New Roman" w:cs="Times New Roman"/>
          <w:sz w:val="22"/>
          <w:szCs w:val="22"/>
        </w:rPr>
        <w:t xml:space="preserve"> not emanate from the High Court, but from the Magistrates' Court. The Magistrates Court [Civil] Rules, 2018, do not provide for the inspection of an appeal record. The practice of inspecting appeal records at the Magistrates’ Court. It is a practice adopt</w:t>
      </w:r>
      <w:r>
        <w:rPr>
          <w:rFonts w:ascii="Times New Roman" w:hAnsi="Times New Roman" w:cs="Times New Roman"/>
          <w:sz w:val="22"/>
          <w:szCs w:val="22"/>
        </w:rPr>
        <w:t xml:space="preserve">ed by the Magistrates’ Courts, for convenience, and that does not clothe it with the force of a legal rule of procedure capable of being taken as a point </w:t>
      </w:r>
      <w:r>
        <w:rPr>
          <w:rFonts w:ascii="Times New Roman" w:hAnsi="Times New Roman" w:cs="Times New Roman"/>
          <w:iCs/>
          <w:sz w:val="22"/>
          <w:szCs w:val="22"/>
        </w:rPr>
        <w:t>in</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limine</w:t>
      </w:r>
      <w:proofErr w:type="spellEnd"/>
      <w:r>
        <w:rPr>
          <w:rFonts w:ascii="Times New Roman" w:hAnsi="Times New Roman" w:cs="Times New Roman"/>
          <w:sz w:val="22"/>
          <w:szCs w:val="22"/>
        </w:rPr>
        <w:t xml:space="preserve"> on appeal in this court.</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 xml:space="preserve">Accordingly, I find no merit in this point </w:t>
      </w:r>
      <w:r>
        <w:rPr>
          <w:rFonts w:ascii="Times New Roman" w:hAnsi="Times New Roman" w:cs="Times New Roman"/>
          <w:iCs/>
          <w:sz w:val="22"/>
          <w:szCs w:val="22"/>
        </w:rPr>
        <w:t>in</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limine</w:t>
      </w:r>
      <w:proofErr w:type="spellEnd"/>
      <w:r>
        <w:rPr>
          <w:rFonts w:ascii="Times New Roman" w:hAnsi="Times New Roman" w:cs="Times New Roman"/>
          <w:i/>
          <w:sz w:val="22"/>
          <w:szCs w:val="22"/>
        </w:rPr>
        <w:t>,</w:t>
      </w:r>
      <w:r>
        <w:rPr>
          <w:rFonts w:ascii="Times New Roman" w:hAnsi="Times New Roman" w:cs="Times New Roman"/>
          <w:sz w:val="22"/>
          <w:szCs w:val="22"/>
        </w:rPr>
        <w:t xml:space="preserve"> and I duly di</w:t>
      </w:r>
      <w:r>
        <w:rPr>
          <w:rFonts w:ascii="Times New Roman" w:hAnsi="Times New Roman" w:cs="Times New Roman"/>
          <w:sz w:val="22"/>
          <w:szCs w:val="22"/>
        </w:rPr>
        <w:t>smiss it.</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An interlocutory order is not appealable.</w:t>
      </w:r>
    </w:p>
    <w:p w:rsidR="004F7C0F" w:rsidRDefault="00317DF6">
      <w:pPr>
        <w:spacing w:line="360" w:lineRule="auto"/>
        <w:rPr>
          <w:rFonts w:ascii="Times New Roman" w:hAnsi="Times New Roman" w:cs="Times New Roman"/>
          <w:b/>
          <w:sz w:val="22"/>
          <w:szCs w:val="22"/>
        </w:rPr>
      </w:pPr>
      <w:r>
        <w:rPr>
          <w:rFonts w:ascii="Times New Roman" w:hAnsi="Times New Roman" w:cs="Times New Roman"/>
          <w:sz w:val="22"/>
          <w:szCs w:val="22"/>
        </w:rPr>
        <w:t>8]</w:t>
      </w:r>
      <w:r>
        <w:rPr>
          <w:rFonts w:ascii="Times New Roman" w:hAnsi="Times New Roman" w:cs="Times New Roman"/>
          <w:sz w:val="22"/>
          <w:szCs w:val="22"/>
        </w:rPr>
        <w:tab/>
        <w:t xml:space="preserve">The respondent averred that this appeal is not properly before this court because it is an appeal against an interlocutory ruling of the court a quo, which is not final and definitive in nature. Per </w:t>
      </w:r>
      <w:r>
        <w:rPr>
          <w:rFonts w:ascii="Times New Roman" w:hAnsi="Times New Roman" w:cs="Times New Roman"/>
          <w:i/>
          <w:iCs/>
          <w:sz w:val="22"/>
          <w:szCs w:val="22"/>
        </w:rPr>
        <w:t>co</w:t>
      </w:r>
      <w:r>
        <w:rPr>
          <w:rFonts w:ascii="Times New Roman" w:hAnsi="Times New Roman" w:cs="Times New Roman"/>
          <w:i/>
          <w:iCs/>
          <w:sz w:val="22"/>
          <w:szCs w:val="22"/>
        </w:rPr>
        <w:t>ntra</w:t>
      </w:r>
      <w:r>
        <w:rPr>
          <w:rFonts w:ascii="Times New Roman" w:hAnsi="Times New Roman" w:cs="Times New Roman"/>
          <w:sz w:val="22"/>
          <w:szCs w:val="22"/>
        </w:rPr>
        <w:t xml:space="preserve">, the appellants submitted that the court </w:t>
      </w:r>
      <w:r>
        <w:rPr>
          <w:rFonts w:ascii="Times New Roman" w:hAnsi="Times New Roman" w:cs="Times New Roman"/>
          <w:i/>
          <w:iCs/>
          <w:sz w:val="22"/>
          <w:szCs w:val="22"/>
        </w:rPr>
        <w:t>a quo’s</w:t>
      </w:r>
      <w:r>
        <w:rPr>
          <w:rFonts w:ascii="Times New Roman" w:hAnsi="Times New Roman" w:cs="Times New Roman"/>
          <w:sz w:val="22"/>
          <w:szCs w:val="22"/>
        </w:rPr>
        <w:t xml:space="preserve"> decision to dismiss the appellants’ special plea on the grounds of the respondent’s lack of </w:t>
      </w:r>
      <w:r>
        <w:rPr>
          <w:rFonts w:ascii="Times New Roman" w:hAnsi="Times New Roman" w:cs="Times New Roman"/>
          <w:i/>
          <w:iCs/>
          <w:sz w:val="22"/>
          <w:szCs w:val="22"/>
        </w:rPr>
        <w:t>locus</w:t>
      </w:r>
      <w:r>
        <w:rPr>
          <w:rFonts w:ascii="Times New Roman" w:hAnsi="Times New Roman" w:cs="Times New Roman"/>
          <w:sz w:val="22"/>
          <w:szCs w:val="22"/>
        </w:rPr>
        <w:t xml:space="preserve"> </w:t>
      </w:r>
      <w:r>
        <w:rPr>
          <w:rFonts w:ascii="Times New Roman" w:hAnsi="Times New Roman" w:cs="Times New Roman"/>
          <w:i/>
          <w:iCs/>
          <w:sz w:val="22"/>
          <w:szCs w:val="22"/>
        </w:rPr>
        <w:t>standi</w:t>
      </w:r>
      <w:r>
        <w:rPr>
          <w:rFonts w:ascii="Times New Roman" w:hAnsi="Times New Roman" w:cs="Times New Roman"/>
          <w:sz w:val="22"/>
          <w:szCs w:val="22"/>
        </w:rPr>
        <w:t xml:space="preserve"> was a final one.</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9]</w:t>
      </w:r>
      <w:r>
        <w:rPr>
          <w:rFonts w:ascii="Times New Roman" w:hAnsi="Times New Roman" w:cs="Times New Roman"/>
          <w:sz w:val="22"/>
          <w:szCs w:val="22"/>
        </w:rPr>
        <w:tab/>
        <w:t>Section 40 (2) of The Magistrates’ Court Act [Chapter 7:10] provides as follo</w:t>
      </w:r>
      <w:r>
        <w:rPr>
          <w:rFonts w:ascii="Times New Roman" w:hAnsi="Times New Roman" w:cs="Times New Roman"/>
          <w:sz w:val="22"/>
          <w:szCs w:val="22"/>
        </w:rPr>
        <w:t>ws;</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(2) Subject to subsection (1), an appeal to the High Court shall lie against</w:t>
      </w:r>
    </w:p>
    <w:p w:rsidR="004F7C0F" w:rsidRDefault="00317DF6">
      <w:pPr>
        <w:spacing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 any judgment of the nature described in section eighteen or thirty-nine;</w:t>
      </w:r>
    </w:p>
    <w:p w:rsidR="004F7C0F" w:rsidRDefault="00317DF6">
      <w:pPr>
        <w:spacing w:line="240" w:lineRule="auto"/>
        <w:rPr>
          <w:rFonts w:ascii="Times New Roman" w:hAnsi="Times New Roman" w:cs="Times New Roman"/>
          <w:i/>
          <w:sz w:val="22"/>
          <w:szCs w:val="22"/>
        </w:rPr>
      </w:pPr>
      <w:r>
        <w:rPr>
          <w:rFonts w:ascii="Times New Roman" w:hAnsi="Times New Roman" w:cs="Times New Roman"/>
          <w:sz w:val="20"/>
          <w:szCs w:val="20"/>
        </w:rPr>
        <w:t xml:space="preserve">(b) </w:t>
      </w: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rule or order made in a suit or proceeding referred to in section eighteen or thirty-nine and having the effect of a final and definitive judgment, including any order as to costs.” </w:t>
      </w:r>
      <w:r>
        <w:rPr>
          <w:rFonts w:ascii="Times New Roman" w:hAnsi="Times New Roman" w:cs="Times New Roman"/>
          <w:i/>
          <w:sz w:val="20"/>
          <w:szCs w:val="20"/>
        </w:rPr>
        <w:t>[</w:t>
      </w:r>
      <w:proofErr w:type="gramStart"/>
      <w:r>
        <w:rPr>
          <w:rFonts w:ascii="Times New Roman" w:hAnsi="Times New Roman" w:cs="Times New Roman"/>
          <w:i/>
          <w:sz w:val="20"/>
          <w:szCs w:val="20"/>
        </w:rPr>
        <w:t>my</w:t>
      </w:r>
      <w:proofErr w:type="gramEnd"/>
      <w:r>
        <w:rPr>
          <w:rFonts w:ascii="Times New Roman" w:hAnsi="Times New Roman" w:cs="Times New Roman"/>
          <w:i/>
          <w:sz w:val="20"/>
          <w:szCs w:val="20"/>
        </w:rPr>
        <w:t xml:space="preserve"> emphasis]</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 xml:space="preserve">In the case of </w:t>
      </w:r>
      <w:proofErr w:type="spellStart"/>
      <w:r>
        <w:rPr>
          <w:rFonts w:ascii="Times New Roman" w:hAnsi="Times New Roman" w:cs="Times New Roman"/>
          <w:i/>
          <w:sz w:val="22"/>
          <w:szCs w:val="22"/>
        </w:rPr>
        <w:t>Nhau</w:t>
      </w:r>
      <w:proofErr w:type="spellEnd"/>
      <w:r>
        <w:rPr>
          <w:rFonts w:ascii="Times New Roman" w:hAnsi="Times New Roman" w:cs="Times New Roman"/>
          <w:i/>
          <w:sz w:val="22"/>
          <w:szCs w:val="22"/>
        </w:rPr>
        <w:t xml:space="preserve"> </w:t>
      </w:r>
      <w:r>
        <w:rPr>
          <w:rFonts w:ascii="Times New Roman" w:hAnsi="Times New Roman" w:cs="Times New Roman"/>
          <w:iCs/>
          <w:sz w:val="22"/>
          <w:szCs w:val="22"/>
        </w:rPr>
        <w:t>v</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Zuze</w:t>
      </w:r>
      <w:proofErr w:type="spellEnd"/>
      <w:r>
        <w:rPr>
          <w:rFonts w:ascii="Times New Roman" w:hAnsi="Times New Roman" w:cs="Times New Roman"/>
          <w:sz w:val="22"/>
          <w:szCs w:val="22"/>
        </w:rPr>
        <w:t xml:space="preserve"> HCH 697/22, the court sai</w:t>
      </w:r>
      <w:r>
        <w:rPr>
          <w:rFonts w:ascii="Times New Roman" w:hAnsi="Times New Roman" w:cs="Times New Roman"/>
          <w:sz w:val="22"/>
          <w:szCs w:val="22"/>
        </w:rPr>
        <w:t>d the following:</w:t>
      </w:r>
    </w:p>
    <w:p w:rsidR="004F7C0F" w:rsidRDefault="00317DF6">
      <w:pPr>
        <w:spacing w:line="240" w:lineRule="auto"/>
        <w:ind w:left="720"/>
        <w:rPr>
          <w:rFonts w:ascii="Times New Roman" w:hAnsi="Times New Roman" w:cs="Times New Roman"/>
          <w:i/>
          <w:sz w:val="20"/>
          <w:szCs w:val="20"/>
        </w:rPr>
      </w:pPr>
      <w:r>
        <w:rPr>
          <w:rFonts w:ascii="Times New Roman" w:hAnsi="Times New Roman" w:cs="Times New Roman"/>
          <w:i/>
          <w:sz w:val="20"/>
          <w:szCs w:val="20"/>
        </w:rPr>
        <w:t>“This means that allowing an appeal on an interlocutory order by the court a quo, which is not final and definitive, is bad at law. The order of the court a quo did not affect, in a final and definitive manner, the issues between the parti</w:t>
      </w:r>
      <w:r>
        <w:rPr>
          <w:rFonts w:ascii="Times New Roman" w:hAnsi="Times New Roman" w:cs="Times New Roman"/>
          <w:i/>
          <w:sz w:val="20"/>
          <w:szCs w:val="20"/>
        </w:rPr>
        <w:t>es, which would be settled at the end of the trial. This appeal offends against the provisions of S 40 (2) (b) of the Magistrates’ Court Act.”</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t>The special plea determined by the court</w:t>
      </w:r>
      <w:r>
        <w:rPr>
          <w:rFonts w:ascii="Times New Roman" w:hAnsi="Times New Roman" w:cs="Times New Roman"/>
          <w:i/>
          <w:iCs/>
          <w:sz w:val="22"/>
          <w:szCs w:val="22"/>
        </w:rPr>
        <w:t xml:space="preserve"> a quo</w:t>
      </w:r>
      <w:r>
        <w:rPr>
          <w:rFonts w:ascii="Times New Roman" w:hAnsi="Times New Roman" w:cs="Times New Roman"/>
          <w:sz w:val="22"/>
          <w:szCs w:val="22"/>
        </w:rPr>
        <w:t xml:space="preserve"> was based on the respondent's </w:t>
      </w:r>
      <w:r>
        <w:rPr>
          <w:rFonts w:ascii="Times New Roman" w:hAnsi="Times New Roman" w:cs="Times New Roman"/>
          <w:i/>
          <w:sz w:val="22"/>
          <w:szCs w:val="22"/>
        </w:rPr>
        <w:t>locus standi.</w:t>
      </w:r>
      <w:r>
        <w:rPr>
          <w:rFonts w:ascii="Times New Roman" w:hAnsi="Times New Roman" w:cs="Times New Roman"/>
          <w:sz w:val="22"/>
          <w:szCs w:val="22"/>
        </w:rPr>
        <w:t xml:space="preserve"> The ruling on</w:t>
      </w:r>
      <w:r>
        <w:rPr>
          <w:rFonts w:ascii="Times New Roman" w:hAnsi="Times New Roman" w:cs="Times New Roman"/>
          <w:i/>
          <w:iCs/>
          <w:sz w:val="22"/>
          <w:szCs w:val="22"/>
        </w:rPr>
        <w:t xml:space="preserve"> locu</w:t>
      </w:r>
      <w:r>
        <w:rPr>
          <w:rFonts w:ascii="Times New Roman" w:hAnsi="Times New Roman" w:cs="Times New Roman"/>
          <w:i/>
          <w:iCs/>
          <w:sz w:val="22"/>
          <w:szCs w:val="22"/>
        </w:rPr>
        <w:t>s standi</w:t>
      </w:r>
      <w:r>
        <w:rPr>
          <w:rFonts w:ascii="Times New Roman" w:hAnsi="Times New Roman" w:cs="Times New Roman"/>
          <w:sz w:val="22"/>
          <w:szCs w:val="22"/>
        </w:rPr>
        <w:t xml:space="preserve"> was interlocutory in form and nature. The respondent pleaded ownership of the service station; the court a quo merely acknowledged the respondent’s asserted relationship with the property, without making a final determination on ownership. It rema</w:t>
      </w:r>
      <w:r>
        <w:rPr>
          <w:rFonts w:ascii="Times New Roman" w:hAnsi="Times New Roman" w:cs="Times New Roman"/>
          <w:sz w:val="22"/>
          <w:szCs w:val="22"/>
        </w:rPr>
        <w:t>ins incumbent upon the respondent to prove, through admissible evidence at trial, that it is indeed the owner of the property. The dispute between the parties, being eviction and payment of damages, was not decided by the court a quo in a definitive way.</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1]</w:t>
      </w:r>
      <w:r>
        <w:rPr>
          <w:rFonts w:ascii="Times New Roman" w:hAnsi="Times New Roman" w:cs="Times New Roman"/>
          <w:sz w:val="22"/>
          <w:szCs w:val="22"/>
        </w:rPr>
        <w:tab/>
        <w:t xml:space="preserve">Accordingly, the dismissal of the special plea on </w:t>
      </w:r>
      <w:r>
        <w:rPr>
          <w:rFonts w:ascii="Times New Roman" w:hAnsi="Times New Roman" w:cs="Times New Roman"/>
          <w:i/>
          <w:iCs/>
          <w:sz w:val="22"/>
          <w:szCs w:val="22"/>
        </w:rPr>
        <w:t>locus standi</w:t>
      </w:r>
      <w:r>
        <w:rPr>
          <w:rFonts w:ascii="Times New Roman" w:hAnsi="Times New Roman" w:cs="Times New Roman"/>
          <w:sz w:val="22"/>
          <w:szCs w:val="22"/>
        </w:rPr>
        <w:t xml:space="preserve"> by the court a quo cannot be construed as a final and definitive determination of the dispute between the parties. I therefore find this point </w:t>
      </w:r>
      <w:r>
        <w:rPr>
          <w:rFonts w:ascii="Times New Roman" w:hAnsi="Times New Roman" w:cs="Times New Roman"/>
          <w:iCs/>
          <w:sz w:val="22"/>
          <w:szCs w:val="22"/>
        </w:rPr>
        <w:t>in</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limine</w:t>
      </w:r>
      <w:proofErr w:type="spellEnd"/>
      <w:r>
        <w:rPr>
          <w:rFonts w:ascii="Times New Roman" w:hAnsi="Times New Roman" w:cs="Times New Roman"/>
          <w:i/>
          <w:sz w:val="22"/>
          <w:szCs w:val="22"/>
        </w:rPr>
        <w:t xml:space="preserve"> </w:t>
      </w:r>
      <w:r>
        <w:rPr>
          <w:rFonts w:ascii="Times New Roman" w:hAnsi="Times New Roman" w:cs="Times New Roman"/>
          <w:sz w:val="22"/>
          <w:szCs w:val="22"/>
        </w:rPr>
        <w:t>to be meritorious and duly uphold it.</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Grounds of appeal relate to issues not subject to the determination of the court a quo.</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t>The respondent argued that the special plea by the appellants was that there was no legal relationship between the first appellant and the respondent; therefore, t</w:t>
      </w:r>
      <w:r>
        <w:rPr>
          <w:rFonts w:ascii="Times New Roman" w:hAnsi="Times New Roman" w:cs="Times New Roman"/>
          <w:sz w:val="22"/>
          <w:szCs w:val="22"/>
        </w:rPr>
        <w:t>he court</w:t>
      </w:r>
      <w:r>
        <w:rPr>
          <w:rFonts w:ascii="Times New Roman" w:hAnsi="Times New Roman" w:cs="Times New Roman"/>
          <w:i/>
          <w:iCs/>
          <w:sz w:val="22"/>
          <w:szCs w:val="22"/>
        </w:rPr>
        <w:t xml:space="preserve"> a quo’s</w:t>
      </w:r>
      <w:r>
        <w:rPr>
          <w:rFonts w:ascii="Times New Roman" w:hAnsi="Times New Roman" w:cs="Times New Roman"/>
          <w:sz w:val="22"/>
          <w:szCs w:val="22"/>
        </w:rPr>
        <w:t xml:space="preserve"> finding could not be faulted. The appellants argued that the simple determination before the court a quo was to find if the respondent had </w:t>
      </w:r>
      <w:r>
        <w:rPr>
          <w:rFonts w:ascii="Times New Roman" w:hAnsi="Times New Roman" w:cs="Times New Roman"/>
          <w:i/>
          <w:iCs/>
          <w:sz w:val="22"/>
          <w:szCs w:val="22"/>
        </w:rPr>
        <w:t>locus stand</w:t>
      </w:r>
      <w:r>
        <w:rPr>
          <w:rFonts w:ascii="Times New Roman" w:hAnsi="Times New Roman" w:cs="Times New Roman"/>
          <w:sz w:val="22"/>
          <w:szCs w:val="22"/>
        </w:rPr>
        <w:t>i to evict the first appellant from the premises. Further, the appellants averred that th</w:t>
      </w:r>
      <w:r>
        <w:rPr>
          <w:rFonts w:ascii="Times New Roman" w:hAnsi="Times New Roman" w:cs="Times New Roman"/>
          <w:sz w:val="22"/>
          <w:szCs w:val="22"/>
        </w:rPr>
        <w:t>e respondent had the duty to plead or prove by way of evidence the basis on which it sought eviction of the first appellant.</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t>This court has, on numerous occasions in the past, cautioned legal practitioners and litigants against raising preliminary poin</w:t>
      </w:r>
      <w:r>
        <w:rPr>
          <w:rFonts w:ascii="Times New Roman" w:hAnsi="Times New Roman" w:cs="Times New Roman"/>
          <w:sz w:val="22"/>
          <w:szCs w:val="22"/>
        </w:rPr>
        <w:t xml:space="preserve">ts for the sake of it. A point </w:t>
      </w:r>
      <w:r>
        <w:rPr>
          <w:rFonts w:ascii="Times New Roman" w:hAnsi="Times New Roman" w:cs="Times New Roman"/>
          <w:iCs/>
          <w:sz w:val="22"/>
          <w:szCs w:val="22"/>
        </w:rPr>
        <w:t>in</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limine</w:t>
      </w:r>
      <w:proofErr w:type="spellEnd"/>
      <w:r>
        <w:rPr>
          <w:rFonts w:ascii="Times New Roman" w:hAnsi="Times New Roman" w:cs="Times New Roman"/>
          <w:sz w:val="22"/>
          <w:szCs w:val="22"/>
        </w:rPr>
        <w:t xml:space="preserve"> must be a point of law with substance, taken because of its apparent capability to dispose of the matter. A disposal of the matter means </w:t>
      </w:r>
      <w:proofErr w:type="spellStart"/>
      <w:r>
        <w:rPr>
          <w:rFonts w:ascii="Times New Roman" w:hAnsi="Times New Roman" w:cs="Times New Roman"/>
          <w:sz w:val="22"/>
          <w:szCs w:val="22"/>
        </w:rPr>
        <w:t>finalising</w:t>
      </w:r>
      <w:proofErr w:type="spellEnd"/>
      <w:r>
        <w:rPr>
          <w:rFonts w:ascii="Times New Roman" w:hAnsi="Times New Roman" w:cs="Times New Roman"/>
          <w:sz w:val="22"/>
          <w:szCs w:val="22"/>
        </w:rPr>
        <w:t xml:space="preserve"> the dispute between the parties. Alternatively, it must point to a </w:t>
      </w:r>
      <w:r>
        <w:rPr>
          <w:rFonts w:ascii="Times New Roman" w:hAnsi="Times New Roman" w:cs="Times New Roman"/>
          <w:sz w:val="22"/>
          <w:szCs w:val="22"/>
        </w:rPr>
        <w:t xml:space="preserve">fatal defect in the matter, </w:t>
      </w:r>
      <w:r>
        <w:rPr>
          <w:rFonts w:ascii="Times New Roman" w:hAnsi="Times New Roman" w:cs="Times New Roman"/>
          <w:sz w:val="22"/>
          <w:szCs w:val="22"/>
        </w:rPr>
        <w:lastRenderedPageBreak/>
        <w:t>rendering the matter improperly before the court. It must not be a point that merely delays the adjudication of the dispute without good legal cause.</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14]</w:t>
      </w:r>
      <w:r>
        <w:rPr>
          <w:rFonts w:ascii="Times New Roman" w:hAnsi="Times New Roman" w:cs="Times New Roman"/>
          <w:sz w:val="22"/>
          <w:szCs w:val="22"/>
        </w:rPr>
        <w:tab/>
        <w:t xml:space="preserve">This point </w:t>
      </w:r>
      <w:r>
        <w:rPr>
          <w:rFonts w:ascii="Times New Roman" w:hAnsi="Times New Roman" w:cs="Times New Roman"/>
          <w:iCs/>
          <w:sz w:val="22"/>
          <w:szCs w:val="22"/>
        </w:rPr>
        <w:t>in</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limine</w:t>
      </w:r>
      <w:proofErr w:type="spellEnd"/>
      <w:r>
        <w:rPr>
          <w:rFonts w:ascii="Times New Roman" w:hAnsi="Times New Roman" w:cs="Times New Roman"/>
          <w:sz w:val="22"/>
          <w:szCs w:val="22"/>
        </w:rPr>
        <w:t xml:space="preserve"> is insufficient to dispose of the dispute between the</w:t>
      </w:r>
      <w:r>
        <w:rPr>
          <w:rFonts w:ascii="Times New Roman" w:hAnsi="Times New Roman" w:cs="Times New Roman"/>
          <w:sz w:val="22"/>
          <w:szCs w:val="22"/>
        </w:rPr>
        <w:t xml:space="preserve"> parties. Central in this matter is that the </w:t>
      </w:r>
      <w:r>
        <w:rPr>
          <w:rFonts w:ascii="Times New Roman" w:hAnsi="Times New Roman" w:cs="Times New Roman"/>
          <w:i/>
          <w:iCs/>
          <w:sz w:val="22"/>
          <w:szCs w:val="22"/>
        </w:rPr>
        <w:t>locus standi</w:t>
      </w:r>
      <w:r>
        <w:rPr>
          <w:rFonts w:ascii="Times New Roman" w:hAnsi="Times New Roman" w:cs="Times New Roman"/>
          <w:sz w:val="22"/>
          <w:szCs w:val="22"/>
        </w:rPr>
        <w:t xml:space="preserve"> of the respondent was put in issue as a preliminary point in the court a quo. The Court, in an interlocutory ruling, found that the respondent has standing and dismissed the preliminary point raised. It is that ruling that has been appealed. Whether or no</w:t>
      </w:r>
      <w:r>
        <w:rPr>
          <w:rFonts w:ascii="Times New Roman" w:hAnsi="Times New Roman" w:cs="Times New Roman"/>
          <w:sz w:val="22"/>
          <w:szCs w:val="22"/>
        </w:rPr>
        <w:t>t the respondent would later prove its relationship with the first appellant is a different matter altogether in the context of this appeal. This point lacks merit and is dismissed.</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DISPOSITION</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15]</w:t>
      </w:r>
      <w:r>
        <w:rPr>
          <w:rFonts w:ascii="Times New Roman" w:hAnsi="Times New Roman" w:cs="Times New Roman"/>
          <w:sz w:val="22"/>
          <w:szCs w:val="22"/>
        </w:rPr>
        <w:tab/>
        <w:t xml:space="preserve">The second point </w:t>
      </w:r>
      <w:r>
        <w:rPr>
          <w:rFonts w:ascii="Times New Roman" w:hAnsi="Times New Roman" w:cs="Times New Roman"/>
          <w:iCs/>
          <w:sz w:val="22"/>
          <w:szCs w:val="22"/>
        </w:rPr>
        <w:t>in</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limine</w:t>
      </w:r>
      <w:proofErr w:type="spellEnd"/>
      <w:r>
        <w:rPr>
          <w:rFonts w:ascii="Times New Roman" w:hAnsi="Times New Roman" w:cs="Times New Roman"/>
          <w:i/>
          <w:sz w:val="22"/>
          <w:szCs w:val="22"/>
        </w:rPr>
        <w:t xml:space="preserve"> </w:t>
      </w:r>
      <w:r>
        <w:rPr>
          <w:rFonts w:ascii="Times New Roman" w:hAnsi="Times New Roman" w:cs="Times New Roman"/>
          <w:sz w:val="22"/>
          <w:szCs w:val="22"/>
        </w:rPr>
        <w:t>raised by the respondent is mer</w:t>
      </w:r>
      <w:r>
        <w:rPr>
          <w:rFonts w:ascii="Times New Roman" w:hAnsi="Times New Roman" w:cs="Times New Roman"/>
          <w:sz w:val="22"/>
          <w:szCs w:val="22"/>
        </w:rPr>
        <w:t xml:space="preserve">itorious. The ruling of the court a quo in respect of the special plea did not constitute a final and definitive judgment of the dispute between the parties. It is an interlocutory ruling and is </w:t>
      </w:r>
      <w:proofErr w:type="spellStart"/>
      <w:r>
        <w:rPr>
          <w:rFonts w:ascii="Times New Roman" w:hAnsi="Times New Roman" w:cs="Times New Roman"/>
          <w:sz w:val="22"/>
          <w:szCs w:val="22"/>
        </w:rPr>
        <w:t>unappealable</w:t>
      </w:r>
      <w:proofErr w:type="spellEnd"/>
      <w:r>
        <w:rPr>
          <w:rFonts w:ascii="Times New Roman" w:hAnsi="Times New Roman" w:cs="Times New Roman"/>
          <w:sz w:val="22"/>
          <w:szCs w:val="22"/>
        </w:rPr>
        <w:t>. This matter is therefore not properly before th</w:t>
      </w:r>
      <w:r>
        <w:rPr>
          <w:rFonts w:ascii="Times New Roman" w:hAnsi="Times New Roman" w:cs="Times New Roman"/>
          <w:sz w:val="22"/>
          <w:szCs w:val="22"/>
        </w:rPr>
        <w:t>is Court. In light of the above, I make the following order.</w:t>
      </w:r>
    </w:p>
    <w:p w:rsidR="004F7C0F" w:rsidRDefault="00317DF6">
      <w:pPr>
        <w:spacing w:line="360" w:lineRule="auto"/>
        <w:rPr>
          <w:rFonts w:ascii="Times New Roman" w:hAnsi="Times New Roman" w:cs="Times New Roman"/>
          <w:b/>
          <w:sz w:val="22"/>
          <w:szCs w:val="22"/>
        </w:rPr>
      </w:pPr>
      <w:r>
        <w:rPr>
          <w:rFonts w:ascii="Times New Roman" w:hAnsi="Times New Roman" w:cs="Times New Roman"/>
          <w:b/>
          <w:sz w:val="22"/>
          <w:szCs w:val="22"/>
        </w:rPr>
        <w:t>ORDER</w:t>
      </w:r>
    </w:p>
    <w:p w:rsidR="004F7C0F" w:rsidRDefault="00317DF6">
      <w:pPr>
        <w:spacing w:line="360" w:lineRule="auto"/>
        <w:rPr>
          <w:rFonts w:ascii="Times New Roman" w:hAnsi="Times New Roman" w:cs="Times New Roman"/>
          <w:sz w:val="22"/>
          <w:szCs w:val="22"/>
        </w:rPr>
      </w:pPr>
      <w:r>
        <w:rPr>
          <w:rFonts w:ascii="Times New Roman" w:hAnsi="Times New Roman" w:cs="Times New Roman"/>
          <w:sz w:val="22"/>
          <w:szCs w:val="22"/>
        </w:rPr>
        <w:t>The matter is hereby struck off the roll with costs.</w:t>
      </w:r>
    </w:p>
    <w:p w:rsidR="004F7C0F" w:rsidRDefault="004F7C0F">
      <w:pPr>
        <w:spacing w:line="360" w:lineRule="auto"/>
        <w:rPr>
          <w:rFonts w:ascii="Times New Roman" w:hAnsi="Times New Roman" w:cs="Times New Roman"/>
        </w:rPr>
      </w:pPr>
    </w:p>
    <w:p w:rsidR="004F7C0F" w:rsidRDefault="00317DF6">
      <w:pPr>
        <w:spacing w:after="0" w:line="360" w:lineRule="auto"/>
        <w:jc w:val="both"/>
        <w:rPr>
          <w:rFonts w:ascii="Times New Roman" w:hAnsi="Times New Roman" w:cs="Times New Roman"/>
          <w:b/>
          <w:bCs/>
        </w:rPr>
      </w:pPr>
      <w:r>
        <w:rPr>
          <w:rFonts w:ascii="Times New Roman" w:hAnsi="Times New Roman" w:cs="Times New Roman"/>
          <w:b/>
          <w:bCs/>
          <w:smallCaps/>
        </w:rPr>
        <w:t>NDLOVU</w:t>
      </w:r>
      <w:r>
        <w:rPr>
          <w:rFonts w:ascii="Times New Roman" w:hAnsi="Times New Roman" w:cs="Times New Roman"/>
          <w:b/>
          <w:bCs/>
        </w:rPr>
        <w:t xml:space="preserve"> J: </w:t>
      </w:r>
    </w:p>
    <w:p w:rsidR="004F7C0F" w:rsidRDefault="004F7C0F">
      <w:pPr>
        <w:spacing w:after="0" w:line="360" w:lineRule="auto"/>
        <w:jc w:val="both"/>
        <w:rPr>
          <w:rFonts w:ascii="Times New Roman" w:hAnsi="Times New Roman" w:cs="Times New Roman"/>
          <w:b/>
          <w:bCs/>
        </w:rPr>
      </w:pPr>
    </w:p>
    <w:p w:rsidR="004F7C0F" w:rsidRDefault="00317DF6">
      <w:pPr>
        <w:spacing w:after="0" w:line="360" w:lineRule="auto"/>
        <w:jc w:val="both"/>
        <w:rPr>
          <w:rFonts w:ascii="Times New Roman" w:hAnsi="Times New Roman" w:cs="Times New Roman"/>
          <w:b/>
          <w:bCs/>
        </w:rPr>
      </w:pPr>
      <w:r>
        <w:rPr>
          <w:rFonts w:ascii="Times New Roman" w:hAnsi="Times New Roman" w:cs="Times New Roman"/>
          <w:b/>
          <w:bCs/>
        </w:rPr>
        <w:t>CHILIMBE J:</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i/>
        </w:rPr>
        <w:t>Agrees.</w:t>
      </w:r>
    </w:p>
    <w:p w:rsidR="004F7C0F" w:rsidRDefault="004F7C0F">
      <w:pPr>
        <w:spacing w:after="0" w:line="360" w:lineRule="auto"/>
        <w:jc w:val="both"/>
        <w:rPr>
          <w:rFonts w:ascii="Times New Roman" w:hAnsi="Times New Roman" w:cs="Times New Roman"/>
          <w:b/>
          <w:bCs/>
        </w:rPr>
      </w:pPr>
    </w:p>
    <w:p w:rsidR="004F7C0F" w:rsidRDefault="004F7C0F">
      <w:pPr>
        <w:spacing w:after="0" w:line="360" w:lineRule="auto"/>
        <w:jc w:val="both"/>
        <w:rPr>
          <w:rFonts w:ascii="Times New Roman" w:hAnsi="Times New Roman" w:cs="Times New Roman"/>
          <w:b/>
          <w:bCs/>
        </w:rPr>
      </w:pPr>
    </w:p>
    <w:p w:rsidR="004F7C0F" w:rsidRDefault="004F7C0F">
      <w:pPr>
        <w:spacing w:after="0" w:line="240" w:lineRule="auto"/>
        <w:jc w:val="both"/>
        <w:rPr>
          <w:rFonts w:ascii="Times New Roman" w:hAnsi="Times New Roman" w:cs="Times New Roman"/>
          <w:bCs/>
          <w:i/>
        </w:rPr>
      </w:pPr>
    </w:p>
    <w:p w:rsidR="004F7C0F" w:rsidRDefault="00317DF6">
      <w:pPr>
        <w:spacing w:after="0" w:line="240" w:lineRule="auto"/>
        <w:jc w:val="both"/>
        <w:rPr>
          <w:rFonts w:ascii="Times New Roman" w:hAnsi="Times New Roman" w:cs="Times New Roman"/>
          <w:bCs/>
        </w:rPr>
      </w:pPr>
      <w:proofErr w:type="spellStart"/>
      <w:r>
        <w:rPr>
          <w:rFonts w:ascii="Times New Roman" w:hAnsi="Times New Roman" w:cs="Times New Roman"/>
          <w:bCs/>
          <w:i/>
        </w:rPr>
        <w:t>Masara</w:t>
      </w:r>
      <w:proofErr w:type="spellEnd"/>
      <w:r>
        <w:rPr>
          <w:rFonts w:ascii="Times New Roman" w:hAnsi="Times New Roman" w:cs="Times New Roman"/>
          <w:bCs/>
          <w:i/>
        </w:rPr>
        <w:t xml:space="preserve"> </w:t>
      </w:r>
      <w:proofErr w:type="spellStart"/>
      <w:r>
        <w:rPr>
          <w:rFonts w:ascii="Times New Roman" w:hAnsi="Times New Roman" w:cs="Times New Roman"/>
          <w:bCs/>
          <w:i/>
        </w:rPr>
        <w:t>Savanhu</w:t>
      </w:r>
      <w:proofErr w:type="spellEnd"/>
      <w:r>
        <w:rPr>
          <w:rFonts w:ascii="Times New Roman" w:hAnsi="Times New Roman" w:cs="Times New Roman"/>
          <w:bCs/>
          <w:i/>
        </w:rPr>
        <w:t xml:space="preserve"> </w:t>
      </w:r>
      <w:proofErr w:type="spellStart"/>
      <w:r>
        <w:rPr>
          <w:rFonts w:ascii="Times New Roman" w:hAnsi="Times New Roman" w:cs="Times New Roman"/>
          <w:bCs/>
          <w:i/>
        </w:rPr>
        <w:t>Attornies</w:t>
      </w:r>
      <w:proofErr w:type="spellEnd"/>
      <w:r>
        <w:rPr>
          <w:rFonts w:ascii="Times New Roman" w:hAnsi="Times New Roman" w:cs="Times New Roman"/>
          <w:bCs/>
        </w:rPr>
        <w:t xml:space="preserve">, </w:t>
      </w:r>
      <w:r>
        <w:rPr>
          <w:rFonts w:ascii="Times New Roman" w:hAnsi="Times New Roman" w:cs="Times New Roman"/>
          <w:bCs/>
        </w:rPr>
        <w:t>Appellant</w:t>
      </w:r>
      <w:r>
        <w:rPr>
          <w:rFonts w:ascii="Times New Roman" w:hAnsi="Times New Roman" w:cs="Times New Roman"/>
          <w:bCs/>
        </w:rPr>
        <w:t xml:space="preserve">’s legal practitioners </w:t>
      </w:r>
    </w:p>
    <w:p w:rsidR="004F7C0F" w:rsidRDefault="00317DF6">
      <w:pPr>
        <w:spacing w:after="0" w:line="240" w:lineRule="auto"/>
        <w:jc w:val="both"/>
        <w:rPr>
          <w:rFonts w:ascii="Times New Roman" w:hAnsi="Times New Roman" w:cs="Times New Roman"/>
          <w:bCs/>
        </w:rPr>
      </w:pPr>
      <w:r>
        <w:rPr>
          <w:rFonts w:ascii="Times New Roman" w:hAnsi="Times New Roman" w:cs="Times New Roman"/>
          <w:bCs/>
          <w:i/>
          <w:iCs/>
        </w:rPr>
        <w:t>L. T.</w:t>
      </w:r>
      <w:r>
        <w:rPr>
          <w:rFonts w:ascii="Times New Roman" w:hAnsi="Times New Roman" w:cs="Times New Roman"/>
          <w:bCs/>
        </w:rPr>
        <w:t xml:space="preserve"> </w:t>
      </w:r>
      <w:proofErr w:type="spellStart"/>
      <w:r>
        <w:rPr>
          <w:rFonts w:ascii="Times New Roman" w:hAnsi="Times New Roman" w:cs="Times New Roman"/>
          <w:bCs/>
          <w:i/>
          <w:iCs/>
        </w:rPr>
        <w:t>Muringani</w:t>
      </w:r>
      <w:proofErr w:type="spellEnd"/>
      <w:r>
        <w:rPr>
          <w:rFonts w:ascii="Times New Roman" w:hAnsi="Times New Roman" w:cs="Times New Roman"/>
          <w:bCs/>
          <w:i/>
          <w:iCs/>
        </w:rPr>
        <w:t xml:space="preserve"> Law Practice</w:t>
      </w:r>
      <w:r>
        <w:rPr>
          <w:rFonts w:ascii="Times New Roman" w:hAnsi="Times New Roman" w:cs="Times New Roman"/>
          <w:bCs/>
        </w:rPr>
        <w:t xml:space="preserve">, the </w:t>
      </w:r>
      <w:r>
        <w:rPr>
          <w:rFonts w:ascii="Times New Roman" w:hAnsi="Times New Roman" w:cs="Times New Roman"/>
          <w:bCs/>
        </w:rPr>
        <w:t>R</w:t>
      </w:r>
      <w:r>
        <w:rPr>
          <w:rFonts w:ascii="Times New Roman" w:hAnsi="Times New Roman" w:cs="Times New Roman"/>
          <w:bCs/>
        </w:rPr>
        <w:t>espondent's</w:t>
      </w:r>
      <w:r>
        <w:rPr>
          <w:rFonts w:ascii="Times New Roman" w:hAnsi="Times New Roman" w:cs="Times New Roman"/>
          <w:bCs/>
        </w:rPr>
        <w:t xml:space="preserve"> legal practitioners   </w:t>
      </w:r>
    </w:p>
    <w:sectPr w:rsidR="004F7C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F6" w:rsidRDefault="00317DF6">
      <w:pPr>
        <w:spacing w:line="240" w:lineRule="auto"/>
      </w:pPr>
      <w:r>
        <w:separator/>
      </w:r>
    </w:p>
  </w:endnote>
  <w:endnote w:type="continuationSeparator" w:id="0">
    <w:p w:rsidR="00317DF6" w:rsidRDefault="00317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F6" w:rsidRDefault="00317DF6">
      <w:pPr>
        <w:spacing w:after="0"/>
      </w:pPr>
      <w:r>
        <w:separator/>
      </w:r>
    </w:p>
  </w:footnote>
  <w:footnote w:type="continuationSeparator" w:id="0">
    <w:p w:rsidR="00317DF6" w:rsidRDefault="00317D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0F" w:rsidRDefault="00317DF6">
    <w:pPr>
      <w:pStyle w:val="Header"/>
    </w:pPr>
    <w:r>
      <w:tab/>
    </w:r>
    <w:r>
      <w:tab/>
    </w:r>
    <w:sdt>
      <w:sdtPr>
        <w:id w:val="-1565485946"/>
      </w:sdtPr>
      <w:sdtEndPr/>
      <w:sdtContent>
        <w:r>
          <w:fldChar w:fldCharType="begin"/>
        </w:r>
        <w:r>
          <w:instrText xml:space="preserve"> PAGE   \* MERGEFORMAT </w:instrText>
        </w:r>
        <w:r>
          <w:fldChar w:fldCharType="separate"/>
        </w:r>
        <w:r w:rsidR="00986D3E">
          <w:rPr>
            <w:noProof/>
          </w:rPr>
          <w:t>1</w:t>
        </w:r>
        <w:r>
          <w:fldChar w:fldCharType="end"/>
        </w:r>
      </w:sdtContent>
    </w:sdt>
  </w:p>
  <w:p w:rsidR="004F7C0F" w:rsidRDefault="00317DF6">
    <w:pPr>
      <w:pStyle w:val="Header"/>
    </w:pPr>
    <w:r>
      <w:tab/>
    </w:r>
    <w:r>
      <w:tab/>
    </w:r>
    <w:r>
      <w:t>HH 484/25</w:t>
    </w:r>
  </w:p>
  <w:p w:rsidR="004F7C0F" w:rsidRDefault="00317DF6">
    <w:pPr>
      <w:pStyle w:val="Header"/>
    </w:pPr>
    <w:r>
      <w:tab/>
    </w:r>
    <w:r>
      <w:tab/>
    </w:r>
    <w:r>
      <w:t>HCH</w:t>
    </w:r>
    <w:r>
      <w:t>C</w:t>
    </w:r>
    <w:r>
      <w:t xml:space="preserve"> 1</w:t>
    </w:r>
    <w:r>
      <w:t>89</w:t>
    </w:r>
    <w:r>
      <w:t>/2</w:t>
    </w:r>
    <w:r>
      <w:t>5</w:t>
    </w:r>
  </w:p>
  <w:p w:rsidR="004F7C0F" w:rsidRDefault="00317DF6">
    <w:pPr>
      <w:pStyle w:val="Header"/>
    </w:pPr>
    <w:r>
      <w:tab/>
    </w:r>
    <w:r>
      <w:tab/>
      <w:t>X REF; HREC-CD112/25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2E"/>
    <w:rsid w:val="00001620"/>
    <w:rsid w:val="0000253C"/>
    <w:rsid w:val="0001393F"/>
    <w:rsid w:val="00022A68"/>
    <w:rsid w:val="00036482"/>
    <w:rsid w:val="00063F20"/>
    <w:rsid w:val="00076523"/>
    <w:rsid w:val="00080FB6"/>
    <w:rsid w:val="00090B73"/>
    <w:rsid w:val="00091FA4"/>
    <w:rsid w:val="00097EA3"/>
    <w:rsid w:val="000A0BD6"/>
    <w:rsid w:val="000A6DB7"/>
    <w:rsid w:val="000C6EB8"/>
    <w:rsid w:val="000D5996"/>
    <w:rsid w:val="000F39CE"/>
    <w:rsid w:val="00104FC9"/>
    <w:rsid w:val="00111A4A"/>
    <w:rsid w:val="00114089"/>
    <w:rsid w:val="00132E30"/>
    <w:rsid w:val="00140293"/>
    <w:rsid w:val="00142242"/>
    <w:rsid w:val="00143CB0"/>
    <w:rsid w:val="0015197A"/>
    <w:rsid w:val="00157051"/>
    <w:rsid w:val="001573E2"/>
    <w:rsid w:val="00163235"/>
    <w:rsid w:val="001651BE"/>
    <w:rsid w:val="00167055"/>
    <w:rsid w:val="00193BCA"/>
    <w:rsid w:val="001A036A"/>
    <w:rsid w:val="001A0C44"/>
    <w:rsid w:val="001A7B16"/>
    <w:rsid w:val="001B6226"/>
    <w:rsid w:val="001C135E"/>
    <w:rsid w:val="001C5691"/>
    <w:rsid w:val="001C6C15"/>
    <w:rsid w:val="001C7019"/>
    <w:rsid w:val="001D6CE8"/>
    <w:rsid w:val="001E0AD2"/>
    <w:rsid w:val="001E7E6F"/>
    <w:rsid w:val="001F1D56"/>
    <w:rsid w:val="001F41C7"/>
    <w:rsid w:val="001F6E34"/>
    <w:rsid w:val="00211C18"/>
    <w:rsid w:val="00213217"/>
    <w:rsid w:val="002154C9"/>
    <w:rsid w:val="0022154A"/>
    <w:rsid w:val="00226566"/>
    <w:rsid w:val="0023320D"/>
    <w:rsid w:val="0025250A"/>
    <w:rsid w:val="00253058"/>
    <w:rsid w:val="00254CF1"/>
    <w:rsid w:val="00265F5C"/>
    <w:rsid w:val="002777D0"/>
    <w:rsid w:val="00284797"/>
    <w:rsid w:val="0028562E"/>
    <w:rsid w:val="00286F03"/>
    <w:rsid w:val="00287804"/>
    <w:rsid w:val="00290A02"/>
    <w:rsid w:val="00296F1B"/>
    <w:rsid w:val="002B47F6"/>
    <w:rsid w:val="002C72AA"/>
    <w:rsid w:val="002C7A1B"/>
    <w:rsid w:val="002D0E56"/>
    <w:rsid w:val="002D295B"/>
    <w:rsid w:val="002E6DD2"/>
    <w:rsid w:val="002E7CE1"/>
    <w:rsid w:val="002F4C42"/>
    <w:rsid w:val="0030245D"/>
    <w:rsid w:val="00317DF6"/>
    <w:rsid w:val="00324519"/>
    <w:rsid w:val="003275D9"/>
    <w:rsid w:val="003414F8"/>
    <w:rsid w:val="00343D6C"/>
    <w:rsid w:val="00345B93"/>
    <w:rsid w:val="00353B8B"/>
    <w:rsid w:val="00356DAE"/>
    <w:rsid w:val="00365404"/>
    <w:rsid w:val="00380B50"/>
    <w:rsid w:val="00381689"/>
    <w:rsid w:val="0038769B"/>
    <w:rsid w:val="00391107"/>
    <w:rsid w:val="003970EF"/>
    <w:rsid w:val="003B35BF"/>
    <w:rsid w:val="003C13A3"/>
    <w:rsid w:val="003C79CB"/>
    <w:rsid w:val="003E3DD9"/>
    <w:rsid w:val="003E7066"/>
    <w:rsid w:val="003F257B"/>
    <w:rsid w:val="003F553A"/>
    <w:rsid w:val="00405D66"/>
    <w:rsid w:val="004105D6"/>
    <w:rsid w:val="00423B34"/>
    <w:rsid w:val="00426FBA"/>
    <w:rsid w:val="00444001"/>
    <w:rsid w:val="004460C4"/>
    <w:rsid w:val="00447323"/>
    <w:rsid w:val="004508A1"/>
    <w:rsid w:val="00464631"/>
    <w:rsid w:val="00464BC7"/>
    <w:rsid w:val="00473DEA"/>
    <w:rsid w:val="004752FB"/>
    <w:rsid w:val="00477567"/>
    <w:rsid w:val="00496634"/>
    <w:rsid w:val="004A23D0"/>
    <w:rsid w:val="004C331B"/>
    <w:rsid w:val="004C4E2B"/>
    <w:rsid w:val="004C7CA3"/>
    <w:rsid w:val="004E00DB"/>
    <w:rsid w:val="004E13EF"/>
    <w:rsid w:val="004F0719"/>
    <w:rsid w:val="004F57BA"/>
    <w:rsid w:val="004F5B3E"/>
    <w:rsid w:val="004F7C0F"/>
    <w:rsid w:val="00500220"/>
    <w:rsid w:val="0050698E"/>
    <w:rsid w:val="005125CE"/>
    <w:rsid w:val="00515271"/>
    <w:rsid w:val="0051630D"/>
    <w:rsid w:val="00516BA8"/>
    <w:rsid w:val="00520A00"/>
    <w:rsid w:val="00544D92"/>
    <w:rsid w:val="0056403E"/>
    <w:rsid w:val="00564CBE"/>
    <w:rsid w:val="00593287"/>
    <w:rsid w:val="00597250"/>
    <w:rsid w:val="005B0D72"/>
    <w:rsid w:val="005D4C43"/>
    <w:rsid w:val="005D59D1"/>
    <w:rsid w:val="005E684A"/>
    <w:rsid w:val="005E7F1C"/>
    <w:rsid w:val="005F6915"/>
    <w:rsid w:val="0060254D"/>
    <w:rsid w:val="00603CE6"/>
    <w:rsid w:val="00610C37"/>
    <w:rsid w:val="00616C42"/>
    <w:rsid w:val="00617ED6"/>
    <w:rsid w:val="006213C6"/>
    <w:rsid w:val="00627E1D"/>
    <w:rsid w:val="0063690E"/>
    <w:rsid w:val="006423F0"/>
    <w:rsid w:val="006506A3"/>
    <w:rsid w:val="006610F4"/>
    <w:rsid w:val="00665D67"/>
    <w:rsid w:val="00675380"/>
    <w:rsid w:val="00676FF9"/>
    <w:rsid w:val="0068001F"/>
    <w:rsid w:val="00687875"/>
    <w:rsid w:val="00687975"/>
    <w:rsid w:val="00690595"/>
    <w:rsid w:val="006A5246"/>
    <w:rsid w:val="006C78F0"/>
    <w:rsid w:val="006E4417"/>
    <w:rsid w:val="006F2F39"/>
    <w:rsid w:val="007026B3"/>
    <w:rsid w:val="00704422"/>
    <w:rsid w:val="007063CE"/>
    <w:rsid w:val="0071494F"/>
    <w:rsid w:val="007151FC"/>
    <w:rsid w:val="00717CD6"/>
    <w:rsid w:val="0073186F"/>
    <w:rsid w:val="00732611"/>
    <w:rsid w:val="007330FD"/>
    <w:rsid w:val="0074065D"/>
    <w:rsid w:val="007633A0"/>
    <w:rsid w:val="00772D91"/>
    <w:rsid w:val="007776E7"/>
    <w:rsid w:val="0078498E"/>
    <w:rsid w:val="0079334E"/>
    <w:rsid w:val="007B19BF"/>
    <w:rsid w:val="007B381B"/>
    <w:rsid w:val="007B70F3"/>
    <w:rsid w:val="007D2DCC"/>
    <w:rsid w:val="007D6544"/>
    <w:rsid w:val="007D78E7"/>
    <w:rsid w:val="007E41AC"/>
    <w:rsid w:val="007F43F7"/>
    <w:rsid w:val="007F51C5"/>
    <w:rsid w:val="007F7FF4"/>
    <w:rsid w:val="00803650"/>
    <w:rsid w:val="00822A99"/>
    <w:rsid w:val="00822CBA"/>
    <w:rsid w:val="00831CAB"/>
    <w:rsid w:val="008337E8"/>
    <w:rsid w:val="008477F1"/>
    <w:rsid w:val="0085719A"/>
    <w:rsid w:val="0086192A"/>
    <w:rsid w:val="00863083"/>
    <w:rsid w:val="008714A6"/>
    <w:rsid w:val="00872BB5"/>
    <w:rsid w:val="00890392"/>
    <w:rsid w:val="00895110"/>
    <w:rsid w:val="008A719B"/>
    <w:rsid w:val="008B2090"/>
    <w:rsid w:val="008C45E4"/>
    <w:rsid w:val="008D3ED0"/>
    <w:rsid w:val="008D4339"/>
    <w:rsid w:val="008E7164"/>
    <w:rsid w:val="008F57D5"/>
    <w:rsid w:val="008F7AE8"/>
    <w:rsid w:val="00910BC2"/>
    <w:rsid w:val="00917696"/>
    <w:rsid w:val="009246BE"/>
    <w:rsid w:val="009332D2"/>
    <w:rsid w:val="00933420"/>
    <w:rsid w:val="00934733"/>
    <w:rsid w:val="009530A8"/>
    <w:rsid w:val="00975F68"/>
    <w:rsid w:val="00986D3E"/>
    <w:rsid w:val="00993B20"/>
    <w:rsid w:val="00996FE2"/>
    <w:rsid w:val="009A3168"/>
    <w:rsid w:val="009A5BFE"/>
    <w:rsid w:val="009A7742"/>
    <w:rsid w:val="009C3B3A"/>
    <w:rsid w:val="009C688A"/>
    <w:rsid w:val="009D2442"/>
    <w:rsid w:val="009D376A"/>
    <w:rsid w:val="009D47E1"/>
    <w:rsid w:val="009E2E13"/>
    <w:rsid w:val="009F1CE3"/>
    <w:rsid w:val="00A01B39"/>
    <w:rsid w:val="00A0668C"/>
    <w:rsid w:val="00A21FA0"/>
    <w:rsid w:val="00A51DF4"/>
    <w:rsid w:val="00A6338F"/>
    <w:rsid w:val="00A739A0"/>
    <w:rsid w:val="00A76DFC"/>
    <w:rsid w:val="00A85EB0"/>
    <w:rsid w:val="00A86062"/>
    <w:rsid w:val="00AB43CC"/>
    <w:rsid w:val="00AB5D17"/>
    <w:rsid w:val="00AC1B04"/>
    <w:rsid w:val="00AC5319"/>
    <w:rsid w:val="00AC62B4"/>
    <w:rsid w:val="00AD4AC1"/>
    <w:rsid w:val="00AF0C7C"/>
    <w:rsid w:val="00AF5606"/>
    <w:rsid w:val="00B3636A"/>
    <w:rsid w:val="00B411A5"/>
    <w:rsid w:val="00B42215"/>
    <w:rsid w:val="00B42E92"/>
    <w:rsid w:val="00B440F5"/>
    <w:rsid w:val="00B5034E"/>
    <w:rsid w:val="00B65FB3"/>
    <w:rsid w:val="00B65FF7"/>
    <w:rsid w:val="00B75302"/>
    <w:rsid w:val="00B805E7"/>
    <w:rsid w:val="00B863D0"/>
    <w:rsid w:val="00B91C56"/>
    <w:rsid w:val="00B959CE"/>
    <w:rsid w:val="00B97908"/>
    <w:rsid w:val="00BB6365"/>
    <w:rsid w:val="00BC3AFF"/>
    <w:rsid w:val="00BD3CB7"/>
    <w:rsid w:val="00BE0B04"/>
    <w:rsid w:val="00BE3698"/>
    <w:rsid w:val="00BF03EF"/>
    <w:rsid w:val="00BF1C9D"/>
    <w:rsid w:val="00BF6D67"/>
    <w:rsid w:val="00C00E5C"/>
    <w:rsid w:val="00C02E68"/>
    <w:rsid w:val="00C03FC5"/>
    <w:rsid w:val="00C054FE"/>
    <w:rsid w:val="00C161BA"/>
    <w:rsid w:val="00C20331"/>
    <w:rsid w:val="00C20537"/>
    <w:rsid w:val="00C25B55"/>
    <w:rsid w:val="00C46EB7"/>
    <w:rsid w:val="00C50D2C"/>
    <w:rsid w:val="00C50E20"/>
    <w:rsid w:val="00C53117"/>
    <w:rsid w:val="00C53942"/>
    <w:rsid w:val="00C74CB1"/>
    <w:rsid w:val="00C80595"/>
    <w:rsid w:val="00C8120A"/>
    <w:rsid w:val="00C85D18"/>
    <w:rsid w:val="00CA0E14"/>
    <w:rsid w:val="00CA39A7"/>
    <w:rsid w:val="00CA5C02"/>
    <w:rsid w:val="00CA61B7"/>
    <w:rsid w:val="00CC0471"/>
    <w:rsid w:val="00CD0C40"/>
    <w:rsid w:val="00CD195A"/>
    <w:rsid w:val="00CE58EA"/>
    <w:rsid w:val="00CF5073"/>
    <w:rsid w:val="00CF70E9"/>
    <w:rsid w:val="00D06096"/>
    <w:rsid w:val="00D10B12"/>
    <w:rsid w:val="00D134F2"/>
    <w:rsid w:val="00D2344F"/>
    <w:rsid w:val="00D23F19"/>
    <w:rsid w:val="00D251D2"/>
    <w:rsid w:val="00D33729"/>
    <w:rsid w:val="00D4695A"/>
    <w:rsid w:val="00D57C16"/>
    <w:rsid w:val="00D6071C"/>
    <w:rsid w:val="00D71731"/>
    <w:rsid w:val="00D73DA4"/>
    <w:rsid w:val="00D73F21"/>
    <w:rsid w:val="00D83E8C"/>
    <w:rsid w:val="00D9438E"/>
    <w:rsid w:val="00DA1D40"/>
    <w:rsid w:val="00DD368A"/>
    <w:rsid w:val="00DD3EDF"/>
    <w:rsid w:val="00DE46CB"/>
    <w:rsid w:val="00DE7527"/>
    <w:rsid w:val="00DE7671"/>
    <w:rsid w:val="00DF011E"/>
    <w:rsid w:val="00DF13E3"/>
    <w:rsid w:val="00DF4053"/>
    <w:rsid w:val="00E0110B"/>
    <w:rsid w:val="00E020AE"/>
    <w:rsid w:val="00E0496B"/>
    <w:rsid w:val="00E12C71"/>
    <w:rsid w:val="00E260BE"/>
    <w:rsid w:val="00E31BA8"/>
    <w:rsid w:val="00E36379"/>
    <w:rsid w:val="00E54AC8"/>
    <w:rsid w:val="00E553ED"/>
    <w:rsid w:val="00E55822"/>
    <w:rsid w:val="00E55A53"/>
    <w:rsid w:val="00E61636"/>
    <w:rsid w:val="00E644BA"/>
    <w:rsid w:val="00E70ED8"/>
    <w:rsid w:val="00E75E4E"/>
    <w:rsid w:val="00E7606D"/>
    <w:rsid w:val="00E768E3"/>
    <w:rsid w:val="00E77A49"/>
    <w:rsid w:val="00E85653"/>
    <w:rsid w:val="00E92E69"/>
    <w:rsid w:val="00E941E3"/>
    <w:rsid w:val="00EB3971"/>
    <w:rsid w:val="00EB78A2"/>
    <w:rsid w:val="00EE6A14"/>
    <w:rsid w:val="00EF00B2"/>
    <w:rsid w:val="00EF33DB"/>
    <w:rsid w:val="00EF52BF"/>
    <w:rsid w:val="00EF63F1"/>
    <w:rsid w:val="00F009F2"/>
    <w:rsid w:val="00F2277F"/>
    <w:rsid w:val="00F362C6"/>
    <w:rsid w:val="00F44755"/>
    <w:rsid w:val="00F50761"/>
    <w:rsid w:val="00F517E6"/>
    <w:rsid w:val="00F51E36"/>
    <w:rsid w:val="00F5216B"/>
    <w:rsid w:val="00F526D8"/>
    <w:rsid w:val="00F70DDF"/>
    <w:rsid w:val="00F71B73"/>
    <w:rsid w:val="00F85A75"/>
    <w:rsid w:val="00F93103"/>
    <w:rsid w:val="00F95FFF"/>
    <w:rsid w:val="00FA1511"/>
    <w:rsid w:val="00FB66DD"/>
    <w:rsid w:val="00FD1C0D"/>
    <w:rsid w:val="00FE5259"/>
    <w:rsid w:val="00FE78AD"/>
    <w:rsid w:val="00FF0AEA"/>
    <w:rsid w:val="00FF245A"/>
    <w:rsid w:val="00FF3198"/>
    <w:rsid w:val="06020DDD"/>
    <w:rsid w:val="0D06397F"/>
    <w:rsid w:val="0DAD0FE9"/>
    <w:rsid w:val="15334011"/>
    <w:rsid w:val="31BA5E6B"/>
    <w:rsid w:val="4D1726C7"/>
    <w:rsid w:val="50F7761F"/>
    <w:rsid w:val="64723D0E"/>
    <w:rsid w:val="6DBB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rPr>
      <w:rFonts w:ascii="Times New Roman" w:hAnsi="Times New Roman" w:cs="Times New Roman"/>
    </w:r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paragraph" w:customStyle="1" w:styleId="section">
    <w:name w:val="section"/>
    <w:basedOn w:val="Normal"/>
    <w:qFormat/>
    <w:pPr>
      <w:tabs>
        <w:tab w:val="left" w:pos="369"/>
        <w:tab w:val="left" w:pos="709"/>
      </w:tabs>
      <w:spacing w:after="80" w:line="240" w:lineRule="exact"/>
      <w:ind w:firstLine="369"/>
      <w:jc w:val="both"/>
    </w:pPr>
    <w:rPr>
      <w:rFonts w:ascii="Times New Roman" w:eastAsia="Times New Roman" w:hAnsi="Times New Roman" w:cs="Times New Roman"/>
      <w:szCs w:val="20"/>
      <w:lang w:val="en-GB" w:eastAsia="en-GB"/>
    </w:rPr>
  </w:style>
  <w:style w:type="paragraph" w:customStyle="1" w:styleId="para-a">
    <w:name w:val="para-a"/>
    <w:basedOn w:val="Normal"/>
    <w:qFormat/>
    <w:pPr>
      <w:tabs>
        <w:tab w:val="right" w:pos="680"/>
        <w:tab w:val="left" w:pos="822"/>
        <w:tab w:val="left" w:pos="1276"/>
      </w:tabs>
      <w:spacing w:after="80" w:line="240" w:lineRule="exact"/>
      <w:ind w:left="822" w:hanging="822"/>
      <w:jc w:val="both"/>
    </w:pPr>
    <w:rPr>
      <w:rFonts w:ascii="Times New Roman" w:eastAsia="Times New Roman" w:hAnsi="Times New Roman" w:cs="Times New Roman"/>
      <w:szCs w:val="20"/>
      <w:lang w:val="en-GB" w:eastAsia="en-GB"/>
    </w:rPr>
  </w:style>
  <w:style w:type="paragraph" w:customStyle="1" w:styleId="western">
    <w:name w:val="western"/>
    <w:basedOn w:val="Normal"/>
    <w:qFormat/>
    <w:pPr>
      <w:spacing w:before="100" w:beforeAutospacing="1" w:after="100" w:afterAutospacing="1" w:line="240" w:lineRule="auto"/>
    </w:pPr>
    <w:rPr>
      <w:rFonts w:ascii="Times New Roman" w:eastAsia="Times New Roman" w:hAnsi="Times New Roman" w:cs="Times New Roman"/>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rPr>
      <w:rFonts w:ascii="Times New Roman" w:hAnsi="Times New Roman" w:cs="Times New Roman"/>
    </w:r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paragraph" w:customStyle="1" w:styleId="section">
    <w:name w:val="section"/>
    <w:basedOn w:val="Normal"/>
    <w:qFormat/>
    <w:pPr>
      <w:tabs>
        <w:tab w:val="left" w:pos="369"/>
        <w:tab w:val="left" w:pos="709"/>
      </w:tabs>
      <w:spacing w:after="80" w:line="240" w:lineRule="exact"/>
      <w:ind w:firstLine="369"/>
      <w:jc w:val="both"/>
    </w:pPr>
    <w:rPr>
      <w:rFonts w:ascii="Times New Roman" w:eastAsia="Times New Roman" w:hAnsi="Times New Roman" w:cs="Times New Roman"/>
      <w:szCs w:val="20"/>
      <w:lang w:val="en-GB" w:eastAsia="en-GB"/>
    </w:rPr>
  </w:style>
  <w:style w:type="paragraph" w:customStyle="1" w:styleId="para-a">
    <w:name w:val="para-a"/>
    <w:basedOn w:val="Normal"/>
    <w:qFormat/>
    <w:pPr>
      <w:tabs>
        <w:tab w:val="right" w:pos="680"/>
        <w:tab w:val="left" w:pos="822"/>
        <w:tab w:val="left" w:pos="1276"/>
      </w:tabs>
      <w:spacing w:after="80" w:line="240" w:lineRule="exact"/>
      <w:ind w:left="822" w:hanging="822"/>
      <w:jc w:val="both"/>
    </w:pPr>
    <w:rPr>
      <w:rFonts w:ascii="Times New Roman" w:eastAsia="Times New Roman" w:hAnsi="Times New Roman" w:cs="Times New Roman"/>
      <w:szCs w:val="20"/>
      <w:lang w:val="en-GB" w:eastAsia="en-GB"/>
    </w:rPr>
  </w:style>
  <w:style w:type="paragraph" w:customStyle="1" w:styleId="western">
    <w:name w:val="western"/>
    <w:basedOn w:val="Normal"/>
    <w:qFormat/>
    <w:pPr>
      <w:spacing w:before="100" w:beforeAutospacing="1" w:after="100" w:afterAutospacing="1" w:line="240" w:lineRule="auto"/>
    </w:pPr>
    <w:rPr>
      <w:rFonts w:ascii="Times New Roman" w:eastAsia="Times New Roman" w:hAnsi="Times New Roman" w:cs="Times New Roman"/>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B830-06B7-4351-B471-559A5A8D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 PC</dc:creator>
  <cp:lastModifiedBy>User</cp:lastModifiedBy>
  <cp:revision>2</cp:revision>
  <cp:lastPrinted>2025-03-11T06:32:00Z</cp:lastPrinted>
  <dcterms:created xsi:type="dcterms:W3CDTF">2025-09-05T11:48:00Z</dcterms:created>
  <dcterms:modified xsi:type="dcterms:W3CDTF">2025-09-05T11:48:00Z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a12fd0e32e04bc0e7d563ad3ffbf1d05fb8e51749cb135c427f9f6aa04b4981b</vt:lpwstr>
  </property>
  <property fmtid="{D5CDD505-2E9C-101B-9397-08002B2CF9AE}" pid="3" name="KSOProductBuildVer">
    <vt:lpwstr>1033-12.2.0.21931</vt:lpwstr>
  </property>
  <property fmtid="{D5CDD505-2E9C-101B-9397-08002B2CF9AE}" pid="4" name="ICV">
    <vt:lpwstr>4C00EA4EE5784D58AAEF3001124514E5_13</vt:lpwstr>
  </property>
</Properties>
</file>