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BCC81" w14:textId="60491B9C" w:rsidR="00B9372F" w:rsidRDefault="000A7E17" w:rsidP="00711063">
      <w:pPr>
        <w:spacing w:line="240" w:lineRule="auto"/>
        <w:contextualSpacing/>
        <w:rPr>
          <w:rFonts w:ascii="new roman)" w:hAnsi="new roman)" w:cstheme="minorHAnsi"/>
          <w:sz w:val="24"/>
          <w:szCs w:val="24"/>
        </w:rPr>
      </w:pPr>
      <w:r>
        <w:rPr>
          <w:rFonts w:ascii="new roman)" w:hAnsi="new roman)" w:cstheme="minorHAnsi"/>
          <w:sz w:val="24"/>
          <w:szCs w:val="24"/>
        </w:rPr>
        <w:t>PADDINGTON KAPFUDZA</w:t>
      </w:r>
      <w:r>
        <w:rPr>
          <w:rFonts w:ascii="new roman)" w:hAnsi="new roman)" w:cstheme="minorHAnsi"/>
          <w:sz w:val="24"/>
          <w:szCs w:val="24"/>
        </w:rPr>
        <w:br/>
      </w:r>
      <w:r w:rsidR="00711063">
        <w:rPr>
          <w:rFonts w:ascii="new roman)" w:hAnsi="new roman)" w:cstheme="minorHAnsi"/>
          <w:sz w:val="24"/>
          <w:szCs w:val="24"/>
        </w:rPr>
        <w:t>V</w:t>
      </w:r>
      <w:r w:rsidRPr="000A7E17">
        <w:rPr>
          <w:rFonts w:ascii="new roman)" w:hAnsi="new roman)" w:cstheme="minorHAnsi"/>
          <w:sz w:val="24"/>
          <w:szCs w:val="24"/>
        </w:rPr>
        <w:t>ersus</w:t>
      </w:r>
      <w:r>
        <w:rPr>
          <w:rFonts w:ascii="new roman)" w:hAnsi="new roman)" w:cstheme="minorHAnsi"/>
          <w:sz w:val="24"/>
          <w:szCs w:val="24"/>
        </w:rPr>
        <w:br/>
        <w:t>LAWRENCE BILLIAT</w:t>
      </w:r>
      <w:r>
        <w:rPr>
          <w:rFonts w:ascii="new roman)" w:hAnsi="new roman)" w:cstheme="minorHAnsi"/>
          <w:sz w:val="24"/>
          <w:szCs w:val="24"/>
        </w:rPr>
        <w:br/>
      </w:r>
      <w:r w:rsidRPr="000A7E17">
        <w:rPr>
          <w:rFonts w:ascii="new roman)" w:hAnsi="new roman)" w:cstheme="minorHAnsi"/>
          <w:sz w:val="24"/>
          <w:szCs w:val="24"/>
        </w:rPr>
        <w:t>and</w:t>
      </w:r>
      <w:r>
        <w:rPr>
          <w:rFonts w:ascii="new roman)" w:hAnsi="new roman)" w:cstheme="minorHAnsi"/>
          <w:sz w:val="24"/>
          <w:szCs w:val="24"/>
        </w:rPr>
        <w:br/>
        <w:t>THE REGISTRAR OF DEEDS</w:t>
      </w:r>
      <w:r>
        <w:rPr>
          <w:rFonts w:ascii="new roman)" w:hAnsi="new roman)" w:cstheme="minorHAnsi"/>
          <w:sz w:val="24"/>
          <w:szCs w:val="24"/>
        </w:rPr>
        <w:br/>
      </w:r>
      <w:r w:rsidRPr="000A7E17">
        <w:rPr>
          <w:rFonts w:ascii="new roman)" w:hAnsi="new roman)" w:cstheme="minorHAnsi"/>
          <w:sz w:val="24"/>
          <w:szCs w:val="24"/>
        </w:rPr>
        <w:t>and</w:t>
      </w:r>
      <w:r>
        <w:rPr>
          <w:rFonts w:ascii="new roman)" w:hAnsi="new roman)" w:cstheme="minorHAnsi"/>
          <w:sz w:val="24"/>
          <w:szCs w:val="24"/>
        </w:rPr>
        <w:br/>
        <w:t>THE SHERIFF OF THE HIGH COURT NO.</w:t>
      </w:r>
    </w:p>
    <w:p w14:paraId="6FB50AB5" w14:textId="0F68B632" w:rsidR="00711063" w:rsidRDefault="00711063" w:rsidP="00711063">
      <w:pPr>
        <w:spacing w:line="240" w:lineRule="auto"/>
        <w:contextualSpacing/>
        <w:rPr>
          <w:rFonts w:ascii="new roman)" w:hAnsi="new roman)" w:cstheme="minorHAnsi"/>
          <w:sz w:val="24"/>
          <w:szCs w:val="24"/>
        </w:rPr>
      </w:pPr>
    </w:p>
    <w:p w14:paraId="3F225A21" w14:textId="77777777" w:rsidR="00711063" w:rsidRDefault="00711063" w:rsidP="00711063">
      <w:pPr>
        <w:spacing w:line="240" w:lineRule="auto"/>
        <w:contextualSpacing/>
        <w:rPr>
          <w:rFonts w:ascii="new roman)" w:hAnsi="new roman)" w:cstheme="minorHAnsi"/>
          <w:sz w:val="24"/>
          <w:szCs w:val="24"/>
        </w:rPr>
      </w:pPr>
    </w:p>
    <w:p w14:paraId="7FD16779" w14:textId="23E88625" w:rsidR="000A7E17" w:rsidRDefault="000A7E17" w:rsidP="00711063">
      <w:pPr>
        <w:spacing w:line="240" w:lineRule="auto"/>
        <w:contextualSpacing/>
        <w:rPr>
          <w:rFonts w:ascii="new roman)" w:hAnsi="new roman)" w:cstheme="minorHAnsi"/>
          <w:sz w:val="24"/>
          <w:szCs w:val="24"/>
        </w:rPr>
      </w:pPr>
      <w:r>
        <w:rPr>
          <w:rFonts w:ascii="new roman)" w:hAnsi="new roman)" w:cstheme="minorHAnsi"/>
          <w:sz w:val="24"/>
          <w:szCs w:val="24"/>
        </w:rPr>
        <w:t>IN THE HIGH COURT OF ZIMBABWE</w:t>
      </w:r>
      <w:r>
        <w:rPr>
          <w:rFonts w:ascii="new roman)" w:hAnsi="new roman)" w:cstheme="minorHAnsi"/>
          <w:sz w:val="24"/>
          <w:szCs w:val="24"/>
        </w:rPr>
        <w:br/>
      </w:r>
      <w:r w:rsidRPr="000A7E17">
        <w:rPr>
          <w:rFonts w:ascii="new roman)" w:hAnsi="new roman)" w:cstheme="minorHAnsi"/>
          <w:sz w:val="24"/>
          <w:szCs w:val="24"/>
        </w:rPr>
        <w:t>BACHI MZAWAZI J</w:t>
      </w:r>
      <w:r w:rsidR="003B5326">
        <w:rPr>
          <w:rFonts w:ascii="new roman)" w:hAnsi="new roman)" w:cstheme="minorHAnsi"/>
          <w:sz w:val="24"/>
          <w:szCs w:val="24"/>
        </w:rPr>
        <w:br/>
        <w:t>CHINHOYI 28 February - 26</w:t>
      </w:r>
      <w:r>
        <w:rPr>
          <w:rFonts w:ascii="new roman)" w:hAnsi="new roman)" w:cstheme="minorHAnsi"/>
          <w:sz w:val="24"/>
          <w:szCs w:val="24"/>
        </w:rPr>
        <w:t xml:space="preserve"> March 2025</w:t>
      </w:r>
    </w:p>
    <w:p w14:paraId="2A6F1155" w14:textId="01F8C632" w:rsidR="00711063" w:rsidRDefault="00711063" w:rsidP="00711063">
      <w:pPr>
        <w:spacing w:line="240" w:lineRule="auto"/>
        <w:contextualSpacing/>
        <w:rPr>
          <w:rFonts w:ascii="new roman)" w:hAnsi="new roman)" w:cstheme="minorHAnsi"/>
          <w:sz w:val="24"/>
          <w:szCs w:val="24"/>
        </w:rPr>
      </w:pPr>
    </w:p>
    <w:p w14:paraId="3FD81740" w14:textId="77777777" w:rsidR="00711063" w:rsidRDefault="00711063" w:rsidP="00711063">
      <w:pPr>
        <w:spacing w:line="240" w:lineRule="auto"/>
        <w:contextualSpacing/>
        <w:rPr>
          <w:rFonts w:ascii="new roman)" w:hAnsi="new roman)" w:cstheme="minorHAnsi"/>
          <w:sz w:val="24"/>
          <w:szCs w:val="24"/>
        </w:rPr>
      </w:pPr>
    </w:p>
    <w:p w14:paraId="1F7B7B67" w14:textId="6000B6BC" w:rsidR="000A7E17" w:rsidRDefault="000A7E17" w:rsidP="00711063">
      <w:pPr>
        <w:spacing w:line="240" w:lineRule="auto"/>
        <w:contextualSpacing/>
        <w:rPr>
          <w:rFonts w:ascii="new roman)" w:hAnsi="new roman)" w:cstheme="minorHAnsi"/>
          <w:b/>
          <w:sz w:val="24"/>
          <w:szCs w:val="24"/>
        </w:rPr>
      </w:pPr>
      <w:r w:rsidRPr="000A7E17">
        <w:rPr>
          <w:rFonts w:ascii="new roman)" w:hAnsi="new roman)" w:cstheme="minorHAnsi"/>
          <w:b/>
          <w:sz w:val="24"/>
          <w:szCs w:val="24"/>
        </w:rPr>
        <w:t>Opposed Application</w:t>
      </w:r>
    </w:p>
    <w:p w14:paraId="166F3BE4" w14:textId="44595B64" w:rsidR="00711063" w:rsidRDefault="00711063" w:rsidP="00711063">
      <w:pPr>
        <w:spacing w:line="240" w:lineRule="auto"/>
        <w:contextualSpacing/>
        <w:rPr>
          <w:rFonts w:ascii="new roman)" w:hAnsi="new roman)" w:cstheme="minorHAnsi"/>
          <w:b/>
          <w:sz w:val="24"/>
          <w:szCs w:val="24"/>
        </w:rPr>
      </w:pPr>
    </w:p>
    <w:p w14:paraId="3313E2B2" w14:textId="77777777" w:rsidR="00711063" w:rsidRDefault="00711063" w:rsidP="00711063">
      <w:pPr>
        <w:spacing w:line="240" w:lineRule="auto"/>
        <w:contextualSpacing/>
        <w:rPr>
          <w:rFonts w:ascii="new roman)" w:hAnsi="new roman)" w:cstheme="minorHAnsi"/>
          <w:b/>
          <w:sz w:val="24"/>
          <w:szCs w:val="24"/>
        </w:rPr>
      </w:pPr>
    </w:p>
    <w:p w14:paraId="5F39EE5D" w14:textId="23F5C9EA" w:rsidR="000A7E17" w:rsidRDefault="00773A79" w:rsidP="00711063">
      <w:pPr>
        <w:spacing w:line="240" w:lineRule="auto"/>
        <w:contextualSpacing/>
        <w:rPr>
          <w:rFonts w:ascii="new roman)" w:hAnsi="new roman)" w:cstheme="minorHAnsi"/>
          <w:sz w:val="24"/>
          <w:szCs w:val="24"/>
        </w:rPr>
      </w:pPr>
      <w:r>
        <w:rPr>
          <w:rFonts w:ascii="new roman)" w:hAnsi="new roman)" w:cstheme="minorHAnsi"/>
          <w:i/>
          <w:sz w:val="24"/>
          <w:szCs w:val="24"/>
        </w:rPr>
        <w:t xml:space="preserve">D. </w:t>
      </w:r>
      <w:proofErr w:type="spellStart"/>
      <w:r>
        <w:rPr>
          <w:rFonts w:ascii="new roman)" w:hAnsi="new roman)" w:cstheme="minorHAnsi"/>
          <w:i/>
          <w:sz w:val="24"/>
          <w:szCs w:val="24"/>
        </w:rPr>
        <w:t>Chikangwani</w:t>
      </w:r>
      <w:proofErr w:type="spellEnd"/>
      <w:r w:rsidR="00711063">
        <w:rPr>
          <w:rFonts w:ascii="new roman)" w:hAnsi="new roman)" w:cstheme="minorHAnsi"/>
          <w:i/>
          <w:sz w:val="24"/>
          <w:szCs w:val="24"/>
        </w:rPr>
        <w:t>,</w:t>
      </w:r>
      <w:r>
        <w:rPr>
          <w:rFonts w:ascii="new roman)" w:hAnsi="new roman)" w:cstheme="minorHAnsi"/>
          <w:i/>
          <w:sz w:val="24"/>
          <w:szCs w:val="24"/>
        </w:rPr>
        <w:t xml:space="preserve"> </w:t>
      </w:r>
      <w:r>
        <w:rPr>
          <w:rFonts w:ascii="new roman)" w:hAnsi="new roman)" w:cstheme="minorHAnsi"/>
          <w:sz w:val="24"/>
          <w:szCs w:val="24"/>
        </w:rPr>
        <w:t>for the applicant</w:t>
      </w:r>
      <w:r>
        <w:rPr>
          <w:rFonts w:ascii="new roman)" w:hAnsi="new roman)" w:cstheme="minorHAnsi"/>
          <w:i/>
          <w:sz w:val="24"/>
          <w:szCs w:val="24"/>
        </w:rPr>
        <w:br/>
        <w:t xml:space="preserve">C. </w:t>
      </w:r>
      <w:proofErr w:type="spellStart"/>
      <w:r>
        <w:rPr>
          <w:rFonts w:ascii="new roman)" w:hAnsi="new roman)" w:cstheme="minorHAnsi"/>
          <w:i/>
          <w:sz w:val="24"/>
          <w:szCs w:val="24"/>
        </w:rPr>
        <w:t>Nhem</w:t>
      </w:r>
      <w:r w:rsidR="00EE0CFA">
        <w:rPr>
          <w:rFonts w:ascii="new roman)" w:hAnsi="new roman)" w:cstheme="minorHAnsi"/>
          <w:i/>
          <w:sz w:val="24"/>
          <w:szCs w:val="24"/>
        </w:rPr>
        <w:t>w</w:t>
      </w:r>
      <w:r>
        <w:rPr>
          <w:rFonts w:ascii="new roman)" w:hAnsi="new roman)" w:cstheme="minorHAnsi"/>
          <w:i/>
          <w:sz w:val="24"/>
          <w:szCs w:val="24"/>
        </w:rPr>
        <w:t>a</w:t>
      </w:r>
      <w:proofErr w:type="spellEnd"/>
      <w:r w:rsidR="00711063">
        <w:rPr>
          <w:rFonts w:ascii="new roman)" w:hAnsi="new roman)" w:cstheme="minorHAnsi"/>
          <w:i/>
          <w:sz w:val="24"/>
          <w:szCs w:val="24"/>
        </w:rPr>
        <w:t xml:space="preserve">, </w:t>
      </w:r>
      <w:r>
        <w:rPr>
          <w:rFonts w:ascii="new roman)" w:hAnsi="new roman)" w:cstheme="minorHAnsi"/>
          <w:sz w:val="24"/>
          <w:szCs w:val="24"/>
        </w:rPr>
        <w:t xml:space="preserve">for the </w:t>
      </w:r>
      <w:r w:rsidR="00711063">
        <w:rPr>
          <w:rFonts w:ascii="new roman)" w:hAnsi="new roman)" w:cstheme="minorHAnsi"/>
          <w:sz w:val="24"/>
          <w:szCs w:val="24"/>
        </w:rPr>
        <w:t>1</w:t>
      </w:r>
      <w:r w:rsidR="00711063">
        <w:rPr>
          <w:rFonts w:ascii="new roman)" w:hAnsi="new roman)" w:cstheme="minorHAnsi"/>
          <w:sz w:val="24"/>
          <w:szCs w:val="24"/>
          <w:vertAlign w:val="superscript"/>
        </w:rPr>
        <w:t xml:space="preserve">st </w:t>
      </w:r>
      <w:r>
        <w:rPr>
          <w:rFonts w:ascii="new roman)" w:hAnsi="new roman)" w:cstheme="minorHAnsi"/>
          <w:sz w:val="24"/>
          <w:szCs w:val="24"/>
        </w:rPr>
        <w:t>respondent</w:t>
      </w:r>
      <w:r w:rsidR="00EE0CFA">
        <w:rPr>
          <w:rFonts w:ascii="new roman)" w:hAnsi="new roman)" w:cstheme="minorHAnsi"/>
          <w:sz w:val="24"/>
          <w:szCs w:val="24"/>
        </w:rPr>
        <w:br/>
      </w:r>
      <w:r w:rsidR="00EE0CFA" w:rsidRPr="00711063">
        <w:rPr>
          <w:rFonts w:ascii="new roman)" w:hAnsi="new roman)" w:cstheme="minorHAnsi"/>
          <w:iCs/>
          <w:sz w:val="24"/>
          <w:szCs w:val="24"/>
        </w:rPr>
        <w:t>No appearance</w:t>
      </w:r>
      <w:r w:rsidR="00EE0CFA" w:rsidRPr="00EE0CFA">
        <w:rPr>
          <w:rFonts w:ascii="new roman)" w:hAnsi="new roman)" w:cstheme="minorHAnsi"/>
          <w:i/>
          <w:sz w:val="24"/>
          <w:szCs w:val="24"/>
        </w:rPr>
        <w:t xml:space="preserve"> </w:t>
      </w:r>
      <w:r w:rsidR="00EE0CFA" w:rsidRPr="00EE0CFA">
        <w:rPr>
          <w:rFonts w:ascii="new roman)" w:hAnsi="new roman)" w:cstheme="minorHAnsi"/>
          <w:sz w:val="24"/>
          <w:szCs w:val="24"/>
        </w:rPr>
        <w:t>for the 2</w:t>
      </w:r>
      <w:r w:rsidR="00EE0CFA" w:rsidRPr="00EE0CFA">
        <w:rPr>
          <w:rFonts w:ascii="new roman)" w:hAnsi="new roman)" w:cstheme="minorHAnsi"/>
          <w:sz w:val="24"/>
          <w:szCs w:val="24"/>
          <w:vertAlign w:val="superscript"/>
        </w:rPr>
        <w:t>nd</w:t>
      </w:r>
      <w:r w:rsidR="00EE0CFA" w:rsidRPr="00EE0CFA">
        <w:rPr>
          <w:rFonts w:ascii="new roman)" w:hAnsi="new roman)" w:cstheme="minorHAnsi"/>
          <w:sz w:val="24"/>
          <w:szCs w:val="24"/>
        </w:rPr>
        <w:t xml:space="preserve"> </w:t>
      </w:r>
      <w:r w:rsidR="00711063">
        <w:rPr>
          <w:rFonts w:ascii="new roman)" w:hAnsi="new roman)" w:cstheme="minorHAnsi"/>
          <w:sz w:val="24"/>
          <w:szCs w:val="24"/>
        </w:rPr>
        <w:t xml:space="preserve">&amp; </w:t>
      </w:r>
      <w:r w:rsidR="00EE0CFA" w:rsidRPr="00EE0CFA">
        <w:rPr>
          <w:rFonts w:ascii="new roman)" w:hAnsi="new roman)" w:cstheme="minorHAnsi"/>
          <w:sz w:val="24"/>
          <w:szCs w:val="24"/>
        </w:rPr>
        <w:t>3</w:t>
      </w:r>
      <w:r w:rsidR="00EE0CFA" w:rsidRPr="00EE0CFA">
        <w:rPr>
          <w:rFonts w:ascii="new roman)" w:hAnsi="new roman)" w:cstheme="minorHAnsi"/>
          <w:sz w:val="24"/>
          <w:szCs w:val="24"/>
          <w:vertAlign w:val="superscript"/>
        </w:rPr>
        <w:t>rd</w:t>
      </w:r>
      <w:r w:rsidR="00EE0CFA" w:rsidRPr="00EE0CFA">
        <w:rPr>
          <w:rFonts w:ascii="new roman)" w:hAnsi="new roman)" w:cstheme="minorHAnsi"/>
          <w:sz w:val="24"/>
          <w:szCs w:val="24"/>
        </w:rPr>
        <w:t xml:space="preserve"> respondents</w:t>
      </w:r>
    </w:p>
    <w:p w14:paraId="4C7A5EB8" w14:textId="77777777" w:rsidR="00773A79" w:rsidRDefault="00773A79">
      <w:pPr>
        <w:rPr>
          <w:rFonts w:ascii="new roman)" w:hAnsi="new roman)" w:cstheme="minorHAnsi"/>
          <w:sz w:val="24"/>
          <w:szCs w:val="24"/>
        </w:rPr>
      </w:pPr>
    </w:p>
    <w:p w14:paraId="7F4F4A1F" w14:textId="3D9DBB85" w:rsidR="009F070E" w:rsidRDefault="00773A79" w:rsidP="00711063">
      <w:pPr>
        <w:spacing w:line="360" w:lineRule="auto"/>
        <w:ind w:firstLine="720"/>
        <w:jc w:val="both"/>
        <w:rPr>
          <w:rFonts w:ascii="new roman)" w:hAnsi="new roman)" w:cstheme="minorHAnsi"/>
          <w:sz w:val="24"/>
          <w:szCs w:val="24"/>
        </w:rPr>
      </w:pPr>
      <w:r w:rsidRPr="00773A79">
        <w:rPr>
          <w:rFonts w:ascii="new roman)" w:hAnsi="new roman)" w:cstheme="minorHAnsi"/>
          <w:b/>
          <w:sz w:val="24"/>
          <w:szCs w:val="24"/>
        </w:rPr>
        <w:t>BACHI MZAWAZI J</w:t>
      </w:r>
      <w:r>
        <w:rPr>
          <w:rFonts w:ascii="new roman)" w:hAnsi="new roman)" w:cstheme="minorHAnsi"/>
          <w:sz w:val="24"/>
          <w:szCs w:val="24"/>
        </w:rPr>
        <w:t xml:space="preserve">: </w:t>
      </w:r>
      <w:r w:rsidR="00183062">
        <w:rPr>
          <w:rFonts w:ascii="new roman)" w:hAnsi="new roman)" w:cstheme="minorHAnsi"/>
          <w:sz w:val="24"/>
          <w:szCs w:val="24"/>
        </w:rPr>
        <w:t xml:space="preserve">[1] </w:t>
      </w:r>
      <w:r w:rsidR="00F74C29">
        <w:rPr>
          <w:rFonts w:ascii="new roman)" w:hAnsi="new roman)" w:cstheme="minorHAnsi"/>
          <w:sz w:val="24"/>
          <w:szCs w:val="24"/>
        </w:rPr>
        <w:t>This application for summary judgment</w:t>
      </w:r>
      <w:r w:rsidR="00630D63">
        <w:rPr>
          <w:rFonts w:ascii="new roman)" w:hAnsi="new roman)" w:cstheme="minorHAnsi"/>
          <w:sz w:val="24"/>
          <w:szCs w:val="24"/>
        </w:rPr>
        <w:t>,</w:t>
      </w:r>
      <w:r w:rsidR="00F74C29">
        <w:rPr>
          <w:rFonts w:ascii="new roman)" w:hAnsi="new roman)" w:cstheme="minorHAnsi"/>
          <w:sz w:val="24"/>
          <w:szCs w:val="24"/>
        </w:rPr>
        <w:t xml:space="preserve"> </w:t>
      </w:r>
      <w:r w:rsidR="00D01D7E">
        <w:rPr>
          <w:rFonts w:ascii="new roman)" w:hAnsi="new roman)" w:cstheme="minorHAnsi"/>
          <w:sz w:val="24"/>
          <w:szCs w:val="24"/>
        </w:rPr>
        <w:t xml:space="preserve">which on the face of it, </w:t>
      </w:r>
      <w:r w:rsidR="00F74C29">
        <w:rPr>
          <w:rFonts w:ascii="new roman)" w:hAnsi="new roman)" w:cstheme="minorHAnsi"/>
          <w:sz w:val="24"/>
          <w:szCs w:val="24"/>
        </w:rPr>
        <w:t>is based on an instalment sale agreement between the applicant and first respondent over property</w:t>
      </w:r>
      <w:r w:rsidR="00BE77C3">
        <w:rPr>
          <w:rFonts w:ascii="new roman)" w:hAnsi="new roman)" w:cstheme="minorHAnsi"/>
          <w:sz w:val="24"/>
          <w:szCs w:val="24"/>
        </w:rPr>
        <w:t xml:space="preserve"> house stand number</w:t>
      </w:r>
      <w:r w:rsidR="00F74C29">
        <w:rPr>
          <w:rFonts w:ascii="new roman)" w:hAnsi="new roman)" w:cstheme="minorHAnsi"/>
          <w:sz w:val="24"/>
          <w:szCs w:val="24"/>
        </w:rPr>
        <w:t xml:space="preserve">, 978 Wattle Close, </w:t>
      </w:r>
      <w:r w:rsidR="00640891">
        <w:rPr>
          <w:rFonts w:ascii="new roman)" w:hAnsi="new roman)" w:cstheme="minorHAnsi"/>
          <w:sz w:val="24"/>
          <w:szCs w:val="24"/>
        </w:rPr>
        <w:t xml:space="preserve">West View, Kadoma, </w:t>
      </w:r>
      <w:r w:rsidR="00BE77C3">
        <w:rPr>
          <w:rFonts w:ascii="new roman)" w:hAnsi="new roman)" w:cstheme="minorHAnsi"/>
          <w:sz w:val="24"/>
          <w:szCs w:val="24"/>
        </w:rPr>
        <w:t>also known as</w:t>
      </w:r>
      <w:r w:rsidR="00640891" w:rsidRPr="00640891">
        <w:rPr>
          <w:rFonts w:ascii="new roman)" w:hAnsi="new roman)" w:cstheme="minorHAnsi"/>
          <w:sz w:val="24"/>
          <w:szCs w:val="24"/>
        </w:rPr>
        <w:t xml:space="preserve"> </w:t>
      </w:r>
      <w:r w:rsidR="00640891">
        <w:rPr>
          <w:rFonts w:ascii="new roman)" w:hAnsi="new roman)" w:cstheme="minorHAnsi"/>
          <w:sz w:val="24"/>
          <w:szCs w:val="24"/>
        </w:rPr>
        <w:t>numb</w:t>
      </w:r>
      <w:r w:rsidR="00094F25">
        <w:rPr>
          <w:rFonts w:ascii="new roman)" w:hAnsi="new roman)" w:cstheme="minorHAnsi"/>
          <w:sz w:val="24"/>
          <w:szCs w:val="24"/>
        </w:rPr>
        <w:t>er 978,</w:t>
      </w:r>
      <w:r w:rsidR="00640891">
        <w:rPr>
          <w:rFonts w:ascii="new roman)" w:hAnsi="new roman)" w:cstheme="minorHAnsi"/>
          <w:sz w:val="24"/>
          <w:szCs w:val="24"/>
        </w:rPr>
        <w:t xml:space="preserve"> </w:t>
      </w:r>
      <w:r w:rsidR="00EE0CFA">
        <w:rPr>
          <w:rFonts w:ascii="new roman)" w:hAnsi="new roman)" w:cstheme="minorHAnsi"/>
          <w:sz w:val="24"/>
          <w:szCs w:val="24"/>
        </w:rPr>
        <w:t xml:space="preserve">of 960 </w:t>
      </w:r>
      <w:proofErr w:type="spellStart"/>
      <w:r w:rsidR="00BE77C3">
        <w:rPr>
          <w:rFonts w:ascii="new roman)" w:hAnsi="new roman)" w:cstheme="minorHAnsi"/>
          <w:sz w:val="24"/>
          <w:szCs w:val="24"/>
        </w:rPr>
        <w:t>Gatooma</w:t>
      </w:r>
      <w:proofErr w:type="spellEnd"/>
      <w:r w:rsidR="00EE0CFA">
        <w:rPr>
          <w:rFonts w:ascii="new roman)" w:hAnsi="new roman)" w:cstheme="minorHAnsi"/>
          <w:sz w:val="24"/>
          <w:szCs w:val="24"/>
        </w:rPr>
        <w:t xml:space="preserve"> Township, </w:t>
      </w:r>
      <w:proofErr w:type="spellStart"/>
      <w:r w:rsidR="00EE0CFA">
        <w:rPr>
          <w:rFonts w:ascii="new roman)" w:hAnsi="new roman)" w:cstheme="minorHAnsi"/>
          <w:sz w:val="24"/>
          <w:szCs w:val="24"/>
        </w:rPr>
        <w:t>Gatooma</w:t>
      </w:r>
      <w:proofErr w:type="spellEnd"/>
      <w:r w:rsidR="00BE77C3">
        <w:rPr>
          <w:rFonts w:ascii="new roman)" w:hAnsi="new roman)" w:cstheme="minorHAnsi"/>
          <w:sz w:val="24"/>
          <w:szCs w:val="24"/>
        </w:rPr>
        <w:t xml:space="preserve">. </w:t>
      </w:r>
      <w:r w:rsidR="00D01D7E">
        <w:rPr>
          <w:rFonts w:ascii="new roman)" w:hAnsi="new roman)" w:cstheme="minorHAnsi"/>
          <w:sz w:val="24"/>
          <w:szCs w:val="24"/>
        </w:rPr>
        <w:t xml:space="preserve"> </w:t>
      </w:r>
    </w:p>
    <w:p w14:paraId="1FDB7DE0" w14:textId="2B81377E" w:rsidR="00183062" w:rsidRDefault="00183062"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 xml:space="preserve">[2] </w:t>
      </w:r>
      <w:r w:rsidR="00F74C29">
        <w:rPr>
          <w:rFonts w:ascii="new roman)" w:hAnsi="new roman)" w:cstheme="minorHAnsi"/>
          <w:sz w:val="24"/>
          <w:szCs w:val="24"/>
        </w:rPr>
        <w:t>Contrary to the challenge by the first respondent, all the essential elements of a valid agreement of sale are present</w:t>
      </w:r>
      <w:r w:rsidR="00094F25">
        <w:rPr>
          <w:rFonts w:ascii="new roman)" w:hAnsi="new roman)" w:cstheme="minorHAnsi"/>
          <w:sz w:val="24"/>
          <w:szCs w:val="24"/>
        </w:rPr>
        <w:t>,</w:t>
      </w:r>
      <w:r w:rsidR="00F74C29">
        <w:rPr>
          <w:rFonts w:ascii="new roman)" w:hAnsi="new roman)" w:cstheme="minorHAnsi"/>
          <w:sz w:val="24"/>
          <w:szCs w:val="24"/>
        </w:rPr>
        <w:t xml:space="preserve"> though some not as detailed. The property description,</w:t>
      </w:r>
      <w:r w:rsidR="009F070E">
        <w:rPr>
          <w:rFonts w:ascii="new roman)" w:hAnsi="new roman)" w:cstheme="minorHAnsi"/>
          <w:sz w:val="24"/>
          <w:szCs w:val="24"/>
        </w:rPr>
        <w:t xml:space="preserve"> </w:t>
      </w:r>
      <w:r w:rsidR="00F74C29">
        <w:rPr>
          <w:rFonts w:ascii="new roman)" w:hAnsi="new roman)" w:cstheme="minorHAnsi"/>
          <w:sz w:val="24"/>
          <w:szCs w:val="24"/>
        </w:rPr>
        <w:t>that is the</w:t>
      </w:r>
      <w:r w:rsidR="00F74C29" w:rsidRPr="00F67723">
        <w:rPr>
          <w:rFonts w:ascii="new roman)" w:hAnsi="new roman)" w:cstheme="minorHAnsi"/>
          <w:i/>
          <w:sz w:val="24"/>
          <w:szCs w:val="24"/>
        </w:rPr>
        <w:t xml:space="preserve"> </w:t>
      </w:r>
      <w:proofErr w:type="spellStart"/>
      <w:r w:rsidR="00F74C29" w:rsidRPr="00F67723">
        <w:rPr>
          <w:rFonts w:ascii="new roman)" w:hAnsi="new roman)" w:cstheme="minorHAnsi"/>
          <w:i/>
          <w:sz w:val="24"/>
          <w:szCs w:val="24"/>
        </w:rPr>
        <w:t>merx</w:t>
      </w:r>
      <w:proofErr w:type="spellEnd"/>
      <w:r w:rsidR="00094F25">
        <w:rPr>
          <w:rFonts w:ascii="new roman)" w:hAnsi="new roman)" w:cstheme="minorHAnsi"/>
          <w:sz w:val="24"/>
          <w:szCs w:val="24"/>
        </w:rPr>
        <w:t xml:space="preserve"> itself</w:t>
      </w:r>
      <w:r w:rsidR="00F74C29">
        <w:rPr>
          <w:rFonts w:ascii="new roman)" w:hAnsi="new roman)" w:cstheme="minorHAnsi"/>
          <w:sz w:val="24"/>
          <w:szCs w:val="24"/>
        </w:rPr>
        <w:t>, the purchase price</w:t>
      </w:r>
      <w:r w:rsidR="00896E13">
        <w:rPr>
          <w:rFonts w:ascii="new roman)" w:hAnsi="new roman)" w:cstheme="minorHAnsi"/>
          <w:sz w:val="24"/>
          <w:szCs w:val="24"/>
        </w:rPr>
        <w:t xml:space="preserve">, </w:t>
      </w:r>
      <w:proofErr w:type="spellStart"/>
      <w:r w:rsidR="00896E13" w:rsidRPr="00F67723">
        <w:rPr>
          <w:rFonts w:ascii="new roman)" w:hAnsi="new roman)" w:cstheme="minorHAnsi"/>
          <w:i/>
          <w:sz w:val="24"/>
          <w:szCs w:val="24"/>
        </w:rPr>
        <w:t>pretium</w:t>
      </w:r>
      <w:proofErr w:type="spellEnd"/>
      <w:r w:rsidR="00094F25">
        <w:rPr>
          <w:rFonts w:ascii="new roman)" w:hAnsi="new roman)" w:cstheme="minorHAnsi"/>
          <w:sz w:val="24"/>
          <w:szCs w:val="24"/>
        </w:rPr>
        <w:t>,</w:t>
      </w:r>
      <w:r w:rsidR="00F74C29">
        <w:rPr>
          <w:rFonts w:ascii="new roman)" w:hAnsi="new roman)" w:cstheme="minorHAnsi"/>
          <w:sz w:val="24"/>
          <w:szCs w:val="24"/>
        </w:rPr>
        <w:t xml:space="preserve"> </w:t>
      </w:r>
      <w:r w:rsidR="00F67723">
        <w:rPr>
          <w:rFonts w:ascii="new roman)" w:hAnsi="new roman)" w:cstheme="minorHAnsi"/>
          <w:sz w:val="24"/>
          <w:szCs w:val="24"/>
        </w:rPr>
        <w:t xml:space="preserve">the agreement, </w:t>
      </w:r>
      <w:r w:rsidR="00F67723" w:rsidRPr="00F67723">
        <w:rPr>
          <w:rFonts w:ascii="new roman)" w:hAnsi="new roman)" w:cstheme="minorHAnsi"/>
          <w:i/>
          <w:sz w:val="24"/>
          <w:szCs w:val="24"/>
        </w:rPr>
        <w:t>consensus ad idem</w:t>
      </w:r>
      <w:r w:rsidR="00F67723">
        <w:rPr>
          <w:rFonts w:ascii="new roman)" w:hAnsi="new roman)" w:cstheme="minorHAnsi"/>
          <w:sz w:val="24"/>
          <w:szCs w:val="24"/>
        </w:rPr>
        <w:t>,</w:t>
      </w:r>
      <w:r w:rsidR="00F74C29">
        <w:rPr>
          <w:rFonts w:ascii="new roman)" w:hAnsi="new roman)" w:cstheme="minorHAnsi"/>
          <w:sz w:val="24"/>
          <w:szCs w:val="24"/>
        </w:rPr>
        <w:t xml:space="preserve"> the payment m</w:t>
      </w:r>
      <w:r w:rsidR="00896E13">
        <w:rPr>
          <w:rFonts w:ascii="new roman)" w:hAnsi="new roman)" w:cstheme="minorHAnsi"/>
          <w:sz w:val="24"/>
          <w:szCs w:val="24"/>
        </w:rPr>
        <w:t xml:space="preserve">ethods, and all the pertinent provisions are included in the document that has been produced before the court. </w:t>
      </w:r>
    </w:p>
    <w:p w14:paraId="4278C288" w14:textId="77777777" w:rsidR="00183062" w:rsidRDefault="00183062"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 xml:space="preserve">[3] </w:t>
      </w:r>
      <w:r w:rsidR="00896E13">
        <w:rPr>
          <w:rFonts w:ascii="new roman)" w:hAnsi="new roman)" w:cstheme="minorHAnsi"/>
          <w:sz w:val="24"/>
          <w:szCs w:val="24"/>
        </w:rPr>
        <w:t xml:space="preserve">The delivery has been signified by the tendering of the original title deed of the property alongside, the first respondent’s wife’s </w:t>
      </w:r>
      <w:r w:rsidR="00F67723">
        <w:rPr>
          <w:rFonts w:ascii="new roman)" w:hAnsi="new roman)" w:cstheme="minorHAnsi"/>
          <w:sz w:val="24"/>
          <w:szCs w:val="24"/>
        </w:rPr>
        <w:t xml:space="preserve">written and signed </w:t>
      </w:r>
      <w:r w:rsidR="00896E13">
        <w:rPr>
          <w:rFonts w:ascii="new roman)" w:hAnsi="new roman)" w:cstheme="minorHAnsi"/>
          <w:sz w:val="24"/>
          <w:szCs w:val="24"/>
        </w:rPr>
        <w:t xml:space="preserve">consent to the sale and marriage certificate pending actual transfer.  </w:t>
      </w:r>
    </w:p>
    <w:p w14:paraId="2DCBB22D" w14:textId="11594CE9" w:rsidR="00183062" w:rsidRDefault="00183062"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w:t>
      </w:r>
      <w:r w:rsidR="00985DDB">
        <w:rPr>
          <w:rFonts w:ascii="new roman)" w:hAnsi="new roman)" w:cstheme="minorHAnsi"/>
          <w:sz w:val="24"/>
          <w:szCs w:val="24"/>
        </w:rPr>
        <w:t>4</w:t>
      </w:r>
      <w:r>
        <w:rPr>
          <w:rFonts w:ascii="new roman)" w:hAnsi="new roman)" w:cstheme="minorHAnsi"/>
          <w:sz w:val="24"/>
          <w:szCs w:val="24"/>
        </w:rPr>
        <w:t xml:space="preserve">] </w:t>
      </w:r>
      <w:r w:rsidR="00896E13">
        <w:rPr>
          <w:rFonts w:ascii="new roman)" w:hAnsi="new roman)" w:cstheme="minorHAnsi"/>
          <w:sz w:val="24"/>
          <w:szCs w:val="24"/>
        </w:rPr>
        <w:t>The vacant possession clause though bundle</w:t>
      </w:r>
      <w:r w:rsidR="00F67723">
        <w:rPr>
          <w:rFonts w:ascii="new roman)" w:hAnsi="new roman)" w:cstheme="minorHAnsi"/>
          <w:sz w:val="24"/>
          <w:szCs w:val="24"/>
        </w:rPr>
        <w:t>d</w:t>
      </w:r>
      <w:r w:rsidR="009F070E">
        <w:rPr>
          <w:rFonts w:ascii="new roman)" w:hAnsi="new roman)" w:cstheme="minorHAnsi"/>
          <w:sz w:val="24"/>
          <w:szCs w:val="24"/>
        </w:rPr>
        <w:t xml:space="preserve"> into one clause,</w:t>
      </w:r>
      <w:r w:rsidR="00F67723">
        <w:rPr>
          <w:rFonts w:ascii="new roman)" w:hAnsi="new roman)" w:cstheme="minorHAnsi"/>
          <w:sz w:val="24"/>
          <w:szCs w:val="24"/>
        </w:rPr>
        <w:t xml:space="preserve"> with the date of transfer, </w:t>
      </w:r>
      <w:r w:rsidR="00896E13">
        <w:rPr>
          <w:rFonts w:ascii="new roman)" w:hAnsi="new roman)" w:cstheme="minorHAnsi"/>
          <w:sz w:val="24"/>
          <w:szCs w:val="24"/>
        </w:rPr>
        <w:t xml:space="preserve">as well </w:t>
      </w:r>
      <w:r w:rsidR="00F67723">
        <w:rPr>
          <w:rFonts w:ascii="new roman)" w:hAnsi="new roman)" w:cstheme="minorHAnsi"/>
          <w:sz w:val="24"/>
          <w:szCs w:val="24"/>
        </w:rPr>
        <w:t>as,</w:t>
      </w:r>
      <w:r w:rsidR="00896E13">
        <w:rPr>
          <w:rFonts w:ascii="new roman)" w:hAnsi="new roman)" w:cstheme="minorHAnsi"/>
          <w:sz w:val="24"/>
          <w:szCs w:val="24"/>
        </w:rPr>
        <w:t xml:space="preserve"> the date of payment of the last instalment is also part and parcel of the said agreement.</w:t>
      </w:r>
      <w:r w:rsidR="00F67723">
        <w:rPr>
          <w:rStyle w:val="FootnoteReference"/>
          <w:rFonts w:ascii="new roman)" w:hAnsi="new roman)" w:cstheme="minorHAnsi"/>
          <w:sz w:val="24"/>
          <w:szCs w:val="24"/>
        </w:rPr>
        <w:footnoteReference w:id="1"/>
      </w:r>
    </w:p>
    <w:p w14:paraId="7A7F28DC" w14:textId="50ADDF08" w:rsidR="00896E13" w:rsidRDefault="00183062"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lastRenderedPageBreak/>
        <w:t>[</w:t>
      </w:r>
      <w:r w:rsidR="00985DDB">
        <w:rPr>
          <w:rFonts w:ascii="new roman)" w:hAnsi="new roman)" w:cstheme="minorHAnsi"/>
          <w:sz w:val="24"/>
          <w:szCs w:val="24"/>
        </w:rPr>
        <w:t>5</w:t>
      </w:r>
      <w:r>
        <w:rPr>
          <w:rFonts w:ascii="new roman)" w:hAnsi="new roman)" w:cstheme="minorHAnsi"/>
          <w:sz w:val="24"/>
          <w:szCs w:val="24"/>
        </w:rPr>
        <w:t xml:space="preserve">] </w:t>
      </w:r>
      <w:r w:rsidR="009F070E">
        <w:rPr>
          <w:rFonts w:ascii="new roman)" w:hAnsi="new roman)" w:cstheme="minorHAnsi"/>
          <w:sz w:val="24"/>
          <w:szCs w:val="24"/>
        </w:rPr>
        <w:t>Indeed the conveyancing</w:t>
      </w:r>
      <w:r w:rsidR="00696636">
        <w:rPr>
          <w:rFonts w:ascii="new roman)" w:hAnsi="new roman)" w:cstheme="minorHAnsi"/>
          <w:sz w:val="24"/>
          <w:szCs w:val="24"/>
        </w:rPr>
        <w:t xml:space="preserve"> clause</w:t>
      </w:r>
      <w:r w:rsidR="009F070E">
        <w:rPr>
          <w:rFonts w:ascii="new roman)" w:hAnsi="new roman)" w:cstheme="minorHAnsi"/>
          <w:sz w:val="24"/>
          <w:szCs w:val="24"/>
        </w:rPr>
        <w:t>, as pointed out</w:t>
      </w:r>
      <w:r w:rsidR="00696636">
        <w:rPr>
          <w:rFonts w:ascii="new roman)" w:hAnsi="new roman)" w:cstheme="minorHAnsi"/>
          <w:sz w:val="24"/>
          <w:szCs w:val="24"/>
        </w:rPr>
        <w:t xml:space="preserve"> is important but</w:t>
      </w:r>
      <w:r w:rsidR="009F070E">
        <w:rPr>
          <w:rFonts w:ascii="new roman)" w:hAnsi="new roman)" w:cstheme="minorHAnsi"/>
          <w:sz w:val="24"/>
          <w:szCs w:val="24"/>
        </w:rPr>
        <w:t xml:space="preserve"> its exclusion</w:t>
      </w:r>
      <w:r w:rsidR="00696636">
        <w:rPr>
          <w:rFonts w:ascii="new roman)" w:hAnsi="new roman)" w:cstheme="minorHAnsi"/>
          <w:sz w:val="24"/>
          <w:szCs w:val="24"/>
        </w:rPr>
        <w:t xml:space="preserve"> cannot invalidate an agreement of sale</w:t>
      </w:r>
      <w:r w:rsidR="009F070E">
        <w:rPr>
          <w:rFonts w:ascii="new roman)" w:hAnsi="new roman)" w:cstheme="minorHAnsi"/>
          <w:sz w:val="24"/>
          <w:szCs w:val="24"/>
        </w:rPr>
        <w:t xml:space="preserve"> as there is mention of transfer in lesser detail within the embodiment of the agreement itself.</w:t>
      </w:r>
    </w:p>
    <w:p w14:paraId="7B4F68D1" w14:textId="1D4117E8" w:rsidR="004A178B" w:rsidRDefault="00183062"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w:t>
      </w:r>
      <w:r w:rsidR="00985DDB">
        <w:rPr>
          <w:rFonts w:ascii="new roman)" w:hAnsi="new roman)" w:cstheme="minorHAnsi"/>
          <w:sz w:val="24"/>
          <w:szCs w:val="24"/>
        </w:rPr>
        <w:t>6</w:t>
      </w:r>
      <w:r>
        <w:rPr>
          <w:rFonts w:ascii="new roman)" w:hAnsi="new roman)" w:cstheme="minorHAnsi"/>
          <w:sz w:val="24"/>
          <w:szCs w:val="24"/>
        </w:rPr>
        <w:t xml:space="preserve">] </w:t>
      </w:r>
      <w:r w:rsidR="00896E13">
        <w:rPr>
          <w:rFonts w:ascii="new roman)" w:hAnsi="new roman)" w:cstheme="minorHAnsi"/>
          <w:sz w:val="24"/>
          <w:szCs w:val="24"/>
        </w:rPr>
        <w:t>In addition, an acknowledgment of receipt in the sum of USD10.000, paid on the 20</w:t>
      </w:r>
      <w:r w:rsidR="00896E13" w:rsidRPr="00896E13">
        <w:rPr>
          <w:rFonts w:ascii="new roman)" w:hAnsi="new roman)" w:cstheme="minorHAnsi"/>
          <w:sz w:val="24"/>
          <w:szCs w:val="24"/>
          <w:vertAlign w:val="superscript"/>
        </w:rPr>
        <w:t>th</w:t>
      </w:r>
      <w:r w:rsidR="00896E13">
        <w:rPr>
          <w:rFonts w:ascii="new roman)" w:hAnsi="new roman)" w:cstheme="minorHAnsi"/>
          <w:sz w:val="24"/>
          <w:szCs w:val="24"/>
        </w:rPr>
        <w:t xml:space="preserve"> of September 2023 signals the payment of the last amount due in accordance with the dates in the principal contract of sale. Clearly, on the face of it</w:t>
      </w:r>
      <w:r w:rsidR="00F67723">
        <w:rPr>
          <w:rFonts w:ascii="new roman)" w:hAnsi="new roman)" w:cstheme="minorHAnsi"/>
          <w:sz w:val="24"/>
          <w:szCs w:val="24"/>
        </w:rPr>
        <w:t>,</w:t>
      </w:r>
      <w:r w:rsidR="00896E13">
        <w:rPr>
          <w:rFonts w:ascii="new roman)" w:hAnsi="new roman)" w:cstheme="minorHAnsi"/>
          <w:sz w:val="24"/>
          <w:szCs w:val="24"/>
        </w:rPr>
        <w:t xml:space="preserve"> there is evidence of an agreement of sale of the property in question.</w:t>
      </w:r>
      <w:r w:rsidR="00F67723">
        <w:rPr>
          <w:rFonts w:ascii="new roman)" w:hAnsi="new roman)" w:cstheme="minorHAnsi"/>
          <w:sz w:val="24"/>
          <w:szCs w:val="24"/>
        </w:rPr>
        <w:t xml:space="preserve"> It is against this backgr</w:t>
      </w:r>
      <w:r w:rsidR="00696636">
        <w:rPr>
          <w:rFonts w:ascii="new roman)" w:hAnsi="new roman)" w:cstheme="minorHAnsi"/>
          <w:sz w:val="24"/>
          <w:szCs w:val="24"/>
        </w:rPr>
        <w:t xml:space="preserve">ound that the remedy of summary </w:t>
      </w:r>
      <w:r w:rsidR="00F67723">
        <w:rPr>
          <w:rFonts w:ascii="new roman)" w:hAnsi="new roman)" w:cstheme="minorHAnsi"/>
          <w:sz w:val="24"/>
          <w:szCs w:val="24"/>
        </w:rPr>
        <w:t>judgment for the eviction of the first respondent from the property in question is sought.</w:t>
      </w:r>
      <w:r w:rsidR="004560CA">
        <w:rPr>
          <w:rFonts w:ascii="new roman)" w:hAnsi="new roman)" w:cstheme="minorHAnsi"/>
          <w:sz w:val="24"/>
          <w:szCs w:val="24"/>
        </w:rPr>
        <w:t xml:space="preserve"> </w:t>
      </w:r>
      <w:r w:rsidR="00D01D7E">
        <w:rPr>
          <w:rFonts w:ascii="new roman)" w:hAnsi="new roman)" w:cstheme="minorHAnsi"/>
          <w:sz w:val="24"/>
          <w:szCs w:val="24"/>
        </w:rPr>
        <w:t>Notably, second and third respondents are cited in their official capacities only.</w:t>
      </w:r>
    </w:p>
    <w:p w14:paraId="30752585" w14:textId="35873564" w:rsidR="00696636" w:rsidRDefault="00183062"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w:t>
      </w:r>
      <w:r w:rsidR="00985DDB">
        <w:rPr>
          <w:rFonts w:ascii="new roman)" w:hAnsi="new roman)" w:cstheme="minorHAnsi"/>
          <w:sz w:val="24"/>
          <w:szCs w:val="24"/>
        </w:rPr>
        <w:t>7</w:t>
      </w:r>
      <w:r>
        <w:rPr>
          <w:rFonts w:ascii="new roman)" w:hAnsi="new roman)" w:cstheme="minorHAnsi"/>
          <w:sz w:val="24"/>
          <w:szCs w:val="24"/>
        </w:rPr>
        <w:t xml:space="preserve">] </w:t>
      </w:r>
      <w:r w:rsidR="009F070E">
        <w:rPr>
          <w:rFonts w:ascii="new roman)" w:hAnsi="new roman)" w:cstheme="minorHAnsi"/>
          <w:sz w:val="24"/>
          <w:szCs w:val="24"/>
        </w:rPr>
        <w:t>In rebuttal</w:t>
      </w:r>
      <w:r w:rsidR="004A178B">
        <w:rPr>
          <w:rFonts w:ascii="new roman)" w:hAnsi="new roman)" w:cstheme="minorHAnsi"/>
          <w:sz w:val="24"/>
          <w:szCs w:val="24"/>
        </w:rPr>
        <w:t>, the first r</w:t>
      </w:r>
      <w:r w:rsidR="00094F25">
        <w:rPr>
          <w:rFonts w:ascii="new roman)" w:hAnsi="new roman)" w:cstheme="minorHAnsi"/>
          <w:sz w:val="24"/>
          <w:szCs w:val="24"/>
        </w:rPr>
        <w:t>espondent</w:t>
      </w:r>
      <w:r w:rsidR="004A178B">
        <w:rPr>
          <w:rFonts w:ascii="new roman)" w:hAnsi="new roman)" w:cstheme="minorHAnsi"/>
          <w:sz w:val="24"/>
          <w:szCs w:val="24"/>
        </w:rPr>
        <w:t xml:space="preserve"> denies that what is before the court is a genuine agr</w:t>
      </w:r>
      <w:r w:rsidR="00094F25">
        <w:rPr>
          <w:rFonts w:ascii="new roman)" w:hAnsi="new roman)" w:cstheme="minorHAnsi"/>
          <w:sz w:val="24"/>
          <w:szCs w:val="24"/>
        </w:rPr>
        <w:t>eement of sale but a disguised</w:t>
      </w:r>
      <w:r w:rsidR="004A178B">
        <w:rPr>
          <w:rFonts w:ascii="new roman)" w:hAnsi="new roman)" w:cstheme="minorHAnsi"/>
          <w:sz w:val="24"/>
          <w:szCs w:val="24"/>
        </w:rPr>
        <w:t xml:space="preserve"> usurious</w:t>
      </w:r>
      <w:r w:rsidR="00BE77C3">
        <w:rPr>
          <w:rFonts w:ascii="new roman)" w:hAnsi="new roman)" w:cstheme="minorHAnsi"/>
          <w:sz w:val="24"/>
          <w:szCs w:val="24"/>
        </w:rPr>
        <w:t xml:space="preserve"> loan </w:t>
      </w:r>
      <w:r w:rsidR="004A178B">
        <w:rPr>
          <w:rFonts w:ascii="new roman)" w:hAnsi="new roman)" w:cstheme="minorHAnsi"/>
          <w:sz w:val="24"/>
          <w:szCs w:val="24"/>
        </w:rPr>
        <w:t>advancement transaction</w:t>
      </w:r>
      <w:r w:rsidR="009F070E">
        <w:rPr>
          <w:rFonts w:ascii="new roman)" w:hAnsi="new roman)" w:cstheme="minorHAnsi"/>
          <w:sz w:val="24"/>
          <w:szCs w:val="24"/>
        </w:rPr>
        <w:t>,</w:t>
      </w:r>
      <w:r w:rsidR="00BE77C3">
        <w:rPr>
          <w:rFonts w:ascii="new roman)" w:hAnsi="new roman)" w:cstheme="minorHAnsi"/>
          <w:sz w:val="24"/>
          <w:szCs w:val="24"/>
        </w:rPr>
        <w:t xml:space="preserve"> in </w:t>
      </w:r>
      <w:proofErr w:type="spellStart"/>
      <w:r w:rsidR="00BE77C3" w:rsidRPr="00BE77C3">
        <w:rPr>
          <w:rFonts w:ascii="new roman)" w:hAnsi="new roman)" w:cstheme="minorHAnsi"/>
          <w:i/>
          <w:sz w:val="24"/>
          <w:szCs w:val="24"/>
        </w:rPr>
        <w:t>fraudem</w:t>
      </w:r>
      <w:proofErr w:type="spellEnd"/>
      <w:r w:rsidR="00BE77C3" w:rsidRPr="00BE77C3">
        <w:rPr>
          <w:rFonts w:ascii="new roman)" w:hAnsi="new roman)" w:cstheme="minorHAnsi"/>
          <w:i/>
          <w:sz w:val="24"/>
          <w:szCs w:val="24"/>
        </w:rPr>
        <w:t xml:space="preserve"> legis.</w:t>
      </w:r>
      <w:r w:rsidR="00BE77C3">
        <w:rPr>
          <w:rFonts w:ascii="new roman)" w:hAnsi="new roman)" w:cstheme="minorHAnsi"/>
          <w:sz w:val="24"/>
          <w:szCs w:val="24"/>
        </w:rPr>
        <w:t xml:space="preserve">  </w:t>
      </w:r>
      <w:r w:rsidR="00D8066F">
        <w:rPr>
          <w:rFonts w:ascii="new roman)" w:hAnsi="new roman)" w:cstheme="minorHAnsi"/>
          <w:sz w:val="24"/>
          <w:szCs w:val="24"/>
        </w:rPr>
        <w:t>He submits that he was</w:t>
      </w:r>
      <w:r w:rsidR="004A178B">
        <w:rPr>
          <w:rFonts w:ascii="new roman)" w:hAnsi="new roman)" w:cstheme="minorHAnsi"/>
          <w:sz w:val="24"/>
          <w:szCs w:val="24"/>
        </w:rPr>
        <w:t xml:space="preserve"> in financial dire straits which led </w:t>
      </w:r>
      <w:r w:rsidR="00D8066F">
        <w:rPr>
          <w:rFonts w:ascii="new roman)" w:hAnsi="new roman)" w:cstheme="minorHAnsi"/>
          <w:sz w:val="24"/>
          <w:szCs w:val="24"/>
        </w:rPr>
        <w:t>him</w:t>
      </w:r>
      <w:r w:rsidR="004A178B">
        <w:rPr>
          <w:rFonts w:ascii="new roman)" w:hAnsi="new roman)" w:cstheme="minorHAnsi"/>
          <w:sz w:val="24"/>
          <w:szCs w:val="24"/>
        </w:rPr>
        <w:t xml:space="preserve"> to borrow the sum of USD10 000.00 from the </w:t>
      </w:r>
      <w:r w:rsidR="00CA4222">
        <w:rPr>
          <w:rFonts w:ascii="new roman)" w:hAnsi="new roman)" w:cstheme="minorHAnsi"/>
          <w:sz w:val="24"/>
          <w:szCs w:val="24"/>
        </w:rPr>
        <w:t xml:space="preserve">applicant with an exaggerated interest rate. </w:t>
      </w:r>
      <w:r w:rsidR="00D8066F">
        <w:rPr>
          <w:rFonts w:ascii="new roman)" w:hAnsi="new roman)" w:cstheme="minorHAnsi"/>
          <w:sz w:val="24"/>
          <w:szCs w:val="24"/>
        </w:rPr>
        <w:t>He does</w:t>
      </w:r>
      <w:r w:rsidR="00CA4222">
        <w:rPr>
          <w:rFonts w:ascii="new roman)" w:hAnsi="new roman)" w:cstheme="minorHAnsi"/>
          <w:sz w:val="24"/>
          <w:szCs w:val="24"/>
        </w:rPr>
        <w:t xml:space="preserve"> not deny signing both the agreement of sale and the acknowledgment of receipt as mentioned above</w:t>
      </w:r>
      <w:r w:rsidR="00D8066F">
        <w:rPr>
          <w:rFonts w:ascii="new roman)" w:hAnsi="new roman)" w:cstheme="minorHAnsi"/>
          <w:sz w:val="24"/>
          <w:szCs w:val="24"/>
        </w:rPr>
        <w:t xml:space="preserve">, </w:t>
      </w:r>
      <w:r w:rsidR="00CA4222">
        <w:rPr>
          <w:rFonts w:ascii="new roman)" w:hAnsi="new roman)" w:cstheme="minorHAnsi"/>
          <w:sz w:val="24"/>
          <w:szCs w:val="24"/>
        </w:rPr>
        <w:t>but state</w:t>
      </w:r>
      <w:r w:rsidR="00D8066F">
        <w:rPr>
          <w:rFonts w:ascii="new roman)" w:hAnsi="new roman)" w:cstheme="minorHAnsi"/>
          <w:sz w:val="24"/>
          <w:szCs w:val="24"/>
        </w:rPr>
        <w:t>s</w:t>
      </w:r>
      <w:r w:rsidR="00CA4222">
        <w:rPr>
          <w:rFonts w:ascii="new roman)" w:hAnsi="new roman)" w:cstheme="minorHAnsi"/>
          <w:sz w:val="24"/>
          <w:szCs w:val="24"/>
        </w:rPr>
        <w:t xml:space="preserve"> that those were the pre-requisites of the loan arrangement. </w:t>
      </w:r>
    </w:p>
    <w:p w14:paraId="192D2215" w14:textId="7A435E08" w:rsidR="00BE77C3" w:rsidRDefault="00183062"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w:t>
      </w:r>
      <w:r w:rsidR="00985DDB">
        <w:rPr>
          <w:rFonts w:ascii="new roman)" w:hAnsi="new roman)" w:cstheme="minorHAnsi"/>
          <w:sz w:val="24"/>
          <w:szCs w:val="24"/>
        </w:rPr>
        <w:t>8</w:t>
      </w:r>
      <w:r>
        <w:rPr>
          <w:rFonts w:ascii="new roman)" w:hAnsi="new roman)" w:cstheme="minorHAnsi"/>
          <w:sz w:val="24"/>
          <w:szCs w:val="24"/>
        </w:rPr>
        <w:t xml:space="preserve">] </w:t>
      </w:r>
      <w:r w:rsidR="00696636">
        <w:rPr>
          <w:rFonts w:ascii="new roman)" w:hAnsi="new roman)" w:cstheme="minorHAnsi"/>
          <w:sz w:val="24"/>
          <w:szCs w:val="24"/>
        </w:rPr>
        <w:t xml:space="preserve">Whilst not giving </w:t>
      </w:r>
      <w:r w:rsidR="00D8066F">
        <w:rPr>
          <w:rFonts w:ascii="new roman)" w:hAnsi="new roman)" w:cstheme="minorHAnsi"/>
          <w:sz w:val="24"/>
          <w:szCs w:val="24"/>
        </w:rPr>
        <w:t>an</w:t>
      </w:r>
      <w:r w:rsidR="00696636">
        <w:rPr>
          <w:rFonts w:ascii="new roman)" w:hAnsi="new roman)" w:cstheme="minorHAnsi"/>
          <w:sz w:val="24"/>
          <w:szCs w:val="24"/>
        </w:rPr>
        <w:t xml:space="preserve"> explan</w:t>
      </w:r>
      <w:r w:rsidR="00D8066F">
        <w:rPr>
          <w:rFonts w:ascii="new roman)" w:hAnsi="new roman)" w:cstheme="minorHAnsi"/>
          <w:sz w:val="24"/>
          <w:szCs w:val="24"/>
        </w:rPr>
        <w:t xml:space="preserve">ation as to </w:t>
      </w:r>
      <w:r w:rsidR="00CA4222">
        <w:rPr>
          <w:rFonts w:ascii="new roman)" w:hAnsi="new roman)" w:cstheme="minorHAnsi"/>
          <w:sz w:val="24"/>
          <w:szCs w:val="24"/>
        </w:rPr>
        <w:t xml:space="preserve">why </w:t>
      </w:r>
      <w:r w:rsidR="00D8066F">
        <w:rPr>
          <w:rFonts w:ascii="new roman)" w:hAnsi="new roman)" w:cstheme="minorHAnsi"/>
          <w:sz w:val="24"/>
          <w:szCs w:val="24"/>
        </w:rPr>
        <w:t>he</w:t>
      </w:r>
      <w:r w:rsidR="00CA4222">
        <w:rPr>
          <w:rFonts w:ascii="new roman)" w:hAnsi="new roman)" w:cstheme="minorHAnsi"/>
          <w:sz w:val="24"/>
          <w:szCs w:val="24"/>
        </w:rPr>
        <w:t xml:space="preserve"> would sign a receipt of acknowledgment of payment on the 20</w:t>
      </w:r>
      <w:r w:rsidR="00CA4222" w:rsidRPr="00CA4222">
        <w:rPr>
          <w:rFonts w:ascii="new roman)" w:hAnsi="new roman)" w:cstheme="minorHAnsi"/>
          <w:sz w:val="24"/>
          <w:szCs w:val="24"/>
          <w:vertAlign w:val="superscript"/>
        </w:rPr>
        <w:t>th</w:t>
      </w:r>
      <w:r w:rsidR="00CA4222">
        <w:rPr>
          <w:rFonts w:ascii="new roman)" w:hAnsi="new roman)" w:cstheme="minorHAnsi"/>
          <w:sz w:val="24"/>
          <w:szCs w:val="24"/>
        </w:rPr>
        <w:t xml:space="preserve"> of September, 2023</w:t>
      </w:r>
      <w:r w:rsidR="00696636">
        <w:rPr>
          <w:rFonts w:ascii="new roman)" w:hAnsi="new roman)" w:cstheme="minorHAnsi"/>
          <w:sz w:val="24"/>
          <w:szCs w:val="24"/>
        </w:rPr>
        <w:t>,</w:t>
      </w:r>
      <w:r w:rsidR="00CA4222">
        <w:rPr>
          <w:rFonts w:ascii="new roman)" w:hAnsi="new roman)" w:cstheme="minorHAnsi"/>
          <w:sz w:val="24"/>
          <w:szCs w:val="24"/>
        </w:rPr>
        <w:t xml:space="preserve"> when the initial agreement of sale had been concluded 24</w:t>
      </w:r>
      <w:r w:rsidR="00CA4222" w:rsidRPr="0070798E">
        <w:rPr>
          <w:rFonts w:ascii="new roman)" w:hAnsi="new roman)" w:cstheme="minorHAnsi"/>
          <w:sz w:val="24"/>
          <w:szCs w:val="24"/>
          <w:vertAlign w:val="superscript"/>
        </w:rPr>
        <w:t>th</w:t>
      </w:r>
      <w:r w:rsidR="00CA4222">
        <w:rPr>
          <w:rFonts w:ascii="new roman)" w:hAnsi="new roman)" w:cstheme="minorHAnsi"/>
          <w:sz w:val="24"/>
          <w:szCs w:val="24"/>
        </w:rPr>
        <w:t xml:space="preserve"> of February 2023, the first respondent maintained that not only does he have a bona fide defence, there are also triable issues. He challenges that the value of USD70 000, in the agreement of sale is not the true value of his property as evidenced by an evaluation report he much later obtained in July 2024 pegging the house in the range USD150 000.00. He also wanted to be given an opportunity to call the legal practitioners who drafted the agreement of sale </w:t>
      </w:r>
      <w:r w:rsidR="00696636">
        <w:rPr>
          <w:rFonts w:ascii="new roman)" w:hAnsi="new roman)" w:cstheme="minorHAnsi"/>
          <w:sz w:val="24"/>
          <w:szCs w:val="24"/>
        </w:rPr>
        <w:t xml:space="preserve">and were </w:t>
      </w:r>
      <w:r w:rsidR="00CA4222">
        <w:rPr>
          <w:rFonts w:ascii="new roman)" w:hAnsi="new roman)" w:cstheme="minorHAnsi"/>
          <w:sz w:val="24"/>
          <w:szCs w:val="24"/>
        </w:rPr>
        <w:t>privy to the circumstances surrounding the transaction.</w:t>
      </w:r>
    </w:p>
    <w:p w14:paraId="6CE9F1AD" w14:textId="173A97AB" w:rsidR="00711063" w:rsidRDefault="00183062"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w:t>
      </w:r>
      <w:r w:rsidR="00985DDB">
        <w:rPr>
          <w:rFonts w:ascii="new roman)" w:hAnsi="new roman)" w:cstheme="minorHAnsi"/>
          <w:sz w:val="24"/>
          <w:szCs w:val="24"/>
        </w:rPr>
        <w:t>9</w:t>
      </w:r>
      <w:r>
        <w:rPr>
          <w:rFonts w:ascii="new roman)" w:hAnsi="new roman)" w:cstheme="minorHAnsi"/>
          <w:sz w:val="24"/>
          <w:szCs w:val="24"/>
        </w:rPr>
        <w:t xml:space="preserve">] </w:t>
      </w:r>
      <w:r w:rsidR="00CA4222">
        <w:rPr>
          <w:rFonts w:ascii="new roman)" w:hAnsi="new roman)" w:cstheme="minorHAnsi"/>
          <w:sz w:val="24"/>
          <w:szCs w:val="24"/>
        </w:rPr>
        <w:t>In that regard, citing the case of</w:t>
      </w:r>
      <w:r w:rsidR="004560CA">
        <w:rPr>
          <w:rFonts w:ascii="new roman)" w:hAnsi="new roman)" w:cstheme="minorHAnsi"/>
          <w:sz w:val="24"/>
          <w:szCs w:val="24"/>
        </w:rPr>
        <w:t xml:space="preserve">, </w:t>
      </w:r>
      <w:proofErr w:type="spellStart"/>
      <w:r w:rsidR="004560CA" w:rsidRPr="006A5A2E">
        <w:rPr>
          <w:rFonts w:ascii="new roman)" w:hAnsi="new roman)" w:cstheme="minorHAnsi"/>
          <w:i/>
          <w:sz w:val="24"/>
          <w:szCs w:val="24"/>
        </w:rPr>
        <w:t>Eastlea</w:t>
      </w:r>
      <w:proofErr w:type="spellEnd"/>
      <w:r w:rsidR="004560CA" w:rsidRPr="006A5A2E">
        <w:rPr>
          <w:rFonts w:ascii="new roman)" w:hAnsi="new roman)" w:cstheme="minorHAnsi"/>
          <w:i/>
          <w:sz w:val="24"/>
          <w:szCs w:val="24"/>
        </w:rPr>
        <w:t xml:space="preserve"> Hospital (Private) Limited v Martha </w:t>
      </w:r>
      <w:proofErr w:type="spellStart"/>
      <w:r w:rsidR="004560CA" w:rsidRPr="006A5A2E">
        <w:rPr>
          <w:rFonts w:ascii="new roman)" w:hAnsi="new roman)" w:cstheme="minorHAnsi"/>
          <w:i/>
          <w:sz w:val="24"/>
          <w:szCs w:val="24"/>
        </w:rPr>
        <w:t>Ndoro</w:t>
      </w:r>
      <w:proofErr w:type="spellEnd"/>
      <w:r w:rsidR="004560CA" w:rsidRPr="006A5A2E">
        <w:rPr>
          <w:rFonts w:ascii="new roman)" w:hAnsi="new roman)" w:cstheme="minorHAnsi"/>
          <w:i/>
          <w:sz w:val="24"/>
          <w:szCs w:val="24"/>
        </w:rPr>
        <w:t xml:space="preserve"> and </w:t>
      </w:r>
      <w:proofErr w:type="spellStart"/>
      <w:r w:rsidR="004560CA" w:rsidRPr="006A5A2E">
        <w:rPr>
          <w:rFonts w:ascii="new roman)" w:hAnsi="new roman)" w:cstheme="minorHAnsi"/>
          <w:i/>
          <w:sz w:val="24"/>
          <w:szCs w:val="24"/>
        </w:rPr>
        <w:t>Ors</w:t>
      </w:r>
      <w:proofErr w:type="spellEnd"/>
      <w:r w:rsidR="004560CA">
        <w:rPr>
          <w:rFonts w:ascii="new roman)" w:hAnsi="new roman)" w:cstheme="minorHAnsi"/>
          <w:sz w:val="24"/>
          <w:szCs w:val="24"/>
        </w:rPr>
        <w:t xml:space="preserve"> </w:t>
      </w:r>
      <w:r w:rsidR="004560CA">
        <w:rPr>
          <w:rStyle w:val="FootnoteReference"/>
          <w:rFonts w:ascii="new roman)" w:hAnsi="new roman)" w:cstheme="minorHAnsi"/>
          <w:sz w:val="24"/>
          <w:szCs w:val="24"/>
        </w:rPr>
        <w:footnoteReference w:id="2"/>
      </w:r>
      <w:r w:rsidR="004560CA">
        <w:rPr>
          <w:rFonts w:ascii="new roman)" w:hAnsi="new roman)" w:cstheme="minorHAnsi"/>
          <w:sz w:val="24"/>
          <w:szCs w:val="24"/>
        </w:rPr>
        <w:t xml:space="preserve">, Mr </w:t>
      </w:r>
      <w:proofErr w:type="spellStart"/>
      <w:r w:rsidR="004560CA" w:rsidRPr="00571E4F">
        <w:rPr>
          <w:rFonts w:ascii="new roman)" w:hAnsi="new roman)" w:cstheme="minorHAnsi"/>
          <w:i/>
          <w:sz w:val="24"/>
          <w:szCs w:val="24"/>
        </w:rPr>
        <w:t>Nhemwa</w:t>
      </w:r>
      <w:proofErr w:type="spellEnd"/>
      <w:r w:rsidR="004560CA">
        <w:rPr>
          <w:rFonts w:ascii="new roman)" w:hAnsi="new roman)" w:cstheme="minorHAnsi"/>
          <w:sz w:val="24"/>
          <w:szCs w:val="24"/>
        </w:rPr>
        <w:t xml:space="preserve">, for the first respondent submits that they do have a bona fide defence no matter how it may apparently seem to be remote or far </w:t>
      </w:r>
      <w:r w:rsidR="00696636">
        <w:rPr>
          <w:rFonts w:ascii="new roman)" w:hAnsi="new roman)" w:cstheme="minorHAnsi"/>
          <w:sz w:val="24"/>
          <w:szCs w:val="24"/>
        </w:rPr>
        <w:t>-</w:t>
      </w:r>
      <w:r w:rsidR="004560CA">
        <w:rPr>
          <w:rFonts w:ascii="new roman)" w:hAnsi="new roman)" w:cstheme="minorHAnsi"/>
          <w:sz w:val="24"/>
          <w:szCs w:val="24"/>
        </w:rPr>
        <w:t>fetched.</w:t>
      </w:r>
    </w:p>
    <w:p w14:paraId="3DA98EF5" w14:textId="775EAF83" w:rsidR="001340FA" w:rsidRDefault="00183062"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lastRenderedPageBreak/>
        <w:t>[</w:t>
      </w:r>
      <w:r w:rsidR="00985DDB">
        <w:rPr>
          <w:rFonts w:ascii="new roman)" w:hAnsi="new roman)" w:cstheme="minorHAnsi"/>
          <w:sz w:val="24"/>
          <w:szCs w:val="24"/>
        </w:rPr>
        <w:t>10</w:t>
      </w:r>
      <w:r w:rsidR="001340FA">
        <w:rPr>
          <w:rFonts w:ascii="new roman)" w:hAnsi="new roman)" w:cstheme="minorHAnsi"/>
          <w:sz w:val="24"/>
          <w:szCs w:val="24"/>
        </w:rPr>
        <w:t xml:space="preserve">] </w:t>
      </w:r>
      <w:r w:rsidR="004560CA">
        <w:rPr>
          <w:rFonts w:ascii="new roman)" w:hAnsi="new roman)" w:cstheme="minorHAnsi"/>
          <w:sz w:val="24"/>
          <w:szCs w:val="24"/>
        </w:rPr>
        <w:t xml:space="preserve">The applicant in turn, argues that he has an assailable case against the </w:t>
      </w:r>
      <w:r w:rsidR="00630D63">
        <w:rPr>
          <w:rFonts w:ascii="new roman)" w:hAnsi="new roman)" w:cstheme="minorHAnsi"/>
          <w:sz w:val="24"/>
          <w:szCs w:val="24"/>
        </w:rPr>
        <w:t>1</w:t>
      </w:r>
      <w:r w:rsidR="00630D63" w:rsidRPr="00630D63">
        <w:rPr>
          <w:rFonts w:ascii="new roman)" w:hAnsi="new roman)" w:cstheme="minorHAnsi"/>
          <w:sz w:val="24"/>
          <w:szCs w:val="24"/>
          <w:vertAlign w:val="superscript"/>
        </w:rPr>
        <w:t>st</w:t>
      </w:r>
      <w:r w:rsidR="00630D63">
        <w:rPr>
          <w:rFonts w:ascii="new roman)" w:hAnsi="new roman)" w:cstheme="minorHAnsi"/>
          <w:sz w:val="24"/>
          <w:szCs w:val="24"/>
        </w:rPr>
        <w:t xml:space="preserve"> </w:t>
      </w:r>
      <w:r w:rsidR="00914C6C">
        <w:rPr>
          <w:rFonts w:ascii="new roman)" w:hAnsi="new roman)" w:cstheme="minorHAnsi"/>
          <w:sz w:val="24"/>
          <w:szCs w:val="24"/>
        </w:rPr>
        <w:t>r</w:t>
      </w:r>
      <w:r w:rsidR="00630D63">
        <w:rPr>
          <w:rFonts w:ascii="new roman)" w:hAnsi="new roman)" w:cstheme="minorHAnsi"/>
          <w:sz w:val="24"/>
          <w:szCs w:val="24"/>
        </w:rPr>
        <w:t>espondent</w:t>
      </w:r>
      <w:r w:rsidR="004560CA">
        <w:rPr>
          <w:rFonts w:ascii="new roman)" w:hAnsi="new roman)" w:cstheme="minorHAnsi"/>
          <w:sz w:val="24"/>
          <w:szCs w:val="24"/>
        </w:rPr>
        <w:t xml:space="preserve"> whom he alleges has no </w:t>
      </w:r>
      <w:proofErr w:type="spellStart"/>
      <w:r w:rsidR="004560CA" w:rsidRPr="00F67723">
        <w:rPr>
          <w:rFonts w:ascii="new roman)" w:hAnsi="new roman)" w:cstheme="minorHAnsi"/>
          <w:i/>
          <w:sz w:val="24"/>
          <w:szCs w:val="24"/>
        </w:rPr>
        <w:t>bonafide</w:t>
      </w:r>
      <w:proofErr w:type="spellEnd"/>
      <w:r w:rsidR="004560CA">
        <w:rPr>
          <w:rFonts w:ascii="new roman)" w:hAnsi="new roman)" w:cstheme="minorHAnsi"/>
          <w:sz w:val="24"/>
          <w:szCs w:val="24"/>
        </w:rPr>
        <w:t xml:space="preserve"> defence to his claim against the backdrop of the two documents </w:t>
      </w:r>
      <w:r w:rsidR="00696636">
        <w:rPr>
          <w:rFonts w:ascii="new roman)" w:hAnsi="new roman)" w:cstheme="minorHAnsi"/>
          <w:sz w:val="24"/>
          <w:szCs w:val="24"/>
        </w:rPr>
        <w:t>referred</w:t>
      </w:r>
      <w:r w:rsidR="004560CA">
        <w:rPr>
          <w:rFonts w:ascii="new roman)" w:hAnsi="new roman)" w:cstheme="minorHAnsi"/>
          <w:sz w:val="24"/>
          <w:szCs w:val="24"/>
        </w:rPr>
        <w:t xml:space="preserve"> to above.</w:t>
      </w:r>
    </w:p>
    <w:p w14:paraId="479F0211" w14:textId="2B8E5FFE" w:rsidR="00985DDB" w:rsidRDefault="001340FA" w:rsidP="00985DDB">
      <w:pPr>
        <w:spacing w:line="360" w:lineRule="auto"/>
        <w:ind w:firstLine="720"/>
        <w:jc w:val="both"/>
        <w:rPr>
          <w:rFonts w:ascii="new roman)" w:hAnsi="new roman)" w:cstheme="minorHAnsi"/>
          <w:sz w:val="24"/>
          <w:szCs w:val="24"/>
        </w:rPr>
      </w:pPr>
      <w:r>
        <w:rPr>
          <w:rFonts w:ascii="new roman)" w:hAnsi="new roman)" w:cstheme="minorHAnsi"/>
          <w:sz w:val="24"/>
          <w:szCs w:val="24"/>
        </w:rPr>
        <w:t>[1</w:t>
      </w:r>
      <w:r w:rsidR="00985DDB">
        <w:rPr>
          <w:rFonts w:ascii="new roman)" w:hAnsi="new roman)" w:cstheme="minorHAnsi"/>
          <w:sz w:val="24"/>
          <w:szCs w:val="24"/>
        </w:rPr>
        <w:t>1</w:t>
      </w:r>
      <w:r>
        <w:rPr>
          <w:rFonts w:ascii="new roman)" w:hAnsi="new roman)" w:cstheme="minorHAnsi"/>
          <w:sz w:val="24"/>
          <w:szCs w:val="24"/>
        </w:rPr>
        <w:t xml:space="preserve">] </w:t>
      </w:r>
      <w:r w:rsidR="004560CA">
        <w:rPr>
          <w:rFonts w:ascii="new roman)" w:hAnsi="new roman)" w:cstheme="minorHAnsi"/>
          <w:sz w:val="24"/>
          <w:szCs w:val="24"/>
        </w:rPr>
        <w:t xml:space="preserve">It is the applicant’s case that even though the rules as provided for in rule (30)(1) of the High Court rules 2021, permit an application for summary judgment at any time after the entering of an appearance to defend but before the pre-trial conference, they wonder why if the first respondent had a genuine </w:t>
      </w:r>
      <w:r w:rsidR="00333C2D">
        <w:rPr>
          <w:rFonts w:ascii="new roman)" w:hAnsi="new roman)" w:cstheme="minorHAnsi"/>
          <w:sz w:val="24"/>
          <w:szCs w:val="24"/>
        </w:rPr>
        <w:t>defence,</w:t>
      </w:r>
      <w:r w:rsidR="004560CA">
        <w:rPr>
          <w:rFonts w:ascii="new roman)" w:hAnsi="new roman)" w:cstheme="minorHAnsi"/>
          <w:sz w:val="24"/>
          <w:szCs w:val="24"/>
        </w:rPr>
        <w:t xml:space="preserve"> he did not file his plea to that effect. This application was launched well over a month after the appearance to defend had been entered. </w:t>
      </w:r>
    </w:p>
    <w:p w14:paraId="2CDE1B01" w14:textId="40D19F03" w:rsidR="00041C78" w:rsidRDefault="001340FA" w:rsidP="00985DDB">
      <w:pPr>
        <w:spacing w:line="360" w:lineRule="auto"/>
        <w:ind w:firstLine="720"/>
        <w:jc w:val="both"/>
        <w:rPr>
          <w:rFonts w:ascii="new roman)" w:hAnsi="new roman)" w:cstheme="minorHAnsi"/>
          <w:sz w:val="24"/>
          <w:szCs w:val="24"/>
        </w:rPr>
      </w:pPr>
      <w:r>
        <w:rPr>
          <w:rFonts w:ascii="new roman)" w:hAnsi="new roman)" w:cstheme="minorHAnsi"/>
          <w:sz w:val="24"/>
          <w:szCs w:val="24"/>
        </w:rPr>
        <w:t>[1</w:t>
      </w:r>
      <w:r w:rsidR="00985DDB">
        <w:rPr>
          <w:rFonts w:ascii="new roman)" w:hAnsi="new roman)" w:cstheme="minorHAnsi"/>
          <w:sz w:val="24"/>
          <w:szCs w:val="24"/>
        </w:rPr>
        <w:t>2</w:t>
      </w:r>
      <w:r>
        <w:rPr>
          <w:rFonts w:ascii="new roman)" w:hAnsi="new roman)" w:cstheme="minorHAnsi"/>
          <w:sz w:val="24"/>
          <w:szCs w:val="24"/>
        </w:rPr>
        <w:t>]</w:t>
      </w:r>
      <w:r w:rsidR="009A77F3">
        <w:rPr>
          <w:rFonts w:ascii="new roman)" w:hAnsi="new roman)" w:cstheme="minorHAnsi"/>
          <w:sz w:val="24"/>
          <w:szCs w:val="24"/>
        </w:rPr>
        <w:t xml:space="preserve"> </w:t>
      </w:r>
      <w:r w:rsidR="00696636">
        <w:rPr>
          <w:rFonts w:ascii="new roman)" w:hAnsi="new roman)" w:cstheme="minorHAnsi"/>
          <w:sz w:val="24"/>
          <w:szCs w:val="24"/>
        </w:rPr>
        <w:t>In most jurisdictions the defendant’s defence is borne by their plea.</w:t>
      </w:r>
      <w:r>
        <w:rPr>
          <w:rStyle w:val="FootnoteReference"/>
          <w:rFonts w:ascii="new roman)" w:hAnsi="new roman)" w:cstheme="minorHAnsi"/>
          <w:sz w:val="24"/>
          <w:szCs w:val="24"/>
        </w:rPr>
        <w:footnoteReference w:id="3"/>
      </w:r>
      <w:r w:rsidR="00A472D8">
        <w:rPr>
          <w:rFonts w:ascii="new roman)" w:hAnsi="new roman)" w:cstheme="minorHAnsi"/>
          <w:sz w:val="24"/>
          <w:szCs w:val="24"/>
        </w:rPr>
        <w:t xml:space="preserve"> In reference to their rules, which obviously vary materially with our rule (30)(1) above,</w:t>
      </w:r>
      <w:r w:rsidR="00333C2D">
        <w:rPr>
          <w:rFonts w:ascii="new roman)" w:hAnsi="new roman)" w:cstheme="minorHAnsi"/>
          <w:sz w:val="24"/>
          <w:szCs w:val="24"/>
        </w:rPr>
        <w:t xml:space="preserve"> </w:t>
      </w:r>
      <w:r w:rsidR="00041C78" w:rsidRPr="00041C78">
        <w:rPr>
          <w:rFonts w:ascii="new roman)" w:hAnsi="new roman)" w:cstheme="minorHAnsi"/>
          <w:i/>
          <w:sz w:val="24"/>
          <w:szCs w:val="24"/>
        </w:rPr>
        <w:t>in MJG Logistics (Pty)</w:t>
      </w:r>
      <w:r w:rsidR="00041C78">
        <w:rPr>
          <w:rFonts w:ascii="new roman)" w:hAnsi="new roman)" w:cstheme="minorHAnsi"/>
          <w:sz w:val="24"/>
          <w:szCs w:val="24"/>
        </w:rPr>
        <w:t xml:space="preserve"> </w:t>
      </w:r>
      <w:r w:rsidR="00041C78" w:rsidRPr="00041C78">
        <w:rPr>
          <w:rFonts w:ascii="new roman)" w:hAnsi="new roman)" w:cstheme="minorHAnsi"/>
          <w:i/>
          <w:sz w:val="24"/>
          <w:szCs w:val="24"/>
        </w:rPr>
        <w:t xml:space="preserve">Ltd v </w:t>
      </w:r>
      <w:proofErr w:type="spellStart"/>
      <w:r w:rsidR="00041C78" w:rsidRPr="00041C78">
        <w:rPr>
          <w:rFonts w:ascii="new roman)" w:hAnsi="new roman)" w:cstheme="minorHAnsi"/>
          <w:i/>
          <w:sz w:val="24"/>
          <w:szCs w:val="24"/>
        </w:rPr>
        <w:t>Foloyi</w:t>
      </w:r>
      <w:proofErr w:type="spellEnd"/>
      <w:r w:rsidR="00041C78" w:rsidRPr="00041C78">
        <w:rPr>
          <w:rFonts w:ascii="new roman)" w:hAnsi="new roman)" w:cstheme="minorHAnsi"/>
          <w:i/>
          <w:sz w:val="24"/>
          <w:szCs w:val="24"/>
        </w:rPr>
        <w:t xml:space="preserve"> Construction and Projects</w:t>
      </w:r>
      <w:r w:rsidR="00041C78">
        <w:rPr>
          <w:rFonts w:ascii="new roman)" w:hAnsi="new roman)" w:cstheme="minorHAnsi"/>
          <w:sz w:val="24"/>
          <w:szCs w:val="24"/>
        </w:rPr>
        <w:t xml:space="preserve"> High Court Mpumalanga Division SA2863/2023, it was noted that,</w:t>
      </w:r>
    </w:p>
    <w:p w14:paraId="5FBED293" w14:textId="2E1B2818" w:rsidR="004560CA" w:rsidRPr="00041C78" w:rsidRDefault="00041C78" w:rsidP="00711063">
      <w:pPr>
        <w:spacing w:line="240" w:lineRule="auto"/>
        <w:jc w:val="both"/>
        <w:rPr>
          <w:rFonts w:ascii="new roman)" w:hAnsi="new roman)" w:cstheme="minorHAnsi"/>
        </w:rPr>
      </w:pPr>
      <w:r>
        <w:rPr>
          <w:rFonts w:ascii="new roman)" w:hAnsi="new roman)" w:cstheme="minorHAnsi"/>
          <w:sz w:val="24"/>
          <w:szCs w:val="24"/>
        </w:rPr>
        <w:t>“</w:t>
      </w:r>
      <w:r w:rsidRPr="00041C78">
        <w:rPr>
          <w:rFonts w:ascii="new roman)" w:hAnsi="new roman)" w:cstheme="minorHAnsi"/>
        </w:rPr>
        <w:t>I</w:t>
      </w:r>
      <w:r w:rsidR="00A472D8" w:rsidRPr="00041C78">
        <w:rPr>
          <w:rFonts w:ascii="new roman)" w:hAnsi="new roman)" w:cstheme="minorHAnsi"/>
        </w:rPr>
        <w:t>t is clear that in a plea a defendant is under a duty to set out all material facts relied upon.</w:t>
      </w:r>
      <w:r w:rsidRPr="00041C78">
        <w:rPr>
          <w:rFonts w:ascii="new roman)" w:hAnsi="new roman)" w:cstheme="minorHAnsi"/>
        </w:rPr>
        <w:t xml:space="preserve"> He must disclose fully</w:t>
      </w:r>
      <w:r w:rsidR="00A472D8" w:rsidRPr="00041C78">
        <w:rPr>
          <w:rFonts w:ascii="new roman)" w:hAnsi="new roman)" w:cstheme="minorHAnsi"/>
        </w:rPr>
        <w:t xml:space="preserve"> the nature and grounds of his defence as well as the materia</w:t>
      </w:r>
      <w:r w:rsidRPr="00041C78">
        <w:rPr>
          <w:rFonts w:ascii="new roman)" w:hAnsi="new roman)" w:cstheme="minorHAnsi"/>
        </w:rPr>
        <w:t>l facts relied upon”.</w:t>
      </w:r>
      <w:r w:rsidRPr="00041C78">
        <w:rPr>
          <w:rStyle w:val="FootnoteReference"/>
          <w:rFonts w:ascii="new roman)" w:hAnsi="new roman)" w:cstheme="minorHAnsi"/>
        </w:rPr>
        <w:footnoteReference w:id="4"/>
      </w:r>
    </w:p>
    <w:p w14:paraId="36A129BE" w14:textId="7A75B3C8" w:rsidR="00300588" w:rsidRDefault="001340FA"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[1</w:t>
      </w:r>
      <w:r w:rsidR="00985DDB">
        <w:rPr>
          <w:rFonts w:ascii="new roman)" w:hAnsi="new roman)" w:cstheme="minorHAnsi"/>
          <w:sz w:val="24"/>
          <w:szCs w:val="24"/>
        </w:rPr>
        <w:t>3</w:t>
      </w:r>
      <w:r>
        <w:rPr>
          <w:rFonts w:ascii="new roman)" w:hAnsi="new roman)" w:cstheme="minorHAnsi"/>
          <w:sz w:val="24"/>
          <w:szCs w:val="24"/>
        </w:rPr>
        <w:t xml:space="preserve">] </w:t>
      </w:r>
      <w:r w:rsidR="004560CA">
        <w:rPr>
          <w:rFonts w:ascii="new roman)" w:hAnsi="new roman)" w:cstheme="minorHAnsi"/>
          <w:sz w:val="24"/>
          <w:szCs w:val="24"/>
        </w:rPr>
        <w:t xml:space="preserve">It is Mr </w:t>
      </w:r>
      <w:proofErr w:type="spellStart"/>
      <w:r w:rsidR="00EE0CFA">
        <w:rPr>
          <w:rFonts w:ascii="new roman)" w:hAnsi="new roman)" w:cstheme="minorHAnsi"/>
          <w:i/>
          <w:sz w:val="24"/>
          <w:szCs w:val="24"/>
        </w:rPr>
        <w:t>Chikwangwan</w:t>
      </w:r>
      <w:r w:rsidR="00570080">
        <w:rPr>
          <w:rFonts w:ascii="new roman)" w:hAnsi="new roman)" w:cstheme="minorHAnsi"/>
          <w:i/>
          <w:sz w:val="24"/>
          <w:szCs w:val="24"/>
        </w:rPr>
        <w:t>i</w:t>
      </w:r>
      <w:proofErr w:type="spellEnd"/>
      <w:r w:rsidR="00570080">
        <w:rPr>
          <w:rFonts w:ascii="new roman)" w:hAnsi="new roman)" w:cstheme="minorHAnsi"/>
          <w:i/>
          <w:sz w:val="24"/>
          <w:szCs w:val="24"/>
        </w:rPr>
        <w:t xml:space="preserve">, </w:t>
      </w:r>
      <w:r w:rsidR="00570080" w:rsidRPr="00570080">
        <w:rPr>
          <w:rFonts w:ascii="new roman)" w:hAnsi="new roman)" w:cstheme="minorHAnsi"/>
          <w:sz w:val="24"/>
          <w:szCs w:val="24"/>
        </w:rPr>
        <w:t>for the applicant’s</w:t>
      </w:r>
      <w:r w:rsidR="00696636">
        <w:rPr>
          <w:rFonts w:ascii="new roman)" w:hAnsi="new roman)" w:cstheme="minorHAnsi"/>
          <w:sz w:val="24"/>
          <w:szCs w:val="24"/>
        </w:rPr>
        <w:t>,</w:t>
      </w:r>
      <w:r w:rsidR="009F070E">
        <w:rPr>
          <w:rFonts w:ascii="new roman)" w:hAnsi="new roman)" w:cstheme="minorHAnsi"/>
          <w:sz w:val="24"/>
          <w:szCs w:val="24"/>
        </w:rPr>
        <w:t xml:space="preserve"> further conten</w:t>
      </w:r>
      <w:r w:rsidR="004560CA">
        <w:rPr>
          <w:rFonts w:ascii="new roman)" w:hAnsi="new roman)" w:cstheme="minorHAnsi"/>
          <w:sz w:val="24"/>
          <w:szCs w:val="24"/>
        </w:rPr>
        <w:t>t</w:t>
      </w:r>
      <w:r w:rsidR="009F070E">
        <w:rPr>
          <w:rFonts w:ascii="new roman)" w:hAnsi="new roman)" w:cstheme="minorHAnsi"/>
          <w:sz w:val="24"/>
          <w:szCs w:val="24"/>
        </w:rPr>
        <w:t>io</w:t>
      </w:r>
      <w:r w:rsidR="00391CA8">
        <w:rPr>
          <w:rFonts w:ascii="new roman)" w:hAnsi="new roman)" w:cstheme="minorHAnsi"/>
          <w:sz w:val="24"/>
          <w:szCs w:val="24"/>
        </w:rPr>
        <w:t>n</w:t>
      </w:r>
      <w:r w:rsidR="004560CA">
        <w:rPr>
          <w:rFonts w:ascii="new roman)" w:hAnsi="new roman)" w:cstheme="minorHAnsi"/>
          <w:sz w:val="24"/>
          <w:szCs w:val="24"/>
        </w:rPr>
        <w:t xml:space="preserve"> that, </w:t>
      </w:r>
      <w:r w:rsidR="00300588">
        <w:rPr>
          <w:rFonts w:ascii="new roman)" w:hAnsi="new roman)" w:cstheme="minorHAnsi"/>
          <w:sz w:val="24"/>
          <w:szCs w:val="24"/>
        </w:rPr>
        <w:t xml:space="preserve">it is even more surprising that up to the date of the hearing of this application no efforts have been made by the first respondent to liquidate not even a single cent, be it that of the alleged illegal contract in the form of capital amount or the </w:t>
      </w:r>
      <w:r w:rsidR="00333C2D">
        <w:rPr>
          <w:rFonts w:ascii="new roman)" w:hAnsi="new roman)" w:cstheme="minorHAnsi"/>
          <w:sz w:val="24"/>
          <w:szCs w:val="24"/>
        </w:rPr>
        <w:t>so-called</w:t>
      </w:r>
      <w:r w:rsidR="00300588">
        <w:rPr>
          <w:rFonts w:ascii="new roman)" w:hAnsi="new roman)" w:cstheme="minorHAnsi"/>
          <w:sz w:val="24"/>
          <w:szCs w:val="24"/>
        </w:rPr>
        <w:t xml:space="preserve"> interest. </w:t>
      </w:r>
    </w:p>
    <w:p w14:paraId="5FCB3DC8" w14:textId="742ED694" w:rsidR="00300588" w:rsidRDefault="001340FA"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[1</w:t>
      </w:r>
      <w:r w:rsidR="00985DDB">
        <w:rPr>
          <w:rFonts w:ascii="new roman)" w:hAnsi="new roman)" w:cstheme="minorHAnsi"/>
          <w:sz w:val="24"/>
          <w:szCs w:val="24"/>
        </w:rPr>
        <w:t>4</w:t>
      </w:r>
      <w:r>
        <w:rPr>
          <w:rFonts w:ascii="new roman)" w:hAnsi="new roman)" w:cstheme="minorHAnsi"/>
          <w:sz w:val="24"/>
          <w:szCs w:val="24"/>
        </w:rPr>
        <w:t xml:space="preserve">] </w:t>
      </w:r>
      <w:r w:rsidR="00300588">
        <w:rPr>
          <w:rFonts w:ascii="new roman)" w:hAnsi="new roman)" w:cstheme="minorHAnsi"/>
          <w:sz w:val="24"/>
          <w:szCs w:val="24"/>
        </w:rPr>
        <w:t xml:space="preserve">The </w:t>
      </w:r>
      <w:r w:rsidR="00F42E57">
        <w:rPr>
          <w:rFonts w:ascii="new roman)" w:hAnsi="new roman)" w:cstheme="minorHAnsi"/>
          <w:sz w:val="24"/>
          <w:szCs w:val="24"/>
        </w:rPr>
        <w:t>a</w:t>
      </w:r>
      <w:r w:rsidR="00630D63">
        <w:rPr>
          <w:rFonts w:ascii="new roman)" w:hAnsi="new roman)" w:cstheme="minorHAnsi"/>
          <w:sz w:val="24"/>
          <w:szCs w:val="24"/>
        </w:rPr>
        <w:t>pplicant</w:t>
      </w:r>
      <w:r w:rsidR="00300588">
        <w:rPr>
          <w:rFonts w:ascii="new roman)" w:hAnsi="new roman)" w:cstheme="minorHAnsi"/>
          <w:sz w:val="24"/>
          <w:szCs w:val="24"/>
        </w:rPr>
        <w:t xml:space="preserve"> is even more startled by the failure by the first respondent to explain away the acknowledgement of receipt as to what it was he received in September as opposed to the amounts he received upon the conclusion of the agreement of sale in February of the same year.</w:t>
      </w:r>
    </w:p>
    <w:p w14:paraId="130E00BE" w14:textId="00E1D621" w:rsidR="00DD2433" w:rsidRDefault="001340FA"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Pr>
          <w:rFonts w:ascii="new roman" w:hAnsi="new roman" w:cs="Segoe UI"/>
          <w:lang w:val="en-US"/>
        </w:rPr>
        <w:t>[1</w:t>
      </w:r>
      <w:r w:rsidR="00460687">
        <w:rPr>
          <w:rFonts w:ascii="new roman" w:hAnsi="new roman" w:cs="Segoe UI"/>
          <w:lang w:val="en-US"/>
        </w:rPr>
        <w:t>5</w:t>
      </w:r>
      <w:r>
        <w:rPr>
          <w:rFonts w:ascii="new roman" w:hAnsi="new roman" w:cs="Segoe UI"/>
          <w:lang w:val="en-US"/>
        </w:rPr>
        <w:t>]</w:t>
      </w:r>
      <w:r w:rsidR="009A77F3">
        <w:rPr>
          <w:rFonts w:ascii="new roman" w:hAnsi="new roman" w:cs="Segoe UI"/>
          <w:lang w:val="en-US"/>
        </w:rPr>
        <w:t xml:space="preserve"> </w:t>
      </w:r>
      <w:r w:rsidR="00391CA8">
        <w:rPr>
          <w:rFonts w:ascii="new roman" w:hAnsi="new roman" w:cs="Segoe UI"/>
          <w:lang w:val="en-US"/>
        </w:rPr>
        <w:t>Of note</w:t>
      </w:r>
      <w:r w:rsidR="00DD2433">
        <w:rPr>
          <w:rFonts w:ascii="new roman" w:hAnsi="new roman" w:cs="Segoe UI"/>
          <w:lang w:val="en-US"/>
        </w:rPr>
        <w:t>, the answering affidavit which the applicant had filed in response to the first respondent’s notice of opposition was successfully challenged as a preliminary objection. It was against the dictates of rule 30(7)</w:t>
      </w:r>
      <w:r w:rsidR="00391CA8">
        <w:rPr>
          <w:rFonts w:ascii="new roman" w:hAnsi="new roman" w:cs="Segoe UI"/>
          <w:lang w:val="en-US"/>
        </w:rPr>
        <w:t xml:space="preserve"> of the High Court rules</w:t>
      </w:r>
      <w:r w:rsidR="00DD2433">
        <w:rPr>
          <w:rFonts w:ascii="new roman" w:hAnsi="new roman" w:cs="Segoe UI"/>
          <w:lang w:val="en-US"/>
        </w:rPr>
        <w:t>. According to that provision, the applicant’s case, falls or stands on the founding affidavit. No new facts or evidence, as is the trite position of the law in civil suits, are to be introduced through or by way of an answering affidavit</w:t>
      </w:r>
      <w:r w:rsidR="00696636">
        <w:rPr>
          <w:rFonts w:ascii="new roman" w:hAnsi="new roman" w:cs="Segoe UI"/>
          <w:lang w:val="en-US"/>
        </w:rPr>
        <w:t xml:space="preserve">. </w:t>
      </w:r>
      <w:r w:rsidR="00730C97">
        <w:rPr>
          <w:rFonts w:ascii="new roman" w:hAnsi="new roman" w:cs="Segoe UI"/>
          <w:lang w:val="en-US"/>
        </w:rPr>
        <w:t xml:space="preserve">See, </w:t>
      </w:r>
      <w:proofErr w:type="spellStart"/>
      <w:r w:rsidR="00730C97" w:rsidRPr="00730C97">
        <w:rPr>
          <w:rFonts w:ascii="new roman" w:hAnsi="new roman" w:cs="Segoe UI"/>
          <w:i/>
          <w:lang w:val="en-US"/>
        </w:rPr>
        <w:t>Mangwiza</w:t>
      </w:r>
      <w:proofErr w:type="spellEnd"/>
      <w:r w:rsidR="00730C97" w:rsidRPr="00730C97">
        <w:rPr>
          <w:rFonts w:ascii="new roman" w:hAnsi="new roman" w:cs="Segoe UI"/>
          <w:i/>
          <w:lang w:val="en-US"/>
        </w:rPr>
        <w:t xml:space="preserve"> v </w:t>
      </w:r>
      <w:proofErr w:type="spellStart"/>
      <w:r w:rsidR="00730C97" w:rsidRPr="00730C97">
        <w:rPr>
          <w:rFonts w:ascii="new roman" w:hAnsi="new roman" w:cs="Segoe UI"/>
          <w:i/>
          <w:lang w:val="en-US"/>
        </w:rPr>
        <w:t>Ziumbe</w:t>
      </w:r>
      <w:proofErr w:type="spellEnd"/>
      <w:r w:rsidR="00730C97" w:rsidRPr="00730C97">
        <w:rPr>
          <w:rFonts w:ascii="new roman" w:hAnsi="new roman" w:cs="Segoe UI"/>
          <w:i/>
          <w:lang w:val="en-US"/>
        </w:rPr>
        <w:t xml:space="preserve"> N.O. &amp; Anor</w:t>
      </w:r>
      <w:r w:rsidR="00730C97">
        <w:rPr>
          <w:rFonts w:ascii="new roman" w:hAnsi="new roman" w:cs="Segoe UI"/>
          <w:lang w:val="en-US"/>
        </w:rPr>
        <w:t xml:space="preserve"> 2000(2) ZLR.</w:t>
      </w:r>
      <w:r w:rsidR="00391CA8">
        <w:rPr>
          <w:rFonts w:ascii="new roman" w:hAnsi="new roman" w:cs="Segoe UI"/>
          <w:lang w:val="en-US"/>
        </w:rPr>
        <w:t xml:space="preserve"> </w:t>
      </w:r>
      <w:r w:rsidR="00DD2433">
        <w:rPr>
          <w:rFonts w:ascii="new roman" w:hAnsi="new roman" w:cs="Segoe UI"/>
          <w:lang w:val="en-US"/>
        </w:rPr>
        <w:t xml:space="preserve"> </w:t>
      </w:r>
    </w:p>
    <w:p w14:paraId="1B3F3FC2" w14:textId="23F8CD8E" w:rsidR="00300588" w:rsidRDefault="001340FA"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lastRenderedPageBreak/>
        <w:t>[1</w:t>
      </w:r>
      <w:r w:rsidR="00460687">
        <w:rPr>
          <w:rFonts w:ascii="new roman)" w:hAnsi="new roman)" w:cstheme="minorHAnsi"/>
          <w:sz w:val="24"/>
          <w:szCs w:val="24"/>
        </w:rPr>
        <w:t>6</w:t>
      </w:r>
      <w:r>
        <w:rPr>
          <w:rFonts w:ascii="new roman)" w:hAnsi="new roman)" w:cstheme="minorHAnsi"/>
          <w:sz w:val="24"/>
          <w:szCs w:val="24"/>
        </w:rPr>
        <w:t xml:space="preserve">] </w:t>
      </w:r>
      <w:r w:rsidR="00300588">
        <w:rPr>
          <w:rFonts w:ascii="new roman)" w:hAnsi="new roman)" w:cstheme="minorHAnsi"/>
          <w:sz w:val="24"/>
          <w:szCs w:val="24"/>
        </w:rPr>
        <w:t>Be that as it may, the overriding issue for consideration is the applicant is entitled to the relief sought?</w:t>
      </w:r>
    </w:p>
    <w:p w14:paraId="647DBAEF" w14:textId="6404C858" w:rsidR="00041C78" w:rsidRDefault="001340FA"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[1</w:t>
      </w:r>
      <w:r w:rsidR="00460687">
        <w:rPr>
          <w:rFonts w:ascii="new roman)" w:hAnsi="new roman)" w:cstheme="minorHAnsi"/>
          <w:sz w:val="24"/>
          <w:szCs w:val="24"/>
        </w:rPr>
        <w:t>7</w:t>
      </w:r>
      <w:r>
        <w:rPr>
          <w:rFonts w:ascii="new roman)" w:hAnsi="new roman)" w:cstheme="minorHAnsi"/>
          <w:sz w:val="24"/>
          <w:szCs w:val="24"/>
        </w:rPr>
        <w:t xml:space="preserve">] </w:t>
      </w:r>
      <w:r w:rsidR="00300588">
        <w:rPr>
          <w:rFonts w:ascii="new roman)" w:hAnsi="new roman)" w:cstheme="minorHAnsi"/>
          <w:sz w:val="24"/>
          <w:szCs w:val="24"/>
        </w:rPr>
        <w:t xml:space="preserve">On analysis, </w:t>
      </w:r>
      <w:r w:rsidR="00570080">
        <w:rPr>
          <w:rFonts w:ascii="new roman)" w:hAnsi="new roman)" w:cstheme="minorHAnsi"/>
          <w:sz w:val="24"/>
          <w:szCs w:val="24"/>
        </w:rPr>
        <w:t xml:space="preserve">it goes without saying, </w:t>
      </w:r>
      <w:r w:rsidR="00300588">
        <w:rPr>
          <w:rFonts w:ascii="new roman)" w:hAnsi="new roman)" w:cstheme="minorHAnsi"/>
          <w:sz w:val="24"/>
          <w:szCs w:val="24"/>
        </w:rPr>
        <w:t xml:space="preserve">that a summary judgment is an interlocutory measure against </w:t>
      </w:r>
      <w:r w:rsidR="00570080">
        <w:rPr>
          <w:rFonts w:ascii="new roman)" w:hAnsi="new roman)" w:cstheme="minorHAnsi"/>
          <w:sz w:val="24"/>
          <w:szCs w:val="24"/>
        </w:rPr>
        <w:t xml:space="preserve">recalcitrant litigants with no valid defence but playing delaying tactics. </w:t>
      </w:r>
      <w:r w:rsidR="00300588">
        <w:rPr>
          <w:rFonts w:ascii="new roman)" w:hAnsi="new roman)" w:cstheme="minorHAnsi"/>
          <w:sz w:val="24"/>
          <w:szCs w:val="24"/>
        </w:rPr>
        <w:t xml:space="preserve"> </w:t>
      </w:r>
      <w:r w:rsidR="00570080">
        <w:rPr>
          <w:rFonts w:ascii="new roman)" w:hAnsi="new roman)" w:cstheme="minorHAnsi"/>
          <w:sz w:val="24"/>
          <w:szCs w:val="24"/>
        </w:rPr>
        <w:t>If successful it has a final effect of disposing the matter there and then,</w:t>
      </w:r>
      <w:r w:rsidR="00570080" w:rsidRPr="00570080">
        <w:rPr>
          <w:rFonts w:ascii="new roman)" w:hAnsi="new roman)" w:cstheme="minorHAnsi"/>
          <w:sz w:val="24"/>
          <w:szCs w:val="24"/>
        </w:rPr>
        <w:t xml:space="preserve"> </w:t>
      </w:r>
      <w:r w:rsidR="00570080">
        <w:rPr>
          <w:rFonts w:ascii="new roman)" w:hAnsi="new roman)" w:cstheme="minorHAnsi"/>
          <w:sz w:val="24"/>
          <w:szCs w:val="24"/>
        </w:rPr>
        <w:t>thereby terminating action proceedings without further ado, whereas if not, the trial procedure takes its full course.</w:t>
      </w:r>
      <w:r w:rsidR="00570080">
        <w:rPr>
          <w:rStyle w:val="FootnoteReference"/>
          <w:rFonts w:ascii="new roman)" w:hAnsi="new roman)" w:cstheme="minorHAnsi"/>
          <w:sz w:val="24"/>
          <w:szCs w:val="24"/>
        </w:rPr>
        <w:footnoteReference w:id="5"/>
      </w:r>
      <w:r w:rsidR="00570080">
        <w:rPr>
          <w:rFonts w:ascii="new roman)" w:hAnsi="new roman)" w:cstheme="minorHAnsi"/>
          <w:sz w:val="24"/>
          <w:szCs w:val="24"/>
        </w:rPr>
        <w:t xml:space="preserve"> </w:t>
      </w:r>
    </w:p>
    <w:p w14:paraId="46794B46" w14:textId="5EB49B56" w:rsidR="00540B48" w:rsidRDefault="00041C78" w:rsidP="00711063">
      <w:pPr>
        <w:spacing w:line="360" w:lineRule="auto"/>
        <w:ind w:firstLine="720"/>
        <w:jc w:val="both"/>
        <w:rPr>
          <w:rFonts w:ascii="Times New Roman" w:hAnsi="Times New Roman" w:cs="Times New Roman"/>
          <w:sz w:val="24"/>
          <w:szCs w:val="24"/>
        </w:rPr>
      </w:pPr>
      <w:r>
        <w:rPr>
          <w:rFonts w:ascii="new roman)" w:hAnsi="new roman)" w:cstheme="minorHAnsi"/>
          <w:sz w:val="24"/>
          <w:szCs w:val="24"/>
        </w:rPr>
        <w:t>[1</w:t>
      </w:r>
      <w:r w:rsidR="00460687">
        <w:rPr>
          <w:rFonts w:ascii="new roman)" w:hAnsi="new roman)" w:cstheme="minorHAnsi"/>
          <w:sz w:val="24"/>
          <w:szCs w:val="24"/>
        </w:rPr>
        <w:t>8</w:t>
      </w:r>
      <w:r>
        <w:rPr>
          <w:rFonts w:ascii="new roman)" w:hAnsi="new roman)" w:cstheme="minorHAnsi"/>
          <w:sz w:val="24"/>
          <w:szCs w:val="24"/>
        </w:rPr>
        <w:t xml:space="preserve">] </w:t>
      </w:r>
      <w:r w:rsidR="00570080">
        <w:rPr>
          <w:rFonts w:ascii="new roman)" w:hAnsi="new roman)" w:cstheme="minorHAnsi"/>
          <w:sz w:val="24"/>
          <w:szCs w:val="24"/>
        </w:rPr>
        <w:t xml:space="preserve">It entails that the trial will be curtailed and the </w:t>
      </w:r>
      <w:proofErr w:type="spellStart"/>
      <w:r w:rsidR="00570080" w:rsidRPr="00FD272C">
        <w:rPr>
          <w:rFonts w:ascii="new roman)" w:hAnsi="new roman)" w:cstheme="minorHAnsi"/>
          <w:i/>
          <w:sz w:val="24"/>
          <w:szCs w:val="24"/>
        </w:rPr>
        <w:t>audi</w:t>
      </w:r>
      <w:proofErr w:type="spellEnd"/>
      <w:r w:rsidR="00570080" w:rsidRPr="00FD272C">
        <w:rPr>
          <w:rFonts w:ascii="new roman)" w:hAnsi="new roman)" w:cstheme="minorHAnsi"/>
          <w:i/>
          <w:sz w:val="24"/>
          <w:szCs w:val="24"/>
        </w:rPr>
        <w:t xml:space="preserve"> </w:t>
      </w:r>
      <w:proofErr w:type="spellStart"/>
      <w:r w:rsidR="00570080" w:rsidRPr="00FD272C">
        <w:rPr>
          <w:rFonts w:ascii="new roman)" w:hAnsi="new roman)" w:cstheme="minorHAnsi"/>
          <w:i/>
          <w:sz w:val="24"/>
          <w:szCs w:val="24"/>
        </w:rPr>
        <w:t>alteram</w:t>
      </w:r>
      <w:proofErr w:type="spellEnd"/>
      <w:r w:rsidR="00570080" w:rsidRPr="00FD272C">
        <w:rPr>
          <w:rFonts w:ascii="new roman)" w:hAnsi="new roman)" w:cstheme="minorHAnsi"/>
          <w:i/>
          <w:sz w:val="24"/>
          <w:szCs w:val="24"/>
        </w:rPr>
        <w:t xml:space="preserve"> rule</w:t>
      </w:r>
      <w:r w:rsidR="00570080">
        <w:rPr>
          <w:rFonts w:ascii="new roman)" w:hAnsi="new roman)" w:cstheme="minorHAnsi"/>
          <w:sz w:val="24"/>
          <w:szCs w:val="24"/>
        </w:rPr>
        <w:t xml:space="preserve"> to some extent infringed</w:t>
      </w:r>
      <w:r w:rsidR="003117D0" w:rsidRPr="003117D0">
        <w:rPr>
          <w:rFonts w:ascii="new roman)" w:hAnsi="new roman)" w:cstheme="minorHAnsi"/>
          <w:sz w:val="24"/>
          <w:szCs w:val="24"/>
        </w:rPr>
        <w:t xml:space="preserve"> </w:t>
      </w:r>
      <w:r w:rsidR="003117D0">
        <w:rPr>
          <w:rFonts w:ascii="new roman)" w:hAnsi="new roman)" w:cstheme="minorHAnsi"/>
          <w:sz w:val="24"/>
          <w:szCs w:val="24"/>
        </w:rPr>
        <w:t>This curtailing of proceedings without giving the other party the full benefit of trial is how the doctrine earned the term ‘a drastic remedy’ to be sparing applied.</w:t>
      </w:r>
      <w:r w:rsidR="00570080">
        <w:rPr>
          <w:rStyle w:val="FootnoteReference"/>
          <w:rFonts w:ascii="new roman)" w:hAnsi="new roman)" w:cstheme="minorHAnsi"/>
          <w:sz w:val="24"/>
          <w:szCs w:val="24"/>
        </w:rPr>
        <w:footnoteReference w:id="6"/>
      </w:r>
      <w:r w:rsidR="00570080">
        <w:rPr>
          <w:rFonts w:ascii="new roman)" w:hAnsi="new roman)" w:cstheme="minorHAnsi"/>
          <w:sz w:val="24"/>
          <w:szCs w:val="24"/>
        </w:rPr>
        <w:t xml:space="preserve">  </w:t>
      </w:r>
      <w:r w:rsidR="003117D0">
        <w:rPr>
          <w:rFonts w:ascii="new roman)" w:hAnsi="new roman)" w:cstheme="minorHAnsi"/>
          <w:sz w:val="24"/>
          <w:szCs w:val="24"/>
        </w:rPr>
        <w:t xml:space="preserve"> </w:t>
      </w:r>
    </w:p>
    <w:p w14:paraId="36499E36" w14:textId="2B0BD5F9" w:rsidR="003117D0" w:rsidRDefault="00041C78" w:rsidP="00711063">
      <w:pPr>
        <w:spacing w:line="360" w:lineRule="auto"/>
        <w:ind w:firstLine="720"/>
        <w:jc w:val="both"/>
        <w:rPr>
          <w:rFonts w:ascii="new roman)" w:hAnsi="new roman)" w:cstheme="minorHAnsi"/>
          <w:sz w:val="24"/>
          <w:szCs w:val="24"/>
        </w:rPr>
      </w:pPr>
      <w:r>
        <w:rPr>
          <w:rFonts w:ascii="Times New Roman" w:hAnsi="Times New Roman" w:cs="Times New Roman"/>
          <w:sz w:val="24"/>
          <w:szCs w:val="24"/>
        </w:rPr>
        <w:t>[1</w:t>
      </w:r>
      <w:r w:rsidR="00460687">
        <w:rPr>
          <w:rFonts w:ascii="Times New Roman" w:hAnsi="Times New Roman" w:cs="Times New Roman"/>
          <w:sz w:val="24"/>
          <w:szCs w:val="24"/>
        </w:rPr>
        <w:t>9</w:t>
      </w:r>
      <w:r>
        <w:rPr>
          <w:rFonts w:ascii="Times New Roman" w:hAnsi="Times New Roman" w:cs="Times New Roman"/>
          <w:sz w:val="24"/>
          <w:szCs w:val="24"/>
        </w:rPr>
        <w:t xml:space="preserve">] </w:t>
      </w:r>
      <w:r w:rsidR="003117D0" w:rsidRPr="00CA2853">
        <w:rPr>
          <w:rFonts w:ascii="new roman)" w:hAnsi="new roman)" w:cstheme="minorHAnsi"/>
          <w:sz w:val="24"/>
          <w:szCs w:val="24"/>
        </w:rPr>
        <w:t>The Supreme court in the case of</w:t>
      </w:r>
      <w:r w:rsidR="003117D0">
        <w:rPr>
          <w:rFonts w:ascii="new roman)" w:hAnsi="new roman)" w:cstheme="minorHAnsi"/>
          <w:i/>
          <w:sz w:val="24"/>
          <w:szCs w:val="24"/>
        </w:rPr>
        <w:t xml:space="preserve"> </w:t>
      </w:r>
      <w:proofErr w:type="spellStart"/>
      <w:r w:rsidR="003117D0">
        <w:rPr>
          <w:rFonts w:ascii="new roman)" w:hAnsi="new roman)" w:cstheme="minorHAnsi"/>
          <w:i/>
          <w:sz w:val="24"/>
          <w:szCs w:val="24"/>
        </w:rPr>
        <w:t>Tavenhave</w:t>
      </w:r>
      <w:proofErr w:type="spellEnd"/>
      <w:r w:rsidR="003117D0">
        <w:rPr>
          <w:rFonts w:ascii="new roman)" w:hAnsi="new roman)" w:cstheme="minorHAnsi"/>
          <w:i/>
          <w:sz w:val="24"/>
          <w:szCs w:val="24"/>
        </w:rPr>
        <w:t xml:space="preserve"> and </w:t>
      </w:r>
      <w:proofErr w:type="spellStart"/>
      <w:r w:rsidR="003117D0">
        <w:rPr>
          <w:rFonts w:ascii="new roman)" w:hAnsi="new roman)" w:cstheme="minorHAnsi"/>
          <w:i/>
          <w:sz w:val="24"/>
          <w:szCs w:val="24"/>
        </w:rPr>
        <w:t>Machingauta</w:t>
      </w:r>
      <w:proofErr w:type="spellEnd"/>
      <w:r w:rsidR="003117D0">
        <w:rPr>
          <w:rFonts w:ascii="new roman)" w:hAnsi="new roman)" w:cstheme="minorHAnsi"/>
          <w:i/>
          <w:sz w:val="24"/>
          <w:szCs w:val="24"/>
        </w:rPr>
        <w:t xml:space="preserve"> Legal Practitioners v The Messenger of Court SC53/14, </w:t>
      </w:r>
      <w:r w:rsidR="003117D0">
        <w:rPr>
          <w:rFonts w:ascii="new roman)" w:hAnsi="new roman)" w:cstheme="minorHAnsi"/>
          <w:sz w:val="24"/>
          <w:szCs w:val="24"/>
        </w:rPr>
        <w:t>highlighted as follows,</w:t>
      </w:r>
    </w:p>
    <w:p w14:paraId="41475908" w14:textId="4860605A" w:rsidR="00DD2433" w:rsidRDefault="00333C2D" w:rsidP="00711063">
      <w:pPr>
        <w:jc w:val="both"/>
        <w:rPr>
          <w:rFonts w:ascii="Times New Roman" w:hAnsi="Times New Roman" w:cs="Times New Roman"/>
          <w:sz w:val="24"/>
          <w:szCs w:val="24"/>
        </w:rPr>
      </w:pPr>
      <w:r>
        <w:rPr>
          <w:rFonts w:ascii="Times New Roman" w:eastAsia="Times New Roman" w:hAnsi="Times New Roman" w:cs="Times New Roman"/>
          <w:sz w:val="24"/>
          <w:szCs w:val="24"/>
          <w:lang w:eastAsia="en-ZW"/>
        </w:rPr>
        <w:t>“</w:t>
      </w:r>
      <w:r w:rsidRPr="00CA2853">
        <w:rPr>
          <w:rFonts w:ascii="Times New Roman" w:eastAsia="Times New Roman" w:hAnsi="Times New Roman" w:cs="Times New Roman"/>
          <w:sz w:val="24"/>
          <w:szCs w:val="24"/>
          <w:lang w:eastAsia="en-ZW"/>
        </w:rPr>
        <w:t>Summary</w:t>
      </w:r>
      <w:r w:rsidR="003117D0" w:rsidRPr="00CA2853">
        <w:rPr>
          <w:rFonts w:ascii="Times New Roman" w:eastAsia="Times New Roman" w:hAnsi="Times New Roman" w:cs="Times New Roman"/>
          <w:lang w:eastAsia="en-ZW"/>
        </w:rPr>
        <w:t xml:space="preserve"> judgment is a drastic remedy which will only be granted where it is clear that the defendant has no </w:t>
      </w:r>
      <w:r w:rsidR="003117D0" w:rsidRPr="00CA2853">
        <w:rPr>
          <w:rFonts w:ascii="Times New Roman" w:eastAsia="Times New Roman" w:hAnsi="Times New Roman" w:cs="Times New Roman"/>
          <w:i/>
          <w:iCs/>
          <w:lang w:eastAsia="en-ZW"/>
        </w:rPr>
        <w:t>bona fide</w:t>
      </w:r>
      <w:r w:rsidR="003117D0" w:rsidRPr="00CA2853">
        <w:rPr>
          <w:rFonts w:ascii="Times New Roman" w:eastAsia="Times New Roman" w:hAnsi="Times New Roman" w:cs="Times New Roman"/>
          <w:lang w:eastAsia="en-ZW"/>
        </w:rPr>
        <w:t> defence and has entered appearance to defend solely for purposes of delay.  Because of the drastic nature of the remedy a court will not grant it if there is any possibility that the defence raised on the papers might succeed</w:t>
      </w:r>
      <w:r w:rsidR="003117D0" w:rsidRPr="00CA2853">
        <w:rPr>
          <w:rFonts w:ascii="Times New Roman" w:eastAsia="Times New Roman" w:hAnsi="Times New Roman" w:cs="Times New Roman"/>
          <w:sz w:val="24"/>
          <w:szCs w:val="24"/>
          <w:lang w:eastAsia="en-ZW"/>
        </w:rPr>
        <w:t>.</w:t>
      </w:r>
      <w:r w:rsidR="003117D0">
        <w:rPr>
          <w:rFonts w:ascii="Times New Roman" w:eastAsia="Times New Roman" w:hAnsi="Times New Roman" w:cs="Times New Roman"/>
          <w:sz w:val="24"/>
          <w:szCs w:val="24"/>
          <w:lang w:eastAsia="en-ZW"/>
        </w:rPr>
        <w:t>”</w:t>
      </w:r>
      <w:r w:rsidR="003117D0" w:rsidRPr="00CA2853">
        <w:rPr>
          <w:rFonts w:ascii="Times New Roman" w:eastAsia="Times New Roman" w:hAnsi="Times New Roman" w:cs="Times New Roman"/>
          <w:sz w:val="24"/>
          <w:szCs w:val="24"/>
          <w:lang w:eastAsia="en-ZW"/>
        </w:rPr>
        <w:t> </w:t>
      </w:r>
      <w:r w:rsidR="00DD2433">
        <w:rPr>
          <w:rFonts w:ascii="Times New Roman" w:eastAsia="Times New Roman" w:hAnsi="Times New Roman" w:cs="Times New Roman"/>
          <w:sz w:val="24"/>
          <w:szCs w:val="24"/>
          <w:lang w:eastAsia="en-ZW"/>
        </w:rPr>
        <w:t xml:space="preserve"> See, </w:t>
      </w:r>
      <w:r w:rsidR="00DD2433">
        <w:rPr>
          <w:rFonts w:ascii="Times New Roman" w:hAnsi="Times New Roman" w:cs="Times New Roman"/>
          <w:i/>
          <w:sz w:val="24"/>
          <w:szCs w:val="24"/>
        </w:rPr>
        <w:t xml:space="preserve">Pitchford Investments Pvt Ltd </w:t>
      </w:r>
      <w:proofErr w:type="spellStart"/>
      <w:r w:rsidR="00DD2433">
        <w:rPr>
          <w:rFonts w:ascii="Times New Roman" w:hAnsi="Times New Roman" w:cs="Times New Roman"/>
          <w:i/>
          <w:sz w:val="24"/>
          <w:szCs w:val="24"/>
        </w:rPr>
        <w:t>vs</w:t>
      </w:r>
      <w:proofErr w:type="spellEnd"/>
      <w:r w:rsidR="00DD2433">
        <w:rPr>
          <w:rFonts w:ascii="Times New Roman" w:hAnsi="Times New Roman" w:cs="Times New Roman"/>
          <w:i/>
          <w:sz w:val="24"/>
          <w:szCs w:val="24"/>
        </w:rPr>
        <w:t xml:space="preserve"> </w:t>
      </w:r>
      <w:proofErr w:type="spellStart"/>
      <w:r w:rsidR="00DD2433">
        <w:rPr>
          <w:rFonts w:ascii="Times New Roman" w:hAnsi="Times New Roman" w:cs="Times New Roman"/>
          <w:i/>
          <w:sz w:val="24"/>
          <w:szCs w:val="24"/>
        </w:rPr>
        <w:t>Muzariri</w:t>
      </w:r>
      <w:proofErr w:type="spellEnd"/>
      <w:r w:rsidR="00DD2433">
        <w:rPr>
          <w:rFonts w:ascii="Times New Roman" w:hAnsi="Times New Roman" w:cs="Times New Roman"/>
          <w:sz w:val="24"/>
          <w:szCs w:val="24"/>
        </w:rPr>
        <w:t xml:space="preserve"> 2005 (1) ZLR (H) 1.  </w:t>
      </w:r>
    </w:p>
    <w:p w14:paraId="692F5275" w14:textId="33E937A1" w:rsidR="00DD2433" w:rsidRDefault="00041C78" w:rsidP="007110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460687">
        <w:rPr>
          <w:rFonts w:ascii="Times New Roman" w:hAnsi="Times New Roman" w:cs="Times New Roman"/>
          <w:sz w:val="24"/>
          <w:szCs w:val="24"/>
        </w:rPr>
        <w:t>20</w:t>
      </w:r>
      <w:r>
        <w:rPr>
          <w:rFonts w:ascii="Times New Roman" w:hAnsi="Times New Roman" w:cs="Times New Roman"/>
          <w:sz w:val="24"/>
          <w:szCs w:val="24"/>
        </w:rPr>
        <w:t>]</w:t>
      </w:r>
      <w:r w:rsidR="001F39CF">
        <w:rPr>
          <w:rFonts w:ascii="Times New Roman" w:hAnsi="Times New Roman" w:cs="Times New Roman"/>
          <w:sz w:val="24"/>
          <w:szCs w:val="24"/>
        </w:rPr>
        <w:t xml:space="preserve"> </w:t>
      </w:r>
      <w:r w:rsidR="00DD2433">
        <w:rPr>
          <w:rFonts w:ascii="Times New Roman" w:hAnsi="Times New Roman" w:cs="Times New Roman"/>
          <w:sz w:val="24"/>
          <w:szCs w:val="24"/>
        </w:rPr>
        <w:t xml:space="preserve">In </w:t>
      </w:r>
      <w:proofErr w:type="spellStart"/>
      <w:r w:rsidR="00DD2433">
        <w:rPr>
          <w:rFonts w:ascii="Times New Roman" w:hAnsi="Times New Roman" w:cs="Times New Roman"/>
          <w:i/>
          <w:sz w:val="24"/>
          <w:szCs w:val="24"/>
        </w:rPr>
        <w:t>Majoni</w:t>
      </w:r>
      <w:proofErr w:type="spellEnd"/>
      <w:r w:rsidR="00DD2433">
        <w:rPr>
          <w:rFonts w:ascii="Times New Roman" w:hAnsi="Times New Roman" w:cs="Times New Roman"/>
          <w:i/>
          <w:sz w:val="24"/>
          <w:szCs w:val="24"/>
        </w:rPr>
        <w:t xml:space="preserve"> v Ministry of Local Government and National Housing</w:t>
      </w:r>
      <w:r w:rsidR="00DD2433">
        <w:rPr>
          <w:rFonts w:ascii="Times New Roman" w:hAnsi="Times New Roman" w:cs="Times New Roman"/>
          <w:sz w:val="24"/>
          <w:szCs w:val="24"/>
        </w:rPr>
        <w:t xml:space="preserve"> 2001 (1) ZLR 143 (S) the Supreme Court stated thus:  </w:t>
      </w:r>
    </w:p>
    <w:p w14:paraId="577B4871" w14:textId="77777777" w:rsidR="00DD2433" w:rsidRPr="00DD2433" w:rsidRDefault="00DD2433" w:rsidP="00711063">
      <w:pPr>
        <w:spacing w:after="0" w:line="240" w:lineRule="auto"/>
        <w:jc w:val="both"/>
        <w:rPr>
          <w:rFonts w:ascii="Times New Roman" w:hAnsi="Times New Roman" w:cs="Times New Roman"/>
        </w:rPr>
      </w:pPr>
      <w:r>
        <w:rPr>
          <w:rFonts w:ascii="Times New Roman" w:hAnsi="Times New Roman" w:cs="Times New Roman"/>
          <w:sz w:val="24"/>
          <w:szCs w:val="24"/>
        </w:rPr>
        <w:t>“</w:t>
      </w:r>
      <w:r w:rsidRPr="00DD2433">
        <w:rPr>
          <w:rFonts w:ascii="Times New Roman" w:hAnsi="Times New Roman" w:cs="Times New Roman"/>
        </w:rPr>
        <w:t xml:space="preserve">The principles applicable in a summary judgment application have been well documented.  The </w:t>
      </w:r>
      <w:proofErr w:type="spellStart"/>
      <w:r w:rsidRPr="00DD2433">
        <w:rPr>
          <w:rFonts w:ascii="Times New Roman" w:hAnsi="Times New Roman" w:cs="Times New Roman"/>
        </w:rPr>
        <w:t>quientessence</w:t>
      </w:r>
      <w:proofErr w:type="spellEnd"/>
      <w:r w:rsidRPr="00DD2433">
        <w:rPr>
          <w:rFonts w:ascii="Times New Roman" w:hAnsi="Times New Roman" w:cs="Times New Roman"/>
        </w:rPr>
        <w:t xml:space="preserve"> of this drastic remedy is that the plaintiff, whose belief it is that the defence is not bona fide and entered solely for dilatory purposes, should be granted immediate relief without the expenses and delay of trial.”   </w:t>
      </w:r>
    </w:p>
    <w:p w14:paraId="2F96ED25" w14:textId="77777777" w:rsidR="00DD2433" w:rsidRPr="00DD2433" w:rsidRDefault="00DD2433" w:rsidP="00711063">
      <w:pPr>
        <w:spacing w:after="0" w:line="240" w:lineRule="auto"/>
        <w:jc w:val="both"/>
        <w:rPr>
          <w:rFonts w:ascii="Times New Roman" w:hAnsi="Times New Roman" w:cs="Times New Roman"/>
        </w:rPr>
      </w:pPr>
    </w:p>
    <w:p w14:paraId="4C1472F7" w14:textId="696796B5" w:rsidR="003117D0" w:rsidRDefault="00041C78" w:rsidP="00711063">
      <w:pPr>
        <w:ind w:firstLine="720"/>
        <w:jc w:val="both"/>
        <w:rPr>
          <w:rFonts w:ascii="new roman)" w:hAnsi="new roman)" w:cstheme="minorHAnsi"/>
          <w:sz w:val="24"/>
          <w:szCs w:val="24"/>
        </w:rPr>
      </w:pPr>
      <w:r>
        <w:rPr>
          <w:rFonts w:ascii="new roman)" w:hAnsi="new roman)" w:cstheme="minorHAnsi"/>
          <w:sz w:val="24"/>
          <w:szCs w:val="24"/>
        </w:rPr>
        <w:t>[2</w:t>
      </w:r>
      <w:r w:rsidR="00460687">
        <w:rPr>
          <w:rFonts w:ascii="new roman)" w:hAnsi="new roman)" w:cstheme="minorHAnsi"/>
          <w:sz w:val="24"/>
          <w:szCs w:val="24"/>
        </w:rPr>
        <w:t>1</w:t>
      </w:r>
      <w:r>
        <w:rPr>
          <w:rFonts w:ascii="new roman)" w:hAnsi="new roman)" w:cstheme="minorHAnsi"/>
          <w:sz w:val="24"/>
          <w:szCs w:val="24"/>
        </w:rPr>
        <w:t xml:space="preserve">] </w:t>
      </w:r>
      <w:r w:rsidR="003117D0">
        <w:rPr>
          <w:rFonts w:ascii="new roman)" w:hAnsi="new roman)" w:cstheme="minorHAnsi"/>
          <w:sz w:val="24"/>
          <w:szCs w:val="24"/>
        </w:rPr>
        <w:t>T</w:t>
      </w:r>
      <w:r w:rsidR="00DD2433">
        <w:rPr>
          <w:rFonts w:ascii="new roman)" w:hAnsi="new roman)" w:cstheme="minorHAnsi"/>
          <w:sz w:val="24"/>
          <w:szCs w:val="24"/>
        </w:rPr>
        <w:t xml:space="preserve">he same was amply captured </w:t>
      </w:r>
      <w:r w:rsidR="003117D0">
        <w:rPr>
          <w:rFonts w:ascii="new roman)" w:hAnsi="new roman)" w:cstheme="minorHAnsi"/>
          <w:sz w:val="24"/>
          <w:szCs w:val="24"/>
        </w:rPr>
        <w:t xml:space="preserve">in the most recent Supreme Court decision, </w:t>
      </w:r>
      <w:proofErr w:type="spellStart"/>
      <w:r w:rsidR="003117D0" w:rsidRPr="006A5A2E">
        <w:rPr>
          <w:rFonts w:ascii="new roman)" w:hAnsi="new roman)" w:cstheme="minorHAnsi"/>
          <w:i/>
          <w:sz w:val="24"/>
          <w:szCs w:val="24"/>
        </w:rPr>
        <w:t>Eastlea</w:t>
      </w:r>
      <w:proofErr w:type="spellEnd"/>
      <w:r w:rsidR="003117D0" w:rsidRPr="006A5A2E">
        <w:rPr>
          <w:rFonts w:ascii="new roman)" w:hAnsi="new roman)" w:cstheme="minorHAnsi"/>
          <w:i/>
          <w:sz w:val="24"/>
          <w:szCs w:val="24"/>
        </w:rPr>
        <w:t xml:space="preserve"> Hospital (Private) Limited v Martha </w:t>
      </w:r>
      <w:proofErr w:type="spellStart"/>
      <w:r w:rsidR="003117D0" w:rsidRPr="006A5A2E">
        <w:rPr>
          <w:rFonts w:ascii="new roman)" w:hAnsi="new roman)" w:cstheme="minorHAnsi"/>
          <w:i/>
          <w:sz w:val="24"/>
          <w:szCs w:val="24"/>
        </w:rPr>
        <w:t>Ndoro</w:t>
      </w:r>
      <w:proofErr w:type="spellEnd"/>
      <w:r w:rsidR="003117D0" w:rsidRPr="006A5A2E">
        <w:rPr>
          <w:rFonts w:ascii="new roman)" w:hAnsi="new roman)" w:cstheme="minorHAnsi"/>
          <w:i/>
          <w:sz w:val="24"/>
          <w:szCs w:val="24"/>
        </w:rPr>
        <w:t xml:space="preserve"> and </w:t>
      </w:r>
      <w:proofErr w:type="spellStart"/>
      <w:r w:rsidR="003117D0" w:rsidRPr="006A5A2E">
        <w:rPr>
          <w:rFonts w:ascii="new roman)" w:hAnsi="new roman)" w:cstheme="minorHAnsi"/>
          <w:i/>
          <w:sz w:val="24"/>
          <w:szCs w:val="24"/>
        </w:rPr>
        <w:t>Ors</w:t>
      </w:r>
      <w:proofErr w:type="spellEnd"/>
      <w:r w:rsidR="003117D0">
        <w:rPr>
          <w:rFonts w:ascii="new roman)" w:hAnsi="new roman)" w:cstheme="minorHAnsi"/>
          <w:sz w:val="24"/>
          <w:szCs w:val="24"/>
        </w:rPr>
        <w:t xml:space="preserve"> SC116/23.</w:t>
      </w:r>
    </w:p>
    <w:p w14:paraId="478B555B" w14:textId="124C5EDF" w:rsidR="003117D0" w:rsidRDefault="00041C78"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[2</w:t>
      </w:r>
      <w:r w:rsidR="00460687">
        <w:rPr>
          <w:rFonts w:ascii="new roman)" w:hAnsi="new roman)" w:cstheme="minorHAnsi"/>
          <w:sz w:val="24"/>
          <w:szCs w:val="24"/>
        </w:rPr>
        <w:t>2</w:t>
      </w:r>
      <w:r>
        <w:rPr>
          <w:rFonts w:ascii="new roman)" w:hAnsi="new roman)" w:cstheme="minorHAnsi"/>
          <w:sz w:val="24"/>
          <w:szCs w:val="24"/>
        </w:rPr>
        <w:t xml:space="preserve">] </w:t>
      </w:r>
      <w:r w:rsidR="003117D0">
        <w:rPr>
          <w:rFonts w:ascii="new roman)" w:hAnsi="new roman)" w:cstheme="minorHAnsi"/>
          <w:sz w:val="24"/>
          <w:szCs w:val="24"/>
        </w:rPr>
        <w:t>Whilst the law requires the plaintiff to advance and prove an unassailable claim, it also recognises the defences available to the defendant in such dire situations.</w:t>
      </w:r>
      <w:r w:rsidR="003117D0" w:rsidRPr="003117D0">
        <w:rPr>
          <w:rFonts w:ascii="new roman)" w:hAnsi="new roman)" w:cstheme="minorHAnsi"/>
          <w:sz w:val="24"/>
          <w:szCs w:val="24"/>
        </w:rPr>
        <w:t xml:space="preserve"> </w:t>
      </w:r>
      <w:r w:rsidR="003117D0">
        <w:rPr>
          <w:rFonts w:ascii="new roman)" w:hAnsi="new roman)" w:cstheme="minorHAnsi"/>
          <w:sz w:val="24"/>
          <w:szCs w:val="24"/>
        </w:rPr>
        <w:t xml:space="preserve">See, </w:t>
      </w:r>
      <w:proofErr w:type="spellStart"/>
      <w:r w:rsidR="003117D0" w:rsidRPr="00540B48">
        <w:rPr>
          <w:rFonts w:ascii="new roman)" w:hAnsi="new roman)" w:cstheme="minorHAnsi"/>
          <w:i/>
          <w:sz w:val="24"/>
          <w:szCs w:val="24"/>
        </w:rPr>
        <w:t>J</w:t>
      </w:r>
      <w:r w:rsidR="003117D0" w:rsidRPr="00540B48">
        <w:rPr>
          <w:rFonts w:ascii="Times New Roman" w:hAnsi="Times New Roman" w:cs="Times New Roman"/>
          <w:i/>
          <w:sz w:val="24"/>
          <w:szCs w:val="24"/>
        </w:rPr>
        <w:t>etzone</w:t>
      </w:r>
      <w:proofErr w:type="spellEnd"/>
      <w:r w:rsidR="003117D0" w:rsidRPr="00540B48">
        <w:rPr>
          <w:rFonts w:ascii="Times New Roman" w:hAnsi="Times New Roman" w:cs="Times New Roman"/>
          <w:i/>
          <w:sz w:val="24"/>
          <w:szCs w:val="24"/>
        </w:rPr>
        <w:t xml:space="preserve"> Consultancy (Pvt) Ltd t/a Design Technologies Business Solutions versus Twenty Third Century Systems</w:t>
      </w:r>
      <w:r w:rsidR="003117D0">
        <w:rPr>
          <w:rFonts w:ascii="Times New Roman" w:hAnsi="Times New Roman" w:cs="Times New Roman"/>
          <w:sz w:val="24"/>
          <w:szCs w:val="24"/>
        </w:rPr>
        <w:t xml:space="preserve"> (Pvt) Ltd. </w:t>
      </w:r>
      <w:r w:rsidR="00094F25">
        <w:rPr>
          <w:rStyle w:val="FootnoteReference"/>
          <w:rFonts w:ascii="Times New Roman" w:hAnsi="Times New Roman" w:cs="Times New Roman"/>
          <w:sz w:val="24"/>
          <w:szCs w:val="24"/>
        </w:rPr>
        <w:t xml:space="preserve"> </w:t>
      </w:r>
    </w:p>
    <w:p w14:paraId="475665EA" w14:textId="1122E0F6" w:rsidR="003117D0" w:rsidRDefault="00041C78" w:rsidP="00711063">
      <w:pPr>
        <w:pStyle w:val="western"/>
        <w:shd w:val="clear" w:color="auto" w:fill="FFFFFF"/>
        <w:spacing w:before="0" w:beforeAutospacing="0" w:after="158" w:afterAutospacing="0" w:line="360" w:lineRule="auto"/>
        <w:ind w:firstLine="720"/>
        <w:jc w:val="both"/>
        <w:rPr>
          <w:rFonts w:ascii="Segoe UI" w:hAnsi="Segoe UI" w:cs="Segoe UI"/>
          <w:color w:val="212529"/>
          <w:sz w:val="23"/>
          <w:szCs w:val="23"/>
        </w:rPr>
      </w:pPr>
      <w:r>
        <w:rPr>
          <w:rFonts w:ascii="new roman)" w:hAnsi="new roman)" w:cstheme="minorHAnsi"/>
        </w:rPr>
        <w:lastRenderedPageBreak/>
        <w:t>[2</w:t>
      </w:r>
      <w:r w:rsidR="00460687">
        <w:rPr>
          <w:rFonts w:ascii="new roman)" w:hAnsi="new roman)" w:cstheme="minorHAnsi"/>
        </w:rPr>
        <w:t>3</w:t>
      </w:r>
      <w:r>
        <w:rPr>
          <w:rFonts w:ascii="new roman)" w:hAnsi="new roman)" w:cstheme="minorHAnsi"/>
        </w:rPr>
        <w:t xml:space="preserve">] </w:t>
      </w:r>
      <w:r w:rsidR="003117D0">
        <w:rPr>
          <w:rFonts w:ascii="new roman)" w:hAnsi="new roman)" w:cstheme="minorHAnsi"/>
        </w:rPr>
        <w:t xml:space="preserve">These were well articulated in the case of </w:t>
      </w:r>
      <w:proofErr w:type="spellStart"/>
      <w:r w:rsidR="003117D0" w:rsidRPr="000F2E32">
        <w:rPr>
          <w:rFonts w:ascii="new roman)" w:hAnsi="new roman)" w:cstheme="minorHAnsi"/>
          <w:i/>
        </w:rPr>
        <w:t>Siphambili</w:t>
      </w:r>
      <w:proofErr w:type="spellEnd"/>
      <w:r w:rsidR="003117D0" w:rsidRPr="000F2E32">
        <w:rPr>
          <w:rFonts w:ascii="new roman)" w:hAnsi="new roman)" w:cstheme="minorHAnsi"/>
          <w:i/>
        </w:rPr>
        <w:t xml:space="preserve"> and </w:t>
      </w:r>
      <w:proofErr w:type="spellStart"/>
      <w:r w:rsidR="003117D0" w:rsidRPr="000F2E32">
        <w:rPr>
          <w:rFonts w:ascii="new roman)" w:hAnsi="new roman)" w:cstheme="minorHAnsi"/>
          <w:i/>
        </w:rPr>
        <w:t>Anor</w:t>
      </w:r>
      <w:proofErr w:type="spellEnd"/>
      <w:r w:rsidR="003117D0" w:rsidRPr="000F2E32">
        <w:rPr>
          <w:rFonts w:ascii="new roman)" w:hAnsi="new roman)" w:cstheme="minorHAnsi"/>
          <w:i/>
        </w:rPr>
        <w:t xml:space="preserve"> v</w:t>
      </w:r>
      <w:r w:rsidR="003117D0">
        <w:rPr>
          <w:rFonts w:ascii="new roman)" w:hAnsi="new roman)" w:cstheme="minorHAnsi"/>
        </w:rPr>
        <w:t xml:space="preserve"> </w:t>
      </w:r>
      <w:proofErr w:type="spellStart"/>
      <w:r w:rsidR="003117D0" w:rsidRPr="000F2E32">
        <w:rPr>
          <w:rFonts w:ascii="new roman)" w:hAnsi="new roman)" w:cstheme="minorHAnsi"/>
          <w:i/>
        </w:rPr>
        <w:t>Simphambili</w:t>
      </w:r>
      <w:proofErr w:type="spellEnd"/>
      <w:r>
        <w:rPr>
          <w:rFonts w:ascii="new roman)" w:hAnsi="new roman)" w:cstheme="minorHAnsi"/>
        </w:rPr>
        <w:t xml:space="preserve"> HB209/23. </w:t>
      </w:r>
      <w:r w:rsidR="003117D0">
        <w:rPr>
          <w:rFonts w:ascii="new roman)" w:hAnsi="new roman)" w:cstheme="minorHAnsi"/>
        </w:rPr>
        <w:t>Citing the cases of</w:t>
      </w:r>
      <w:r w:rsidR="003117D0" w:rsidRPr="000F2E32">
        <w:rPr>
          <w:rFonts w:ascii="Segoe UI" w:hAnsi="Segoe UI" w:cs="Segoe UI"/>
          <w:i/>
          <w:iCs/>
          <w:color w:val="212529"/>
          <w:sz w:val="23"/>
          <w:szCs w:val="23"/>
          <w:lang w:val="en-US"/>
        </w:rPr>
        <w:t xml:space="preserve"> </w:t>
      </w:r>
      <w:r w:rsidR="003117D0" w:rsidRPr="000F2E32">
        <w:rPr>
          <w:rFonts w:ascii="new roman" w:hAnsi="new roman" w:cs="Segoe UI"/>
          <w:i/>
          <w:iCs/>
          <w:lang w:val="en-US"/>
        </w:rPr>
        <w:t>Jena</w:t>
      </w:r>
      <w:r w:rsidR="003117D0" w:rsidRPr="000F2E32">
        <w:rPr>
          <w:rFonts w:ascii="new roman" w:hAnsi="new roman" w:cs="Segoe UI"/>
          <w:lang w:val="en-US"/>
        </w:rPr>
        <w:t> v </w:t>
      </w:r>
      <w:proofErr w:type="spellStart"/>
      <w:r w:rsidR="003117D0" w:rsidRPr="000F2E32">
        <w:rPr>
          <w:rFonts w:ascii="new roman" w:hAnsi="new roman" w:cs="Segoe UI"/>
          <w:i/>
          <w:iCs/>
          <w:lang w:val="en-US"/>
        </w:rPr>
        <w:t>Nechipote</w:t>
      </w:r>
      <w:proofErr w:type="spellEnd"/>
      <w:r w:rsidR="003117D0" w:rsidRPr="000F2E32">
        <w:rPr>
          <w:rFonts w:ascii="new roman" w:hAnsi="new roman" w:cs="Segoe UI"/>
          <w:lang w:val="en-US"/>
        </w:rPr>
        <w:t> 1986 (1) ZLR 29 (SC); </w:t>
      </w:r>
      <w:r w:rsidR="003117D0" w:rsidRPr="000F2E32">
        <w:rPr>
          <w:rFonts w:ascii="new roman" w:hAnsi="new roman" w:cs="Segoe UI"/>
          <w:i/>
          <w:iCs/>
          <w:lang w:val="en-US"/>
        </w:rPr>
        <w:t>Pitchford Investments (</w:t>
      </w:r>
      <w:proofErr w:type="spellStart"/>
      <w:r w:rsidR="003117D0" w:rsidRPr="000F2E32">
        <w:rPr>
          <w:rFonts w:ascii="new roman" w:hAnsi="new roman" w:cs="Segoe UI"/>
          <w:i/>
          <w:iCs/>
          <w:lang w:val="en-US"/>
        </w:rPr>
        <w:t>Pvt</w:t>
      </w:r>
      <w:proofErr w:type="spellEnd"/>
      <w:r w:rsidR="003117D0" w:rsidRPr="000F2E32">
        <w:rPr>
          <w:rFonts w:ascii="new roman" w:hAnsi="new roman" w:cs="Segoe UI"/>
          <w:i/>
          <w:iCs/>
          <w:lang w:val="en-US"/>
        </w:rPr>
        <w:t>) Ltd </w:t>
      </w:r>
      <w:r w:rsidR="003117D0" w:rsidRPr="000F2E32">
        <w:rPr>
          <w:rFonts w:ascii="new roman" w:hAnsi="new roman" w:cs="Segoe UI"/>
          <w:lang w:val="en-US"/>
        </w:rPr>
        <w:t>v </w:t>
      </w:r>
      <w:proofErr w:type="spellStart"/>
      <w:r w:rsidR="003117D0" w:rsidRPr="000F2E32">
        <w:rPr>
          <w:rFonts w:ascii="new roman" w:hAnsi="new roman" w:cs="Segoe UI"/>
          <w:i/>
          <w:iCs/>
          <w:lang w:val="en-US"/>
        </w:rPr>
        <w:t>Muzari</w:t>
      </w:r>
      <w:proofErr w:type="spellEnd"/>
      <w:r w:rsidR="003117D0" w:rsidRPr="000F2E32">
        <w:rPr>
          <w:rFonts w:ascii="new roman" w:hAnsi="new roman" w:cs="Segoe UI"/>
          <w:i/>
          <w:iCs/>
          <w:lang w:val="en-US"/>
        </w:rPr>
        <w:t> </w:t>
      </w:r>
      <w:r w:rsidR="003117D0" w:rsidRPr="000F2E32">
        <w:rPr>
          <w:rFonts w:ascii="new roman" w:hAnsi="new roman" w:cs="Segoe UI"/>
          <w:lang w:val="en-US"/>
        </w:rPr>
        <w:t>2005 (1) ZLR (H) and </w:t>
      </w:r>
      <w:proofErr w:type="spellStart"/>
      <w:r w:rsidR="003117D0" w:rsidRPr="000F2E32">
        <w:rPr>
          <w:rFonts w:ascii="new roman" w:hAnsi="new roman" w:cs="Segoe UI"/>
          <w:i/>
          <w:iCs/>
          <w:lang w:val="en-US"/>
        </w:rPr>
        <w:t>Christimas</w:t>
      </w:r>
      <w:proofErr w:type="spellEnd"/>
      <w:r w:rsidR="003117D0" w:rsidRPr="000F2E32">
        <w:rPr>
          <w:rFonts w:ascii="new roman" w:hAnsi="new roman" w:cs="Segoe UI"/>
          <w:i/>
          <w:iCs/>
          <w:lang w:val="en-US"/>
        </w:rPr>
        <w:t xml:space="preserve"> </w:t>
      </w:r>
      <w:proofErr w:type="spellStart"/>
      <w:r w:rsidR="003117D0" w:rsidRPr="000F2E32">
        <w:rPr>
          <w:rFonts w:ascii="new roman" w:hAnsi="new roman" w:cs="Segoe UI"/>
          <w:i/>
          <w:iCs/>
          <w:lang w:val="en-US"/>
        </w:rPr>
        <w:t>Stutchburgh</w:t>
      </w:r>
      <w:proofErr w:type="spellEnd"/>
      <w:r w:rsidR="003117D0" w:rsidRPr="000F2E32">
        <w:rPr>
          <w:rFonts w:ascii="new roman" w:hAnsi="new roman" w:cs="Segoe UI"/>
          <w:i/>
          <w:iCs/>
          <w:lang w:val="en-US"/>
        </w:rPr>
        <w:t xml:space="preserve"> &amp; </w:t>
      </w:r>
      <w:proofErr w:type="spellStart"/>
      <w:r w:rsidR="003117D0" w:rsidRPr="000F2E32">
        <w:rPr>
          <w:rFonts w:ascii="new roman" w:hAnsi="new roman" w:cs="Segoe UI"/>
          <w:i/>
          <w:iCs/>
          <w:lang w:val="en-US"/>
        </w:rPr>
        <w:t>Anor</w:t>
      </w:r>
      <w:proofErr w:type="spellEnd"/>
      <w:r w:rsidR="003117D0" w:rsidRPr="000F2E32">
        <w:rPr>
          <w:rFonts w:ascii="new roman" w:hAnsi="new roman" w:cs="Segoe UI"/>
          <w:lang w:val="en-US"/>
        </w:rPr>
        <w:t> 1973 (1) RLR 279</w:t>
      </w:r>
      <w:r w:rsidR="003117D0">
        <w:rPr>
          <w:rFonts w:ascii="new roman" w:hAnsi="new roman" w:cs="Segoe UI"/>
          <w:lang w:val="en-US"/>
        </w:rPr>
        <w:t xml:space="preserve">, </w:t>
      </w:r>
      <w:r w:rsidR="00330E9E">
        <w:rPr>
          <w:rFonts w:ascii="new roman)" w:hAnsi="new roman)" w:cstheme="minorHAnsi"/>
        </w:rPr>
        <w:t>TAKUVA J, outlined the defendant’s defence in an application of this nature as follows;</w:t>
      </w:r>
    </w:p>
    <w:p w14:paraId="5890A463" w14:textId="77777777" w:rsidR="003117D0" w:rsidRPr="00FC5CF6" w:rsidRDefault="003117D0" w:rsidP="00711063">
      <w:pPr>
        <w:pStyle w:val="western"/>
        <w:shd w:val="clear" w:color="auto" w:fill="FFFFFF"/>
        <w:spacing w:before="0" w:beforeAutospacing="0" w:after="158" w:afterAutospacing="0"/>
        <w:jc w:val="both"/>
        <w:rPr>
          <w:rFonts w:ascii="new roman" w:hAnsi="new roman" w:cs="Segoe UI"/>
          <w:sz w:val="22"/>
          <w:szCs w:val="22"/>
        </w:rPr>
      </w:pPr>
      <w:r>
        <w:rPr>
          <w:rFonts w:ascii="new roman" w:hAnsi="new roman" w:cs="Segoe UI"/>
          <w:color w:val="212529"/>
          <w:sz w:val="22"/>
          <w:szCs w:val="22"/>
          <w:lang w:val="en-US"/>
        </w:rPr>
        <w:t>“</w:t>
      </w:r>
      <w:r w:rsidRPr="00FC5CF6">
        <w:rPr>
          <w:rFonts w:ascii="new roman" w:hAnsi="new roman" w:cs="Segoe UI"/>
          <w:sz w:val="22"/>
          <w:szCs w:val="22"/>
          <w:lang w:val="en-US"/>
        </w:rPr>
        <w:t>According to these cases, the entire defendant has to establish in order to succeed in having an application for summary judgment dismissed is that;</w:t>
      </w:r>
    </w:p>
    <w:p w14:paraId="3FFF56C3" w14:textId="77777777" w:rsidR="003117D0" w:rsidRPr="00FC5CF6" w:rsidRDefault="003117D0" w:rsidP="00711063">
      <w:pPr>
        <w:pStyle w:val="western"/>
        <w:shd w:val="clear" w:color="auto" w:fill="FFFFFF"/>
        <w:spacing w:before="0" w:beforeAutospacing="0" w:after="0" w:afterAutospacing="0"/>
        <w:jc w:val="both"/>
        <w:rPr>
          <w:rFonts w:ascii="new roman" w:hAnsi="new roman" w:cs="Segoe UI"/>
          <w:sz w:val="22"/>
          <w:szCs w:val="22"/>
        </w:rPr>
      </w:pPr>
      <w:r w:rsidRPr="00FC5CF6">
        <w:rPr>
          <w:rFonts w:ascii="new roman" w:hAnsi="new roman" w:cs="Segoe UI"/>
          <w:sz w:val="22"/>
          <w:szCs w:val="22"/>
          <w:lang w:val="en-US"/>
        </w:rPr>
        <w:t>(a) There is a mere possibility of success.</w:t>
      </w:r>
    </w:p>
    <w:p w14:paraId="41B046CA" w14:textId="77777777" w:rsidR="003117D0" w:rsidRPr="00FC5CF6" w:rsidRDefault="003117D0" w:rsidP="00711063">
      <w:pPr>
        <w:pStyle w:val="western"/>
        <w:shd w:val="clear" w:color="auto" w:fill="FFFFFF"/>
        <w:spacing w:before="0" w:beforeAutospacing="0" w:after="0" w:afterAutospacing="0"/>
        <w:jc w:val="both"/>
        <w:rPr>
          <w:rFonts w:ascii="new roman" w:hAnsi="new roman" w:cs="Segoe UI"/>
          <w:sz w:val="22"/>
          <w:szCs w:val="22"/>
        </w:rPr>
      </w:pPr>
      <w:r w:rsidRPr="00FC5CF6">
        <w:rPr>
          <w:rFonts w:ascii="new roman" w:hAnsi="new roman" w:cs="Segoe UI"/>
          <w:sz w:val="22"/>
          <w:szCs w:val="22"/>
          <w:lang w:val="en-US"/>
        </w:rPr>
        <w:t>(b) Respondent has a plausible case</w:t>
      </w:r>
    </w:p>
    <w:p w14:paraId="229885F5" w14:textId="77777777" w:rsidR="003117D0" w:rsidRPr="00FC5CF6" w:rsidRDefault="003117D0" w:rsidP="00711063">
      <w:pPr>
        <w:pStyle w:val="western"/>
        <w:shd w:val="clear" w:color="auto" w:fill="FFFFFF"/>
        <w:spacing w:before="0" w:beforeAutospacing="0" w:after="0" w:afterAutospacing="0"/>
        <w:jc w:val="both"/>
        <w:rPr>
          <w:rFonts w:ascii="new roman" w:hAnsi="new roman" w:cs="Segoe UI"/>
          <w:sz w:val="22"/>
          <w:szCs w:val="22"/>
        </w:rPr>
      </w:pPr>
      <w:r w:rsidRPr="00FC5CF6">
        <w:rPr>
          <w:rFonts w:ascii="new roman" w:hAnsi="new roman" w:cs="Segoe UI"/>
          <w:sz w:val="22"/>
          <w:szCs w:val="22"/>
          <w:lang w:val="en-US"/>
        </w:rPr>
        <w:t>(c) There is a triable issue</w:t>
      </w:r>
    </w:p>
    <w:p w14:paraId="5057C1EC" w14:textId="77777777" w:rsidR="003117D0" w:rsidRPr="009B0D72" w:rsidRDefault="003117D0" w:rsidP="00711063">
      <w:pPr>
        <w:pStyle w:val="western"/>
        <w:shd w:val="clear" w:color="auto" w:fill="FFFFFF"/>
        <w:spacing w:before="0" w:beforeAutospacing="0" w:after="0" w:afterAutospacing="0"/>
        <w:jc w:val="both"/>
        <w:rPr>
          <w:rFonts w:ascii="new roman" w:hAnsi="new roman" w:cs="Segoe UI"/>
          <w:color w:val="212529"/>
          <w:sz w:val="22"/>
          <w:szCs w:val="22"/>
        </w:rPr>
      </w:pPr>
      <w:r w:rsidRPr="00FC5CF6">
        <w:rPr>
          <w:rFonts w:ascii="new roman" w:hAnsi="new roman" w:cs="Segoe UI"/>
          <w:sz w:val="22"/>
          <w:szCs w:val="22"/>
          <w:lang w:val="en-US"/>
        </w:rPr>
        <w:t xml:space="preserve">(d) There is a reasonable possibility that an injustice may be done </w:t>
      </w:r>
      <w:r w:rsidRPr="009B0D72">
        <w:rPr>
          <w:rFonts w:ascii="new roman" w:hAnsi="new roman" w:cs="Segoe UI"/>
          <w:color w:val="212529"/>
          <w:sz w:val="22"/>
          <w:szCs w:val="22"/>
          <w:lang w:val="en-US"/>
        </w:rPr>
        <w:t>if summary judgment is granted.”</w:t>
      </w:r>
    </w:p>
    <w:p w14:paraId="51B7643C" w14:textId="77777777" w:rsidR="00540B48" w:rsidRDefault="00540B48" w:rsidP="00711063">
      <w:pPr>
        <w:spacing w:after="0" w:line="240" w:lineRule="auto"/>
        <w:jc w:val="both"/>
        <w:rPr>
          <w:rFonts w:ascii="Times New Roman" w:hAnsi="Times New Roman" w:cs="Times New Roman"/>
          <w:sz w:val="24"/>
          <w:szCs w:val="24"/>
        </w:rPr>
      </w:pPr>
    </w:p>
    <w:p w14:paraId="038D220D" w14:textId="70BE745D" w:rsidR="00571E4F" w:rsidRDefault="00330E9E" w:rsidP="00711063">
      <w:pPr>
        <w:spacing w:line="360" w:lineRule="auto"/>
        <w:ind w:firstLine="720"/>
        <w:jc w:val="both"/>
        <w:rPr>
          <w:rFonts w:ascii="new roman)" w:hAnsi="new roman)" w:cstheme="minorHAnsi"/>
          <w:sz w:val="24"/>
          <w:szCs w:val="24"/>
        </w:rPr>
      </w:pPr>
      <w:r w:rsidRPr="00B24737">
        <w:rPr>
          <w:rFonts w:ascii="new roman" w:hAnsi="new roman" w:cs="Segoe UI"/>
          <w:sz w:val="24"/>
          <w:szCs w:val="24"/>
          <w:lang w:val="en-US"/>
        </w:rPr>
        <w:t>[2</w:t>
      </w:r>
      <w:r w:rsidR="00460687">
        <w:rPr>
          <w:rFonts w:ascii="new roman" w:hAnsi="new roman" w:cs="Segoe UI"/>
          <w:sz w:val="24"/>
          <w:szCs w:val="24"/>
          <w:lang w:val="en-US"/>
        </w:rPr>
        <w:t>4</w:t>
      </w:r>
      <w:r w:rsidRPr="00B24737">
        <w:rPr>
          <w:rFonts w:ascii="new roman" w:hAnsi="new roman" w:cs="Segoe UI"/>
          <w:sz w:val="24"/>
          <w:szCs w:val="24"/>
          <w:lang w:val="en-US"/>
        </w:rPr>
        <w:t>]</w:t>
      </w:r>
      <w:r>
        <w:rPr>
          <w:rFonts w:ascii="new roman" w:hAnsi="new roman" w:cs="Segoe UI"/>
          <w:lang w:val="en-US"/>
        </w:rPr>
        <w:t xml:space="preserve"> </w:t>
      </w:r>
      <w:r w:rsidR="003117D0">
        <w:rPr>
          <w:rFonts w:ascii="new roman)" w:hAnsi="new roman)" w:cstheme="minorHAnsi"/>
          <w:sz w:val="24"/>
          <w:szCs w:val="24"/>
        </w:rPr>
        <w:t xml:space="preserve">In </w:t>
      </w:r>
      <w:proofErr w:type="spellStart"/>
      <w:r w:rsidR="003117D0" w:rsidRPr="00730C97">
        <w:rPr>
          <w:rFonts w:ascii="new roman)" w:hAnsi="new roman)" w:cstheme="minorHAnsi"/>
          <w:i/>
          <w:sz w:val="24"/>
          <w:szCs w:val="24"/>
        </w:rPr>
        <w:t>casu</w:t>
      </w:r>
      <w:proofErr w:type="spellEnd"/>
      <w:r w:rsidR="003117D0">
        <w:rPr>
          <w:rFonts w:ascii="new roman)" w:hAnsi="new roman)" w:cstheme="minorHAnsi"/>
          <w:sz w:val="24"/>
          <w:szCs w:val="24"/>
        </w:rPr>
        <w:t>, as</w:t>
      </w:r>
      <w:r w:rsidR="00540B48">
        <w:rPr>
          <w:rFonts w:ascii="new roman)" w:hAnsi="new roman)" w:cstheme="minorHAnsi"/>
          <w:sz w:val="24"/>
          <w:szCs w:val="24"/>
        </w:rPr>
        <w:t xml:space="preserve"> argued</w:t>
      </w:r>
      <w:r w:rsidR="00681D91">
        <w:rPr>
          <w:rFonts w:ascii="new roman)" w:hAnsi="new roman)" w:cstheme="minorHAnsi"/>
          <w:sz w:val="24"/>
          <w:szCs w:val="24"/>
        </w:rPr>
        <w:t xml:space="preserve"> by the applicant, there is indeed</w:t>
      </w:r>
      <w:r w:rsidR="00571E4F">
        <w:rPr>
          <w:rFonts w:ascii="new roman)" w:hAnsi="new roman)" w:cstheme="minorHAnsi"/>
          <w:sz w:val="24"/>
          <w:szCs w:val="24"/>
        </w:rPr>
        <w:t>, before the court,</w:t>
      </w:r>
      <w:r w:rsidR="00681D91">
        <w:rPr>
          <w:rFonts w:ascii="new roman)" w:hAnsi="new roman)" w:cstheme="minorHAnsi"/>
          <w:sz w:val="24"/>
          <w:szCs w:val="24"/>
        </w:rPr>
        <w:t xml:space="preserve"> an agreement of sale entered into by the parties </w:t>
      </w:r>
      <w:r w:rsidR="0070798E">
        <w:rPr>
          <w:rFonts w:ascii="new roman)" w:hAnsi="new roman)" w:cstheme="minorHAnsi"/>
          <w:sz w:val="24"/>
          <w:szCs w:val="24"/>
        </w:rPr>
        <w:t>dated the 24</w:t>
      </w:r>
      <w:r w:rsidR="0070798E" w:rsidRPr="0070798E">
        <w:rPr>
          <w:rFonts w:ascii="new roman)" w:hAnsi="new roman)" w:cstheme="minorHAnsi"/>
          <w:sz w:val="24"/>
          <w:szCs w:val="24"/>
          <w:vertAlign w:val="superscript"/>
        </w:rPr>
        <w:t>th</w:t>
      </w:r>
      <w:r w:rsidR="00640891">
        <w:rPr>
          <w:rFonts w:ascii="new roman)" w:hAnsi="new roman)" w:cstheme="minorHAnsi"/>
          <w:sz w:val="24"/>
          <w:szCs w:val="24"/>
        </w:rPr>
        <w:t xml:space="preserve"> of February 2023</w:t>
      </w:r>
      <w:r w:rsidR="0070798E">
        <w:rPr>
          <w:rFonts w:ascii="new roman)" w:hAnsi="new roman)" w:cstheme="minorHAnsi"/>
          <w:sz w:val="24"/>
          <w:szCs w:val="24"/>
        </w:rPr>
        <w:t>,</w:t>
      </w:r>
      <w:r w:rsidR="00681D91">
        <w:rPr>
          <w:rFonts w:ascii="new roman)" w:hAnsi="new roman)" w:cstheme="minorHAnsi"/>
          <w:sz w:val="24"/>
          <w:szCs w:val="24"/>
        </w:rPr>
        <w:t xml:space="preserve"> over the said property. Contrary to the argument by Mr </w:t>
      </w:r>
      <w:proofErr w:type="spellStart"/>
      <w:r w:rsidR="00681D91" w:rsidRPr="00571E4F">
        <w:rPr>
          <w:rFonts w:ascii="new roman)" w:hAnsi="new roman)" w:cstheme="minorHAnsi"/>
          <w:i/>
          <w:sz w:val="24"/>
          <w:szCs w:val="24"/>
        </w:rPr>
        <w:t>Nhemwa</w:t>
      </w:r>
      <w:proofErr w:type="spellEnd"/>
      <w:r w:rsidR="00681D91">
        <w:rPr>
          <w:rFonts w:ascii="new roman)" w:hAnsi="new roman)" w:cstheme="minorHAnsi"/>
          <w:sz w:val="24"/>
          <w:szCs w:val="24"/>
        </w:rPr>
        <w:t>, for the first respondent,</w:t>
      </w:r>
      <w:r w:rsidR="003117D0">
        <w:rPr>
          <w:rFonts w:ascii="new roman)" w:hAnsi="new roman)" w:cstheme="minorHAnsi"/>
          <w:sz w:val="24"/>
          <w:szCs w:val="24"/>
        </w:rPr>
        <w:t xml:space="preserve"> as already noted,</w:t>
      </w:r>
      <w:r w:rsidR="00681D91">
        <w:rPr>
          <w:rFonts w:ascii="new roman)" w:hAnsi="new roman)" w:cstheme="minorHAnsi"/>
          <w:sz w:val="24"/>
          <w:szCs w:val="24"/>
        </w:rPr>
        <w:t xml:space="preserve"> all the essential elements of an agreement of sale are well spelt out</w:t>
      </w:r>
      <w:r w:rsidR="00681D91">
        <w:rPr>
          <w:rStyle w:val="FootnoteReference"/>
          <w:rFonts w:ascii="new roman)" w:hAnsi="new roman)" w:cstheme="minorHAnsi"/>
          <w:sz w:val="24"/>
          <w:szCs w:val="24"/>
        </w:rPr>
        <w:footnoteReference w:id="7"/>
      </w:r>
      <w:r w:rsidR="00681D91">
        <w:rPr>
          <w:rFonts w:ascii="new roman)" w:hAnsi="new roman)" w:cstheme="minorHAnsi"/>
          <w:sz w:val="24"/>
          <w:szCs w:val="24"/>
        </w:rPr>
        <w:t xml:space="preserve">. There is the description of the </w:t>
      </w:r>
      <w:proofErr w:type="spellStart"/>
      <w:r w:rsidR="00681D91" w:rsidRPr="00571E4F">
        <w:rPr>
          <w:rFonts w:ascii="new roman)" w:hAnsi="new roman)" w:cstheme="minorHAnsi"/>
          <w:i/>
          <w:sz w:val="24"/>
          <w:szCs w:val="24"/>
        </w:rPr>
        <w:t>merx</w:t>
      </w:r>
      <w:proofErr w:type="spellEnd"/>
      <w:r w:rsidR="00681D91" w:rsidRPr="00571E4F">
        <w:rPr>
          <w:rFonts w:ascii="new roman)" w:hAnsi="new roman)" w:cstheme="minorHAnsi"/>
          <w:i/>
          <w:sz w:val="24"/>
          <w:szCs w:val="24"/>
        </w:rPr>
        <w:t>,</w:t>
      </w:r>
      <w:r w:rsidR="00681D91">
        <w:rPr>
          <w:rFonts w:ascii="new roman)" w:hAnsi="new roman)" w:cstheme="minorHAnsi"/>
          <w:sz w:val="24"/>
          <w:szCs w:val="24"/>
        </w:rPr>
        <w:t xml:space="preserve"> the</w:t>
      </w:r>
      <w:r w:rsidR="00681D91" w:rsidRPr="00571E4F">
        <w:rPr>
          <w:rFonts w:ascii="new roman)" w:hAnsi="new roman)" w:cstheme="minorHAnsi"/>
          <w:i/>
          <w:sz w:val="24"/>
          <w:szCs w:val="24"/>
        </w:rPr>
        <w:t xml:space="preserve"> </w:t>
      </w:r>
      <w:proofErr w:type="spellStart"/>
      <w:r w:rsidR="00681D91" w:rsidRPr="00571E4F">
        <w:rPr>
          <w:rFonts w:ascii="new roman)" w:hAnsi="new roman)" w:cstheme="minorHAnsi"/>
          <w:i/>
          <w:sz w:val="24"/>
          <w:szCs w:val="24"/>
        </w:rPr>
        <w:t>pretium</w:t>
      </w:r>
      <w:proofErr w:type="spellEnd"/>
      <w:r w:rsidR="00681D91">
        <w:rPr>
          <w:rFonts w:ascii="new roman)" w:hAnsi="new roman)" w:cstheme="minorHAnsi"/>
          <w:sz w:val="24"/>
          <w:szCs w:val="24"/>
        </w:rPr>
        <w:t xml:space="preserve">, or purchase price and most but not all of the essential clause </w:t>
      </w:r>
      <w:r w:rsidR="00571E4F">
        <w:rPr>
          <w:rFonts w:ascii="new roman)" w:hAnsi="new roman)" w:cstheme="minorHAnsi"/>
          <w:sz w:val="24"/>
          <w:szCs w:val="24"/>
        </w:rPr>
        <w:t>synonymous</w:t>
      </w:r>
      <w:r w:rsidR="00681D91">
        <w:rPr>
          <w:rFonts w:ascii="new roman)" w:hAnsi="new roman)" w:cstheme="minorHAnsi"/>
          <w:sz w:val="24"/>
          <w:szCs w:val="24"/>
        </w:rPr>
        <w:t xml:space="preserve"> to such agreements. The signing formalities and the handing over of the title deeds alongside other related documents all point to well concluded agreement of sale. </w:t>
      </w:r>
      <w:r w:rsidR="00571E4F">
        <w:rPr>
          <w:rFonts w:ascii="new roman)" w:hAnsi="new roman)" w:cstheme="minorHAnsi"/>
          <w:sz w:val="24"/>
          <w:szCs w:val="24"/>
        </w:rPr>
        <w:t>The failure to include the conveyancing and vacant possession clauses as a standalone is cured by</w:t>
      </w:r>
      <w:r w:rsidR="00AD2A05">
        <w:rPr>
          <w:rFonts w:ascii="new roman)" w:hAnsi="new roman)" w:cstheme="minorHAnsi"/>
          <w:sz w:val="24"/>
          <w:szCs w:val="24"/>
        </w:rPr>
        <w:t xml:space="preserve"> the clause which mentions both</w:t>
      </w:r>
      <w:r w:rsidR="00571E4F">
        <w:rPr>
          <w:rFonts w:ascii="new roman)" w:hAnsi="new roman)" w:cstheme="minorHAnsi"/>
          <w:sz w:val="24"/>
          <w:szCs w:val="24"/>
        </w:rPr>
        <w:t xml:space="preserve"> but in less</w:t>
      </w:r>
      <w:r w:rsidR="003F7009">
        <w:rPr>
          <w:rFonts w:ascii="new roman)" w:hAnsi="new roman)" w:cstheme="minorHAnsi"/>
          <w:sz w:val="24"/>
          <w:szCs w:val="24"/>
        </w:rPr>
        <w:t>er</w:t>
      </w:r>
      <w:r w:rsidR="00571E4F">
        <w:rPr>
          <w:rFonts w:ascii="new roman)" w:hAnsi="new roman)" w:cstheme="minorHAnsi"/>
          <w:sz w:val="24"/>
          <w:szCs w:val="24"/>
        </w:rPr>
        <w:t xml:space="preserve"> detail.</w:t>
      </w:r>
      <w:r w:rsidR="00681D91">
        <w:rPr>
          <w:rFonts w:ascii="new roman)" w:hAnsi="new roman)" w:cstheme="minorHAnsi"/>
          <w:sz w:val="24"/>
          <w:szCs w:val="24"/>
        </w:rPr>
        <w:t xml:space="preserve"> </w:t>
      </w:r>
      <w:r w:rsidR="00571E4F">
        <w:rPr>
          <w:rFonts w:ascii="new roman)" w:hAnsi="new roman)" w:cstheme="minorHAnsi"/>
          <w:sz w:val="24"/>
          <w:szCs w:val="24"/>
        </w:rPr>
        <w:t>As it appears the</w:t>
      </w:r>
      <w:r w:rsidR="00681D91">
        <w:rPr>
          <w:rFonts w:ascii="new roman)" w:hAnsi="new roman)" w:cstheme="minorHAnsi"/>
          <w:sz w:val="24"/>
          <w:szCs w:val="24"/>
        </w:rPr>
        <w:t xml:space="preserve"> form of </w:t>
      </w:r>
      <w:r w:rsidR="00094F25">
        <w:rPr>
          <w:rFonts w:ascii="new roman)" w:hAnsi="new roman)" w:cstheme="minorHAnsi"/>
          <w:sz w:val="24"/>
          <w:szCs w:val="24"/>
        </w:rPr>
        <w:t>the agreement cannot be faulted</w:t>
      </w:r>
      <w:r w:rsidR="00571E4F">
        <w:rPr>
          <w:rFonts w:ascii="new roman)" w:hAnsi="new roman)" w:cstheme="minorHAnsi"/>
          <w:sz w:val="24"/>
          <w:szCs w:val="24"/>
        </w:rPr>
        <w:t>.</w:t>
      </w:r>
    </w:p>
    <w:p w14:paraId="585FEE70" w14:textId="2DE58266" w:rsidR="00860E32" w:rsidRDefault="00330E9E" w:rsidP="00711063">
      <w:pPr>
        <w:spacing w:line="360" w:lineRule="auto"/>
        <w:ind w:firstLine="720"/>
        <w:jc w:val="both"/>
        <w:rPr>
          <w:rFonts w:ascii="new roman)" w:hAnsi="new roman)" w:cstheme="minorHAnsi"/>
          <w:sz w:val="24"/>
          <w:szCs w:val="24"/>
        </w:rPr>
      </w:pPr>
      <w:r>
        <w:rPr>
          <w:rFonts w:ascii="new roman)" w:hAnsi="new roman)" w:cstheme="minorHAnsi"/>
          <w:sz w:val="24"/>
          <w:szCs w:val="24"/>
        </w:rPr>
        <w:t>[2</w:t>
      </w:r>
      <w:r w:rsidR="00460687">
        <w:rPr>
          <w:rFonts w:ascii="new roman)" w:hAnsi="new roman)" w:cstheme="minorHAnsi"/>
          <w:sz w:val="24"/>
          <w:szCs w:val="24"/>
        </w:rPr>
        <w:t>5</w:t>
      </w:r>
      <w:r>
        <w:rPr>
          <w:rFonts w:ascii="new roman)" w:hAnsi="new roman)" w:cstheme="minorHAnsi"/>
          <w:sz w:val="24"/>
          <w:szCs w:val="24"/>
        </w:rPr>
        <w:t xml:space="preserve">] </w:t>
      </w:r>
      <w:r w:rsidR="00640891">
        <w:rPr>
          <w:rFonts w:ascii="new roman)" w:hAnsi="new roman)" w:cstheme="minorHAnsi"/>
          <w:sz w:val="24"/>
          <w:szCs w:val="24"/>
        </w:rPr>
        <w:t xml:space="preserve">In addition, the first respondent did not proffer reasons </w:t>
      </w:r>
      <w:r w:rsidR="00244F91">
        <w:rPr>
          <w:rFonts w:ascii="new roman)" w:hAnsi="new roman)" w:cstheme="minorHAnsi"/>
          <w:sz w:val="24"/>
          <w:szCs w:val="24"/>
        </w:rPr>
        <w:t xml:space="preserve">as </w:t>
      </w:r>
      <w:proofErr w:type="spellStart"/>
      <w:r w:rsidR="00244F91">
        <w:rPr>
          <w:rFonts w:ascii="new roman)" w:hAnsi="new roman)" w:cstheme="minorHAnsi"/>
          <w:sz w:val="24"/>
          <w:szCs w:val="24"/>
        </w:rPr>
        <w:t>to</w:t>
      </w:r>
      <w:r w:rsidR="00640891">
        <w:rPr>
          <w:rFonts w:ascii="new roman)" w:hAnsi="new roman)" w:cstheme="minorHAnsi"/>
          <w:sz w:val="24"/>
          <w:szCs w:val="24"/>
        </w:rPr>
        <w:t>why</w:t>
      </w:r>
      <w:proofErr w:type="spellEnd"/>
      <w:r w:rsidR="00640891">
        <w:rPr>
          <w:rFonts w:ascii="new roman)" w:hAnsi="new roman)" w:cstheme="minorHAnsi"/>
          <w:sz w:val="24"/>
          <w:szCs w:val="24"/>
        </w:rPr>
        <w:t xml:space="preserve"> h</w:t>
      </w:r>
      <w:r w:rsidR="00AD2A05">
        <w:rPr>
          <w:rFonts w:ascii="new roman)" w:hAnsi="new roman)" w:cstheme="minorHAnsi"/>
          <w:sz w:val="24"/>
          <w:szCs w:val="24"/>
        </w:rPr>
        <w:t>e did not file a plea a month after</w:t>
      </w:r>
      <w:r w:rsidR="00640891">
        <w:rPr>
          <w:rFonts w:ascii="new roman)" w:hAnsi="new roman)" w:cstheme="minorHAnsi"/>
          <w:sz w:val="24"/>
          <w:szCs w:val="24"/>
        </w:rPr>
        <w:t xml:space="preserve"> the issuance of summons. Further, he failed to establish the link between the usurious loan claimed to have been advanced in February 2024 to the acknowledgment of debt he signed in September 2024. All </w:t>
      </w:r>
      <w:r w:rsidR="00730C97">
        <w:rPr>
          <w:rFonts w:ascii="new roman)" w:hAnsi="new roman)" w:cstheme="minorHAnsi"/>
          <w:sz w:val="24"/>
          <w:szCs w:val="24"/>
        </w:rPr>
        <w:t xml:space="preserve">what </w:t>
      </w:r>
      <w:r w:rsidR="00640891">
        <w:rPr>
          <w:rFonts w:ascii="new roman)" w:hAnsi="new roman)" w:cstheme="minorHAnsi"/>
          <w:sz w:val="24"/>
          <w:szCs w:val="24"/>
        </w:rPr>
        <w:t>the first resp</w:t>
      </w:r>
      <w:r w:rsidR="00AD2A05">
        <w:rPr>
          <w:rFonts w:ascii="new roman)" w:hAnsi="new roman)" w:cstheme="minorHAnsi"/>
          <w:sz w:val="24"/>
          <w:szCs w:val="24"/>
        </w:rPr>
        <w:t xml:space="preserve">ondent sought to rely on is a </w:t>
      </w:r>
      <w:r w:rsidR="00640891">
        <w:rPr>
          <w:rFonts w:ascii="new roman)" w:hAnsi="new roman)" w:cstheme="minorHAnsi"/>
          <w:sz w:val="24"/>
          <w:szCs w:val="24"/>
        </w:rPr>
        <w:t>valuation report compiled in July 2024 well after the summons had been is</w:t>
      </w:r>
      <w:r w:rsidR="00AD2A05">
        <w:rPr>
          <w:rFonts w:ascii="new roman)" w:hAnsi="new roman)" w:cstheme="minorHAnsi"/>
          <w:sz w:val="24"/>
          <w:szCs w:val="24"/>
        </w:rPr>
        <w:t>sued.</w:t>
      </w:r>
      <w:r w:rsidR="00AD2A05">
        <w:rPr>
          <w:rFonts w:ascii="new roman)" w:hAnsi="new roman)" w:cstheme="minorHAnsi"/>
          <w:sz w:val="24"/>
          <w:szCs w:val="24"/>
          <w:u w:val="single"/>
        </w:rPr>
        <w:t xml:space="preserve"> </w:t>
      </w:r>
    </w:p>
    <w:p w14:paraId="734B34D9" w14:textId="6B87DEB4" w:rsidR="00D93CE4" w:rsidRPr="009B0D72" w:rsidRDefault="00330E9E" w:rsidP="00711063">
      <w:pPr>
        <w:spacing w:line="360" w:lineRule="auto"/>
        <w:ind w:firstLine="720"/>
        <w:jc w:val="both"/>
        <w:rPr>
          <w:rFonts w:ascii="new roman" w:hAnsi="new roman" w:cs="Segoe UI"/>
          <w:color w:val="212529"/>
        </w:rPr>
      </w:pPr>
      <w:r>
        <w:rPr>
          <w:rFonts w:ascii="new roman)" w:hAnsi="new roman)" w:cstheme="minorHAnsi"/>
          <w:sz w:val="24"/>
          <w:szCs w:val="24"/>
        </w:rPr>
        <w:t>[2</w:t>
      </w:r>
      <w:r w:rsidR="00460687">
        <w:rPr>
          <w:rFonts w:ascii="new roman)" w:hAnsi="new roman)" w:cstheme="minorHAnsi"/>
          <w:sz w:val="24"/>
          <w:szCs w:val="24"/>
        </w:rPr>
        <w:t>6</w:t>
      </w:r>
      <w:r>
        <w:rPr>
          <w:rFonts w:ascii="new roman)" w:hAnsi="new roman)" w:cstheme="minorHAnsi"/>
          <w:sz w:val="24"/>
          <w:szCs w:val="24"/>
        </w:rPr>
        <w:t xml:space="preserve">] </w:t>
      </w:r>
      <w:r w:rsidR="000B7F61">
        <w:rPr>
          <w:rFonts w:ascii="new roman)" w:hAnsi="new roman)" w:cstheme="minorHAnsi"/>
          <w:sz w:val="24"/>
          <w:szCs w:val="24"/>
        </w:rPr>
        <w:t>Whilst the form cannot be questioned, it is the s</w:t>
      </w:r>
      <w:r w:rsidR="00696636">
        <w:rPr>
          <w:rFonts w:ascii="new roman)" w:hAnsi="new roman)" w:cstheme="minorHAnsi"/>
          <w:sz w:val="24"/>
          <w:szCs w:val="24"/>
        </w:rPr>
        <w:t>ubstance that is in issue</w:t>
      </w:r>
      <w:r w:rsidR="000B7F61">
        <w:rPr>
          <w:rFonts w:ascii="new roman)" w:hAnsi="new roman)" w:cstheme="minorHAnsi"/>
          <w:sz w:val="24"/>
          <w:szCs w:val="24"/>
        </w:rPr>
        <w:t>. This is the whole concept behind simulated contracts. Courts do not simply endorse or rubber</w:t>
      </w:r>
      <w:r w:rsidR="006F1E5A">
        <w:rPr>
          <w:rFonts w:ascii="new roman)" w:hAnsi="new roman)" w:cstheme="minorHAnsi"/>
          <w:sz w:val="24"/>
          <w:szCs w:val="24"/>
        </w:rPr>
        <w:t>-</w:t>
      </w:r>
      <w:r w:rsidR="000B7F61">
        <w:rPr>
          <w:rFonts w:ascii="new roman)" w:hAnsi="new roman)" w:cstheme="minorHAnsi"/>
          <w:sz w:val="24"/>
          <w:szCs w:val="24"/>
        </w:rPr>
        <w:t xml:space="preserve"> stamp such contracts. They penetrate </w:t>
      </w:r>
      <w:r w:rsidR="006F1E5A">
        <w:rPr>
          <w:rFonts w:ascii="new roman)" w:hAnsi="new roman)" w:cstheme="minorHAnsi"/>
          <w:sz w:val="24"/>
          <w:szCs w:val="24"/>
        </w:rPr>
        <w:t xml:space="preserve">or pierce </w:t>
      </w:r>
      <w:r w:rsidR="000B7F61">
        <w:rPr>
          <w:rFonts w:ascii="new roman)" w:hAnsi="new roman)" w:cstheme="minorHAnsi"/>
          <w:sz w:val="24"/>
          <w:szCs w:val="24"/>
        </w:rPr>
        <w:t>the corporate veil in order</w:t>
      </w:r>
      <w:r w:rsidR="005D3B8E">
        <w:rPr>
          <w:rFonts w:ascii="new roman)" w:hAnsi="new roman)" w:cstheme="minorHAnsi"/>
          <w:sz w:val="24"/>
          <w:szCs w:val="24"/>
        </w:rPr>
        <w:t xml:space="preserve"> </w:t>
      </w:r>
      <w:r w:rsidR="000B7F61">
        <w:rPr>
          <w:rFonts w:ascii="new roman)" w:hAnsi="new roman)" w:cstheme="minorHAnsi"/>
          <w:sz w:val="24"/>
          <w:szCs w:val="24"/>
        </w:rPr>
        <w:t>to perceive the true intentions of the parties.</w:t>
      </w:r>
      <w:r w:rsidR="005D3B8E">
        <w:rPr>
          <w:rFonts w:ascii="new roman)" w:hAnsi="new roman)" w:cstheme="minorHAnsi"/>
          <w:sz w:val="24"/>
          <w:szCs w:val="24"/>
        </w:rPr>
        <w:t xml:space="preserve"> They look at the substance not the form</w:t>
      </w:r>
      <w:r w:rsidR="006F1E5A">
        <w:rPr>
          <w:rFonts w:ascii="new roman)" w:hAnsi="new roman)" w:cstheme="minorHAnsi"/>
          <w:sz w:val="24"/>
          <w:szCs w:val="24"/>
        </w:rPr>
        <w:t>.</w:t>
      </w:r>
      <w:r w:rsidR="000B7F61">
        <w:rPr>
          <w:rFonts w:ascii="new roman)" w:hAnsi="new roman)" w:cstheme="minorHAnsi"/>
          <w:sz w:val="24"/>
          <w:szCs w:val="24"/>
        </w:rPr>
        <w:t xml:space="preserve"> Courts a wary of money lending sharks, who enter in disguised contracts in order to circumvent the law. The</w:t>
      </w:r>
      <w:r w:rsidR="006F1E5A">
        <w:rPr>
          <w:rFonts w:ascii="new roman)" w:hAnsi="new roman)" w:cstheme="minorHAnsi"/>
          <w:sz w:val="24"/>
          <w:szCs w:val="24"/>
        </w:rPr>
        <w:t>se people</w:t>
      </w:r>
      <w:r w:rsidR="000B7F61">
        <w:rPr>
          <w:rFonts w:ascii="new roman)" w:hAnsi="new roman)" w:cstheme="minorHAnsi"/>
          <w:sz w:val="24"/>
          <w:szCs w:val="24"/>
        </w:rPr>
        <w:t xml:space="preserve"> </w:t>
      </w:r>
      <w:r w:rsidR="000B7F61">
        <w:rPr>
          <w:rFonts w:ascii="new roman)" w:hAnsi="new roman)" w:cstheme="minorHAnsi"/>
          <w:sz w:val="24"/>
          <w:szCs w:val="24"/>
        </w:rPr>
        <w:lastRenderedPageBreak/>
        <w:t xml:space="preserve">do not want to register their enterprises so that they legally mortgage properties as securities. </w:t>
      </w:r>
      <w:r w:rsidR="00094F25">
        <w:rPr>
          <w:rFonts w:ascii="new roman)" w:hAnsi="new roman)" w:cstheme="minorHAnsi"/>
          <w:sz w:val="24"/>
          <w:szCs w:val="24"/>
        </w:rPr>
        <w:t xml:space="preserve">See, </w:t>
      </w:r>
      <w:proofErr w:type="spellStart"/>
      <w:r w:rsidR="00094F25" w:rsidRPr="00094F25">
        <w:rPr>
          <w:rFonts w:ascii="new roman)" w:hAnsi="new roman)" w:cstheme="minorHAnsi"/>
          <w:i/>
          <w:sz w:val="24"/>
          <w:szCs w:val="24"/>
        </w:rPr>
        <w:t>Zangarai</w:t>
      </w:r>
      <w:proofErr w:type="spellEnd"/>
      <w:r w:rsidR="00094F25" w:rsidRPr="00094F25">
        <w:rPr>
          <w:rFonts w:ascii="new roman)" w:hAnsi="new roman)" w:cstheme="minorHAnsi"/>
          <w:i/>
          <w:sz w:val="24"/>
          <w:szCs w:val="24"/>
        </w:rPr>
        <w:t xml:space="preserve"> v Zimbabwe</w:t>
      </w:r>
      <w:r w:rsidR="00094F25">
        <w:rPr>
          <w:rFonts w:ascii="new roman)" w:hAnsi="new roman)" w:cstheme="minorHAnsi"/>
          <w:sz w:val="24"/>
          <w:szCs w:val="24"/>
        </w:rPr>
        <w:t xml:space="preserve"> </w:t>
      </w:r>
      <w:r w:rsidR="00094F25" w:rsidRPr="00094F25">
        <w:rPr>
          <w:rFonts w:ascii="new roman)" w:hAnsi="new roman)" w:cstheme="minorHAnsi"/>
          <w:i/>
          <w:sz w:val="24"/>
          <w:szCs w:val="24"/>
        </w:rPr>
        <w:t>Revenue Authority and Another</w:t>
      </w:r>
      <w:r w:rsidR="00094F25">
        <w:rPr>
          <w:rFonts w:ascii="new roman)" w:hAnsi="new roman)" w:cstheme="minorHAnsi"/>
          <w:sz w:val="24"/>
          <w:szCs w:val="24"/>
        </w:rPr>
        <w:t xml:space="preserve"> SC113/21, </w:t>
      </w:r>
      <w:proofErr w:type="spellStart"/>
      <w:r w:rsidR="00094F25" w:rsidRPr="00094F25">
        <w:rPr>
          <w:rFonts w:ascii="new roman)" w:hAnsi="new roman)" w:cstheme="minorHAnsi"/>
          <w:i/>
          <w:sz w:val="24"/>
          <w:szCs w:val="24"/>
        </w:rPr>
        <w:t>Silonda</w:t>
      </w:r>
      <w:proofErr w:type="spellEnd"/>
      <w:r w:rsidR="00094F25" w:rsidRPr="00094F25">
        <w:rPr>
          <w:rFonts w:ascii="new roman)" w:hAnsi="new roman)" w:cstheme="minorHAnsi"/>
          <w:i/>
          <w:sz w:val="24"/>
          <w:szCs w:val="24"/>
        </w:rPr>
        <w:t xml:space="preserve"> v </w:t>
      </w:r>
      <w:proofErr w:type="spellStart"/>
      <w:r w:rsidR="00094F25" w:rsidRPr="00094F25">
        <w:rPr>
          <w:rFonts w:ascii="new roman)" w:hAnsi="new roman)" w:cstheme="minorHAnsi"/>
          <w:i/>
          <w:sz w:val="24"/>
          <w:szCs w:val="24"/>
        </w:rPr>
        <w:t>Nkomo</w:t>
      </w:r>
      <w:proofErr w:type="spellEnd"/>
      <w:r w:rsidR="00094F25">
        <w:rPr>
          <w:rFonts w:ascii="new roman)" w:hAnsi="new roman)" w:cstheme="minorHAnsi"/>
          <w:sz w:val="24"/>
          <w:szCs w:val="24"/>
        </w:rPr>
        <w:t xml:space="preserve"> SC6/22.</w:t>
      </w:r>
    </w:p>
    <w:p w14:paraId="273753D5" w14:textId="63AB530A" w:rsidR="006F1E5A" w:rsidRDefault="001F39CF"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Pr>
          <w:rFonts w:ascii="new roman" w:hAnsi="new roman" w:cs="Segoe UI"/>
          <w:lang w:val="en-US"/>
        </w:rPr>
        <w:t>[2</w:t>
      </w:r>
      <w:r w:rsidR="00460687">
        <w:rPr>
          <w:rFonts w:ascii="new roman" w:hAnsi="new roman" w:cs="Segoe UI"/>
          <w:lang w:val="en-US"/>
        </w:rPr>
        <w:t>7</w:t>
      </w:r>
      <w:r>
        <w:rPr>
          <w:rFonts w:ascii="new roman" w:hAnsi="new roman" w:cs="Segoe UI"/>
          <w:lang w:val="en-US"/>
        </w:rPr>
        <w:t xml:space="preserve">] </w:t>
      </w:r>
      <w:r w:rsidR="00094F25">
        <w:rPr>
          <w:rFonts w:ascii="new roman" w:hAnsi="new roman" w:cs="Segoe UI"/>
          <w:lang w:val="en-US"/>
        </w:rPr>
        <w:t>I</w:t>
      </w:r>
      <w:r w:rsidR="005D3B8E">
        <w:rPr>
          <w:rFonts w:ascii="new roman" w:hAnsi="new roman" w:cs="Segoe UI"/>
          <w:lang w:val="en-US"/>
        </w:rPr>
        <w:t xml:space="preserve">n </w:t>
      </w:r>
      <w:r w:rsidR="005D3B8E" w:rsidRPr="00094F25">
        <w:rPr>
          <w:rFonts w:ascii="new roman" w:hAnsi="new roman" w:cs="Segoe UI"/>
          <w:i/>
          <w:lang w:val="en-US"/>
        </w:rPr>
        <w:t xml:space="preserve">Long Oak Ltd v </w:t>
      </w:r>
      <w:proofErr w:type="spellStart"/>
      <w:r w:rsidR="005D3B8E" w:rsidRPr="00094F25">
        <w:rPr>
          <w:rFonts w:ascii="new roman" w:hAnsi="new roman" w:cs="Segoe UI"/>
          <w:i/>
          <w:lang w:val="en-US"/>
        </w:rPr>
        <w:t>Edwork</w:t>
      </w:r>
      <w:proofErr w:type="spellEnd"/>
      <w:r w:rsidR="005D3B8E" w:rsidRPr="00094F25">
        <w:rPr>
          <w:rFonts w:ascii="new roman" w:hAnsi="new roman" w:cs="Segoe UI"/>
          <w:i/>
          <w:lang w:val="en-US"/>
        </w:rPr>
        <w:t xml:space="preserve"> (Pty) Ltd</w:t>
      </w:r>
      <w:r w:rsidR="005D3B8E">
        <w:rPr>
          <w:rFonts w:ascii="new roman" w:hAnsi="new roman" w:cs="Segoe UI"/>
          <w:lang w:val="en-US"/>
        </w:rPr>
        <w:t xml:space="preserve"> 1</w:t>
      </w:r>
      <w:r w:rsidR="006F1E5A">
        <w:rPr>
          <w:rFonts w:ascii="new roman" w:hAnsi="new roman" w:cs="Segoe UI"/>
          <w:lang w:val="en-US"/>
        </w:rPr>
        <w:t>994 (3) SA 370 (SE) at 375 -379,</w:t>
      </w:r>
      <w:r w:rsidR="005D3B8E">
        <w:rPr>
          <w:rFonts w:ascii="new roman" w:hAnsi="new roman" w:cs="Segoe UI"/>
          <w:lang w:val="en-US"/>
        </w:rPr>
        <w:t xml:space="preserve"> it was highlighted that, if parties make an agreement as a sham or </w:t>
      </w:r>
      <w:r>
        <w:rPr>
          <w:rFonts w:ascii="new roman" w:hAnsi="new roman" w:cs="Segoe UI"/>
          <w:lang w:val="en-US"/>
        </w:rPr>
        <w:t>pretense</w:t>
      </w:r>
      <w:r w:rsidR="005D3B8E">
        <w:rPr>
          <w:rFonts w:ascii="new roman" w:hAnsi="new roman" w:cs="Segoe UI"/>
          <w:lang w:val="en-US"/>
        </w:rPr>
        <w:t xml:space="preserve">, for instance, to mislead the fiscus, then they do not intend to create obligations and their simulated agreement is in valid. </w:t>
      </w:r>
    </w:p>
    <w:p w14:paraId="1097D48B" w14:textId="2E750BB0" w:rsidR="005D3B8E" w:rsidRDefault="00330E9E"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sidRPr="00330E9E">
        <w:rPr>
          <w:rFonts w:ascii="new roman" w:hAnsi="new roman" w:cs="Segoe UI"/>
          <w:lang w:val="en-US"/>
        </w:rPr>
        <w:t>[2</w:t>
      </w:r>
      <w:r w:rsidR="00460687">
        <w:rPr>
          <w:rFonts w:ascii="new roman" w:hAnsi="new roman" w:cs="Segoe UI"/>
          <w:lang w:val="en-US"/>
        </w:rPr>
        <w:t>8</w:t>
      </w:r>
      <w:r w:rsidRPr="00330E9E">
        <w:rPr>
          <w:rFonts w:ascii="new roman" w:hAnsi="new roman" w:cs="Segoe UI"/>
          <w:lang w:val="en-US"/>
        </w:rPr>
        <w:t>]</w:t>
      </w:r>
      <w:r>
        <w:rPr>
          <w:rFonts w:ascii="new roman" w:hAnsi="new roman" w:cs="Segoe UI"/>
          <w:i/>
          <w:lang w:val="en-US"/>
        </w:rPr>
        <w:t xml:space="preserve"> </w:t>
      </w:r>
      <w:proofErr w:type="spellStart"/>
      <w:r w:rsidR="005D3B8E" w:rsidRPr="00094F25">
        <w:rPr>
          <w:rFonts w:ascii="new roman" w:hAnsi="new roman" w:cs="Segoe UI"/>
          <w:i/>
          <w:lang w:val="en-US"/>
        </w:rPr>
        <w:t>Zandberg</w:t>
      </w:r>
      <w:proofErr w:type="spellEnd"/>
      <w:r w:rsidR="005D3B8E" w:rsidRPr="00094F25">
        <w:rPr>
          <w:rFonts w:ascii="new roman" w:hAnsi="new roman" w:cs="Segoe UI"/>
          <w:i/>
          <w:lang w:val="en-US"/>
        </w:rPr>
        <w:t xml:space="preserve"> v Van </w:t>
      </w:r>
      <w:proofErr w:type="spellStart"/>
      <w:r w:rsidR="005D3B8E" w:rsidRPr="00094F25">
        <w:rPr>
          <w:rFonts w:ascii="new roman" w:hAnsi="new roman" w:cs="Segoe UI"/>
          <w:i/>
          <w:lang w:val="en-US"/>
        </w:rPr>
        <w:t>Zyl</w:t>
      </w:r>
      <w:proofErr w:type="spellEnd"/>
      <w:r w:rsidR="005D3B8E" w:rsidRPr="00094F25">
        <w:rPr>
          <w:rFonts w:ascii="new roman" w:hAnsi="new roman" w:cs="Segoe UI"/>
          <w:i/>
          <w:lang w:val="en-US"/>
        </w:rPr>
        <w:t xml:space="preserve"> </w:t>
      </w:r>
      <w:r w:rsidR="00094F25">
        <w:rPr>
          <w:rFonts w:ascii="new roman" w:hAnsi="new roman" w:cs="Segoe UI"/>
          <w:lang w:val="en-US"/>
        </w:rPr>
        <w:t>1910 Ad 302,</w:t>
      </w:r>
      <w:r w:rsidR="00B24737">
        <w:rPr>
          <w:rFonts w:ascii="new roman" w:hAnsi="new roman" w:cs="Segoe UI"/>
          <w:lang w:val="en-US"/>
        </w:rPr>
        <w:t xml:space="preserve"> </w:t>
      </w:r>
      <w:r w:rsidR="005D3B8E" w:rsidRPr="00094F25">
        <w:rPr>
          <w:rFonts w:ascii="new roman" w:hAnsi="new roman" w:cs="Segoe UI"/>
          <w:i/>
          <w:lang w:val="en-US"/>
        </w:rPr>
        <w:t>Vasco dry Cleaners v Twycross</w:t>
      </w:r>
      <w:r w:rsidR="005D3B8E">
        <w:rPr>
          <w:rFonts w:ascii="new roman" w:hAnsi="new roman" w:cs="Segoe UI"/>
          <w:lang w:val="en-US"/>
        </w:rPr>
        <w:t xml:space="preserve"> 1979(1) Sa 603 (A) and </w:t>
      </w:r>
      <w:proofErr w:type="spellStart"/>
      <w:r w:rsidR="005D3B8E" w:rsidRPr="00094F25">
        <w:rPr>
          <w:rFonts w:ascii="new roman" w:hAnsi="new roman" w:cs="Segoe UI"/>
          <w:i/>
          <w:lang w:val="en-US"/>
        </w:rPr>
        <w:t>Michau</w:t>
      </w:r>
      <w:proofErr w:type="spellEnd"/>
      <w:r w:rsidR="005D3B8E" w:rsidRPr="00094F25">
        <w:rPr>
          <w:rFonts w:ascii="new roman" w:hAnsi="new roman" w:cs="Segoe UI"/>
          <w:i/>
          <w:lang w:val="en-US"/>
        </w:rPr>
        <w:t xml:space="preserve"> v Maize Board</w:t>
      </w:r>
      <w:r w:rsidR="006F1E5A">
        <w:rPr>
          <w:rFonts w:ascii="new roman" w:hAnsi="new roman" w:cs="Segoe UI"/>
          <w:lang w:val="en-US"/>
        </w:rPr>
        <w:t xml:space="preserve"> 2003 (6) SA 459(SCA),</w:t>
      </w:r>
      <w:r w:rsidR="00B24737">
        <w:rPr>
          <w:rFonts w:ascii="new roman" w:hAnsi="new roman" w:cs="Segoe UI"/>
          <w:lang w:val="en-US"/>
        </w:rPr>
        <w:t xml:space="preserve"> </w:t>
      </w:r>
      <w:r w:rsidR="005D3B8E">
        <w:rPr>
          <w:rFonts w:ascii="new roman" w:hAnsi="new roman" w:cs="Segoe UI"/>
          <w:lang w:val="en-US"/>
        </w:rPr>
        <w:t>are all authorities to the effect that, from a different spectrum, if the transaction is genuine a court will give effect to the underlying transaction.</w:t>
      </w:r>
    </w:p>
    <w:p w14:paraId="2BC19AE2" w14:textId="3EA66D7A" w:rsidR="00330E9E" w:rsidRDefault="00330E9E"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Pr>
          <w:rFonts w:ascii="new roman" w:hAnsi="new roman" w:cs="Segoe UI"/>
          <w:lang w:val="en-US"/>
        </w:rPr>
        <w:t>[2</w:t>
      </w:r>
      <w:r w:rsidR="00460687">
        <w:rPr>
          <w:rFonts w:ascii="new roman" w:hAnsi="new roman" w:cs="Segoe UI"/>
          <w:lang w:val="en-US"/>
        </w:rPr>
        <w:t>9</w:t>
      </w:r>
      <w:r>
        <w:rPr>
          <w:rFonts w:ascii="new roman" w:hAnsi="new roman" w:cs="Segoe UI"/>
          <w:lang w:val="en-US"/>
        </w:rPr>
        <w:t xml:space="preserve">] </w:t>
      </w:r>
      <w:r w:rsidR="005D3B8E">
        <w:rPr>
          <w:rFonts w:ascii="new roman" w:hAnsi="new roman" w:cs="Segoe UI"/>
          <w:lang w:val="en-US"/>
        </w:rPr>
        <w:t xml:space="preserve">I must hasten to say </w:t>
      </w:r>
      <w:r w:rsidR="00B24737">
        <w:rPr>
          <w:rFonts w:ascii="new roman" w:hAnsi="new roman" w:cs="Segoe UI"/>
          <w:lang w:val="en-US"/>
        </w:rPr>
        <w:t>that,</w:t>
      </w:r>
      <w:r w:rsidR="005D3B8E">
        <w:rPr>
          <w:rFonts w:ascii="new roman" w:hAnsi="new roman" w:cs="Segoe UI"/>
          <w:lang w:val="en-US"/>
        </w:rPr>
        <w:t xml:space="preserve"> I am not called to </w:t>
      </w:r>
      <w:r w:rsidR="001F39CF">
        <w:rPr>
          <w:rFonts w:ascii="new roman" w:hAnsi="new roman" w:cs="Segoe UI"/>
          <w:lang w:val="en-US"/>
        </w:rPr>
        <w:t xml:space="preserve">make a </w:t>
      </w:r>
      <w:r w:rsidR="005D3B8E">
        <w:rPr>
          <w:rFonts w:ascii="new roman" w:hAnsi="new roman" w:cs="Segoe UI"/>
          <w:lang w:val="en-US"/>
        </w:rPr>
        <w:t>determin</w:t>
      </w:r>
      <w:r w:rsidR="001F39CF">
        <w:rPr>
          <w:rFonts w:ascii="new roman" w:hAnsi="new roman" w:cs="Segoe UI"/>
          <w:lang w:val="en-US"/>
        </w:rPr>
        <w:t>ation on</w:t>
      </w:r>
      <w:r w:rsidR="005D3B8E">
        <w:rPr>
          <w:rFonts w:ascii="new roman" w:hAnsi="new roman" w:cs="Segoe UI"/>
          <w:lang w:val="en-US"/>
        </w:rPr>
        <w:t xml:space="preserve"> the true nature of the contract between the parties before</w:t>
      </w:r>
      <w:r w:rsidR="006F1E5A">
        <w:rPr>
          <w:rFonts w:ascii="new roman" w:hAnsi="new roman" w:cs="Segoe UI"/>
          <w:lang w:val="en-US"/>
        </w:rPr>
        <w:t xml:space="preserve"> me in this sitting</w:t>
      </w:r>
      <w:r w:rsidR="005D3B8E">
        <w:rPr>
          <w:rFonts w:ascii="new roman" w:hAnsi="new roman" w:cs="Segoe UI"/>
          <w:lang w:val="en-US"/>
        </w:rPr>
        <w:t>. This is fodde</w:t>
      </w:r>
      <w:r w:rsidR="006F1E5A">
        <w:rPr>
          <w:rFonts w:ascii="new roman" w:hAnsi="new roman" w:cs="Segoe UI"/>
          <w:lang w:val="en-US"/>
        </w:rPr>
        <w:t>r for the trial court. I</w:t>
      </w:r>
      <w:r w:rsidR="00070635">
        <w:rPr>
          <w:rFonts w:ascii="new roman" w:hAnsi="new roman" w:cs="Segoe UI"/>
          <w:lang w:val="en-US"/>
        </w:rPr>
        <w:t>t suffices to note that</w:t>
      </w:r>
      <w:r w:rsidR="006F1E5A">
        <w:rPr>
          <w:rFonts w:ascii="new roman" w:hAnsi="new roman" w:cs="Segoe UI"/>
          <w:lang w:val="en-US"/>
        </w:rPr>
        <w:t>,</w:t>
      </w:r>
      <w:r w:rsidR="00070635">
        <w:rPr>
          <w:rFonts w:ascii="new roman" w:hAnsi="new roman" w:cs="Segoe UI"/>
          <w:lang w:val="en-US"/>
        </w:rPr>
        <w:t xml:space="preserve"> whether an agreement is genuine</w:t>
      </w:r>
      <w:r w:rsidR="006F1E5A">
        <w:rPr>
          <w:rFonts w:ascii="new roman" w:hAnsi="new roman" w:cs="Segoe UI"/>
          <w:lang w:val="en-US"/>
        </w:rPr>
        <w:t xml:space="preserve"> or not</w:t>
      </w:r>
      <w:r>
        <w:rPr>
          <w:rFonts w:ascii="new roman" w:hAnsi="new roman" w:cs="Segoe UI"/>
          <w:lang w:val="en-US"/>
        </w:rPr>
        <w:t xml:space="preserve">, </w:t>
      </w:r>
      <w:r w:rsidR="00070635">
        <w:rPr>
          <w:rFonts w:ascii="new roman" w:hAnsi="new roman" w:cs="Segoe UI"/>
          <w:lang w:val="en-US"/>
        </w:rPr>
        <w:t>depends on a consideration of all facts and circumstances surrounding the contract</w:t>
      </w:r>
      <w:r>
        <w:rPr>
          <w:rFonts w:ascii="new roman" w:hAnsi="new roman" w:cs="Segoe UI"/>
          <w:lang w:val="en-US"/>
        </w:rPr>
        <w:t xml:space="preserve">. </w:t>
      </w:r>
    </w:p>
    <w:p w14:paraId="3D5FA765" w14:textId="7899DA92" w:rsidR="005D3B8E" w:rsidRDefault="00330E9E"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Pr>
          <w:rFonts w:ascii="new roman" w:hAnsi="new roman" w:cs="Segoe UI"/>
          <w:lang w:val="en-US"/>
        </w:rPr>
        <w:t>[</w:t>
      </w:r>
      <w:r w:rsidR="00460687">
        <w:rPr>
          <w:rFonts w:ascii="new roman" w:hAnsi="new roman" w:cs="Segoe UI"/>
          <w:lang w:val="en-US"/>
        </w:rPr>
        <w:t>30</w:t>
      </w:r>
      <w:r>
        <w:rPr>
          <w:rFonts w:ascii="new roman" w:hAnsi="new roman" w:cs="Segoe UI"/>
          <w:lang w:val="en-US"/>
        </w:rPr>
        <w:t>] T</w:t>
      </w:r>
      <w:r w:rsidR="00070635">
        <w:rPr>
          <w:rFonts w:ascii="new roman" w:hAnsi="new roman" w:cs="Segoe UI"/>
          <w:lang w:val="en-US"/>
        </w:rPr>
        <w:t>he appropriate court wil</w:t>
      </w:r>
      <w:r>
        <w:rPr>
          <w:rFonts w:ascii="new roman" w:hAnsi="new roman" w:cs="Segoe UI"/>
          <w:lang w:val="en-US"/>
        </w:rPr>
        <w:t>l be enjoined to</w:t>
      </w:r>
      <w:r w:rsidR="00070635">
        <w:rPr>
          <w:rFonts w:ascii="new roman" w:hAnsi="new roman" w:cs="Segoe UI"/>
          <w:lang w:val="en-US"/>
        </w:rPr>
        <w:t xml:space="preserve"> examine the transaction as a whole, taking on board any unusual features or characteristics to unpack the true intention of the parties. See, </w:t>
      </w:r>
      <w:proofErr w:type="spellStart"/>
      <w:r w:rsidR="00070635" w:rsidRPr="00070635">
        <w:rPr>
          <w:rFonts w:ascii="new roman" w:hAnsi="new roman" w:cs="Segoe UI"/>
          <w:i/>
          <w:lang w:val="en-US"/>
        </w:rPr>
        <w:t>Roshcon</w:t>
      </w:r>
      <w:proofErr w:type="spellEnd"/>
      <w:r w:rsidR="00070635" w:rsidRPr="00070635">
        <w:rPr>
          <w:rFonts w:ascii="new roman" w:hAnsi="new roman" w:cs="Segoe UI"/>
          <w:i/>
          <w:lang w:val="en-US"/>
        </w:rPr>
        <w:t xml:space="preserve"> (Pty) Ltd V Anchor Auto Body Builder CC and Others</w:t>
      </w:r>
      <w:r w:rsidR="00070635">
        <w:rPr>
          <w:rFonts w:ascii="new roman" w:hAnsi="new roman" w:cs="Segoe UI"/>
          <w:lang w:val="en-US"/>
        </w:rPr>
        <w:t xml:space="preserve"> 2014 (40 SA 319. (SCA) </w:t>
      </w:r>
      <w:r w:rsidR="00070635" w:rsidRPr="00070635">
        <w:rPr>
          <w:rFonts w:ascii="new roman" w:hAnsi="new roman" w:cs="Segoe UI"/>
          <w:i/>
          <w:lang w:val="en-US"/>
        </w:rPr>
        <w:t>Genet mining (</w:t>
      </w:r>
      <w:r w:rsidR="00391CA8" w:rsidRPr="00070635">
        <w:rPr>
          <w:rFonts w:ascii="new roman" w:hAnsi="new roman" w:cs="Segoe UI"/>
          <w:i/>
          <w:lang w:val="en-US"/>
        </w:rPr>
        <w:t>Proprietary</w:t>
      </w:r>
      <w:r w:rsidR="00070635" w:rsidRPr="00070635">
        <w:rPr>
          <w:rFonts w:ascii="new roman" w:hAnsi="new roman" w:cs="Segoe UI"/>
          <w:i/>
          <w:lang w:val="en-US"/>
        </w:rPr>
        <w:t xml:space="preserve"> limited v </w:t>
      </w:r>
      <w:proofErr w:type="spellStart"/>
      <w:r w:rsidR="00070635" w:rsidRPr="00070635">
        <w:rPr>
          <w:rFonts w:ascii="new roman" w:hAnsi="new roman" w:cs="Segoe UI"/>
          <w:i/>
          <w:lang w:val="en-US"/>
        </w:rPr>
        <w:t>Zimslate</w:t>
      </w:r>
      <w:proofErr w:type="spellEnd"/>
      <w:r w:rsidR="00070635" w:rsidRPr="00070635">
        <w:rPr>
          <w:rFonts w:ascii="new roman" w:hAnsi="new roman" w:cs="Segoe UI"/>
          <w:i/>
          <w:lang w:val="en-US"/>
        </w:rPr>
        <w:t xml:space="preserve"> Quartzite</w:t>
      </w:r>
      <w:r w:rsidR="00B24737">
        <w:rPr>
          <w:rFonts w:ascii="new roman" w:hAnsi="new roman" w:cs="Segoe UI"/>
          <w:i/>
          <w:lang w:val="en-US"/>
        </w:rPr>
        <w:t xml:space="preserve"> </w:t>
      </w:r>
      <w:r w:rsidR="00070635" w:rsidRPr="00070635">
        <w:rPr>
          <w:rFonts w:ascii="new roman" w:hAnsi="new roman" w:cs="Segoe UI"/>
          <w:i/>
          <w:lang w:val="en-US"/>
        </w:rPr>
        <w:t>(Private)</w:t>
      </w:r>
      <w:r w:rsidR="00070635">
        <w:rPr>
          <w:rFonts w:ascii="new roman" w:hAnsi="new roman" w:cs="Segoe UI"/>
          <w:lang w:val="en-US"/>
        </w:rPr>
        <w:t xml:space="preserve"> LimitedHH375/16</w:t>
      </w:r>
    </w:p>
    <w:p w14:paraId="19A5989F" w14:textId="109E2695" w:rsidR="000B7F61" w:rsidRPr="000B7F61" w:rsidRDefault="00330E9E"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Pr>
          <w:rFonts w:ascii="new roman" w:hAnsi="new roman" w:cs="Segoe UI"/>
          <w:lang w:val="en-US"/>
        </w:rPr>
        <w:t>[3</w:t>
      </w:r>
      <w:r w:rsidR="00460687">
        <w:rPr>
          <w:rFonts w:ascii="new roman" w:hAnsi="new roman" w:cs="Segoe UI"/>
          <w:lang w:val="en-US"/>
        </w:rPr>
        <w:t>1</w:t>
      </w:r>
      <w:r>
        <w:rPr>
          <w:rFonts w:ascii="new roman" w:hAnsi="new roman" w:cs="Segoe UI"/>
          <w:lang w:val="en-US"/>
        </w:rPr>
        <w:t xml:space="preserve">] </w:t>
      </w:r>
      <w:r w:rsidR="006F1E5A">
        <w:rPr>
          <w:rFonts w:ascii="new roman" w:hAnsi="new roman" w:cs="Segoe UI"/>
          <w:lang w:val="en-US"/>
        </w:rPr>
        <w:t>From that angle</w:t>
      </w:r>
      <w:r w:rsidR="000B7F61" w:rsidRPr="000B7F61">
        <w:rPr>
          <w:rFonts w:ascii="new roman" w:hAnsi="new roman" w:cs="Segoe UI"/>
          <w:lang w:val="en-US"/>
        </w:rPr>
        <w:t>,</w:t>
      </w:r>
      <w:r w:rsidR="000B7F61">
        <w:rPr>
          <w:rFonts w:ascii="new roman" w:hAnsi="new roman" w:cs="Segoe UI"/>
          <w:lang w:val="en-US"/>
        </w:rPr>
        <w:t xml:space="preserve"> the first respondent has proffered a defence of a simulated contract which from the look of it seems bona fide. </w:t>
      </w:r>
      <w:r w:rsidR="0085336D">
        <w:rPr>
          <w:rFonts w:ascii="new roman" w:hAnsi="new roman" w:cs="Segoe UI"/>
          <w:lang w:val="en-US"/>
        </w:rPr>
        <w:t xml:space="preserve">It is a valid defence at law. </w:t>
      </w:r>
      <w:r w:rsidR="000B7F61">
        <w:rPr>
          <w:rFonts w:ascii="new roman" w:hAnsi="new roman" w:cs="Segoe UI"/>
          <w:lang w:val="en-US"/>
        </w:rPr>
        <w:t xml:space="preserve">Moreover the law, as pronounced in the </w:t>
      </w:r>
      <w:proofErr w:type="spellStart"/>
      <w:r w:rsidR="000B7F61" w:rsidRPr="0085336D">
        <w:rPr>
          <w:rFonts w:ascii="new roman" w:hAnsi="new roman" w:cs="Segoe UI"/>
          <w:i/>
          <w:lang w:val="en-US"/>
        </w:rPr>
        <w:t>Eastle</w:t>
      </w:r>
      <w:r w:rsidR="0085336D" w:rsidRPr="0085336D">
        <w:rPr>
          <w:rFonts w:ascii="new roman" w:hAnsi="new roman" w:cs="Segoe UI"/>
          <w:i/>
          <w:lang w:val="en-US"/>
        </w:rPr>
        <w:t>a</w:t>
      </w:r>
      <w:proofErr w:type="spellEnd"/>
      <w:r w:rsidR="000B7F61" w:rsidRPr="0085336D">
        <w:rPr>
          <w:rFonts w:ascii="new roman" w:hAnsi="new roman" w:cs="Segoe UI"/>
          <w:i/>
          <w:lang w:val="en-US"/>
        </w:rPr>
        <w:t xml:space="preserve"> Hospitals</w:t>
      </w:r>
      <w:r w:rsidR="000B7F61">
        <w:rPr>
          <w:rFonts w:ascii="new roman" w:hAnsi="new roman" w:cs="Segoe UI"/>
          <w:lang w:val="en-US"/>
        </w:rPr>
        <w:t xml:space="preserve"> case above state</w:t>
      </w:r>
      <w:r w:rsidR="001F39CF">
        <w:rPr>
          <w:rFonts w:ascii="new roman" w:hAnsi="new roman" w:cs="Segoe UI"/>
          <w:lang w:val="en-US"/>
        </w:rPr>
        <w:t>s</w:t>
      </w:r>
      <w:r w:rsidR="000B7F61">
        <w:rPr>
          <w:rFonts w:ascii="new roman" w:hAnsi="new roman" w:cs="Segoe UI"/>
          <w:lang w:val="en-US"/>
        </w:rPr>
        <w:t xml:space="preserve"> that even </w:t>
      </w:r>
      <w:r w:rsidR="0085336D">
        <w:rPr>
          <w:rFonts w:ascii="new roman" w:hAnsi="new roman" w:cs="Segoe UI"/>
          <w:lang w:val="en-US"/>
        </w:rPr>
        <w:t>‘</w:t>
      </w:r>
      <w:r w:rsidR="000B7F61">
        <w:rPr>
          <w:rFonts w:ascii="new roman" w:hAnsi="new roman" w:cs="Segoe UI"/>
          <w:lang w:val="en-US"/>
        </w:rPr>
        <w:t>a mere possibility</w:t>
      </w:r>
      <w:r w:rsidR="0085336D">
        <w:rPr>
          <w:rFonts w:ascii="new roman" w:hAnsi="new roman" w:cs="Segoe UI"/>
          <w:lang w:val="en-US"/>
        </w:rPr>
        <w:t>’</w:t>
      </w:r>
      <w:r w:rsidR="000B7F61">
        <w:rPr>
          <w:rFonts w:ascii="new roman" w:hAnsi="new roman" w:cs="Segoe UI"/>
          <w:lang w:val="en-US"/>
        </w:rPr>
        <w:t xml:space="preserve"> of success suffices as a defence to the application for summary judgment.</w:t>
      </w:r>
      <w:r w:rsidR="006F1E5A">
        <w:rPr>
          <w:rFonts w:ascii="new roman" w:hAnsi="new roman" w:cs="Segoe UI"/>
          <w:lang w:val="en-US"/>
        </w:rPr>
        <w:t xml:space="preserve">  </w:t>
      </w:r>
    </w:p>
    <w:p w14:paraId="00DCD7D1" w14:textId="52580A86" w:rsidR="000B7F61" w:rsidRPr="00B24737" w:rsidRDefault="00330E9E" w:rsidP="00711063">
      <w:pPr>
        <w:pStyle w:val="western"/>
        <w:shd w:val="clear" w:color="auto" w:fill="FFFFFF"/>
        <w:spacing w:before="0" w:beforeAutospacing="0" w:after="158" w:afterAutospacing="0"/>
        <w:ind w:firstLine="720"/>
        <w:jc w:val="both"/>
        <w:rPr>
          <w:rFonts w:ascii="new roman" w:hAnsi="new roman" w:cs="Segoe UI"/>
        </w:rPr>
      </w:pPr>
      <w:r w:rsidRPr="00B24737">
        <w:rPr>
          <w:rFonts w:ascii="new roman" w:hAnsi="new roman" w:cs="Segoe UI"/>
          <w:lang w:val="en-US"/>
        </w:rPr>
        <w:t>[3</w:t>
      </w:r>
      <w:r w:rsidR="00460687">
        <w:rPr>
          <w:rFonts w:ascii="new roman" w:hAnsi="new roman" w:cs="Segoe UI"/>
          <w:lang w:val="en-US"/>
        </w:rPr>
        <w:t>2</w:t>
      </w:r>
      <w:r w:rsidRPr="00B24737">
        <w:rPr>
          <w:rFonts w:ascii="new roman" w:hAnsi="new roman" w:cs="Segoe UI"/>
          <w:lang w:val="en-US"/>
        </w:rPr>
        <w:t xml:space="preserve">] </w:t>
      </w:r>
      <w:r w:rsidR="000B7F61" w:rsidRPr="00B24737">
        <w:rPr>
          <w:rFonts w:ascii="new roman" w:hAnsi="new roman" w:cs="Segoe UI"/>
          <w:lang w:val="en-US"/>
        </w:rPr>
        <w:t>In </w:t>
      </w:r>
      <w:proofErr w:type="spellStart"/>
      <w:r w:rsidR="000B7F61" w:rsidRPr="00B24737">
        <w:rPr>
          <w:rFonts w:ascii="new roman" w:hAnsi="new roman" w:cs="Segoe UI"/>
          <w:i/>
          <w:iCs/>
          <w:lang w:val="en-US"/>
        </w:rPr>
        <w:t>Niri</w:t>
      </w:r>
      <w:proofErr w:type="spellEnd"/>
      <w:r w:rsidR="000B7F61" w:rsidRPr="00B24737">
        <w:rPr>
          <w:rFonts w:ascii="new roman" w:hAnsi="new roman" w:cs="Segoe UI"/>
          <w:lang w:val="en-US"/>
        </w:rPr>
        <w:t> v </w:t>
      </w:r>
      <w:r w:rsidR="000B7F61" w:rsidRPr="00B24737">
        <w:rPr>
          <w:rFonts w:ascii="new roman" w:hAnsi="new roman" w:cs="Segoe UI"/>
          <w:i/>
          <w:iCs/>
          <w:lang w:val="en-US"/>
        </w:rPr>
        <w:t xml:space="preserve">Coleman &amp; </w:t>
      </w:r>
      <w:proofErr w:type="spellStart"/>
      <w:r w:rsidR="000B7F61" w:rsidRPr="00B24737">
        <w:rPr>
          <w:rFonts w:ascii="new roman" w:hAnsi="new roman" w:cs="Segoe UI"/>
          <w:i/>
          <w:iCs/>
          <w:lang w:val="en-US"/>
        </w:rPr>
        <w:t>Ors</w:t>
      </w:r>
      <w:proofErr w:type="spellEnd"/>
      <w:r w:rsidR="000B7F61" w:rsidRPr="00B24737">
        <w:rPr>
          <w:rFonts w:ascii="new roman" w:hAnsi="new roman" w:cs="Segoe UI"/>
          <w:lang w:val="en-US"/>
        </w:rPr>
        <w:t> 2002 (2) ZLR 580 (H) at 585, the phrase “a mere possibility of success” was defined in the following terms;</w:t>
      </w:r>
    </w:p>
    <w:p w14:paraId="33502E6A" w14:textId="77777777" w:rsidR="0085336D" w:rsidRPr="00330E9E" w:rsidRDefault="000B7F61" w:rsidP="00711063">
      <w:pPr>
        <w:pStyle w:val="western"/>
        <w:shd w:val="clear" w:color="auto" w:fill="FFFFFF"/>
        <w:spacing w:before="0" w:beforeAutospacing="0" w:after="158" w:afterAutospacing="0"/>
        <w:jc w:val="both"/>
        <w:rPr>
          <w:rFonts w:ascii="new roman" w:hAnsi="new roman" w:cs="Segoe UI"/>
          <w:lang w:val="en-US"/>
        </w:rPr>
      </w:pPr>
      <w:r w:rsidRPr="000B7F61">
        <w:rPr>
          <w:rFonts w:ascii="new roman" w:hAnsi="new roman" w:cs="Segoe UI"/>
          <w:sz w:val="23"/>
          <w:szCs w:val="23"/>
        </w:rPr>
        <w:t>“</w:t>
      </w:r>
      <w:r w:rsidRPr="000B7F61">
        <w:rPr>
          <w:rFonts w:ascii="new roman" w:hAnsi="new roman" w:cs="Segoe UI"/>
          <w:sz w:val="23"/>
          <w:szCs w:val="23"/>
          <w:lang w:val="en-US"/>
        </w:rPr>
        <w:t>These phrases merely mean that the defendant has to depose to a defence which, if proved at the trial would constitute a good defence to the plaintiff’s claim. The defence itself must be </w:t>
      </w:r>
      <w:r w:rsidRPr="000B7F61">
        <w:rPr>
          <w:rFonts w:ascii="new roman" w:hAnsi="new roman" w:cs="Segoe UI"/>
          <w:i/>
          <w:iCs/>
          <w:sz w:val="23"/>
          <w:szCs w:val="23"/>
          <w:lang w:val="en-US"/>
        </w:rPr>
        <w:t>bona fide</w:t>
      </w:r>
      <w:r w:rsidRPr="000B7F61">
        <w:rPr>
          <w:rFonts w:ascii="new roman" w:hAnsi="new roman" w:cs="Segoe UI"/>
          <w:sz w:val="23"/>
          <w:szCs w:val="23"/>
          <w:lang w:val="en-US"/>
        </w:rPr>
        <w:t>. Even though the rule is not concerned with the defendant’s </w:t>
      </w:r>
      <w:r w:rsidRPr="000B7F61">
        <w:rPr>
          <w:rFonts w:ascii="new roman" w:hAnsi="new roman" w:cs="Segoe UI"/>
          <w:i/>
          <w:iCs/>
          <w:sz w:val="23"/>
          <w:szCs w:val="23"/>
          <w:lang w:val="en-US"/>
        </w:rPr>
        <w:t>bona fides</w:t>
      </w:r>
      <w:r w:rsidRPr="000B7F61">
        <w:rPr>
          <w:rFonts w:ascii="new roman" w:hAnsi="new roman" w:cs="Segoe UI"/>
          <w:sz w:val="23"/>
          <w:szCs w:val="23"/>
          <w:lang w:val="en-US"/>
        </w:rPr>
        <w:t>, if he is not </w:t>
      </w:r>
      <w:r w:rsidRPr="000B7F61">
        <w:rPr>
          <w:rFonts w:ascii="new roman" w:hAnsi="new roman" w:cs="Segoe UI"/>
          <w:i/>
          <w:iCs/>
          <w:sz w:val="23"/>
          <w:szCs w:val="23"/>
          <w:lang w:val="en-US"/>
        </w:rPr>
        <w:t>bona fide</w:t>
      </w:r>
      <w:r w:rsidRPr="000B7F61">
        <w:rPr>
          <w:rFonts w:ascii="new roman" w:hAnsi="new roman" w:cs="Segoe UI"/>
          <w:sz w:val="23"/>
          <w:szCs w:val="23"/>
          <w:lang w:val="en-US"/>
        </w:rPr>
        <w:t> then his defence too cannot be </w:t>
      </w:r>
      <w:r w:rsidRPr="000B7F61">
        <w:rPr>
          <w:rFonts w:ascii="new roman" w:hAnsi="new roman" w:cs="Segoe UI"/>
          <w:i/>
          <w:iCs/>
          <w:sz w:val="23"/>
          <w:szCs w:val="23"/>
          <w:lang w:val="en-US"/>
        </w:rPr>
        <w:t>bona fide</w:t>
      </w:r>
      <w:r w:rsidRPr="000B7F61">
        <w:rPr>
          <w:rFonts w:ascii="new roman" w:hAnsi="new roman" w:cs="Segoe UI"/>
          <w:sz w:val="23"/>
          <w:szCs w:val="23"/>
          <w:lang w:val="en-US"/>
        </w:rPr>
        <w:t>. See </w:t>
      </w:r>
      <w:r w:rsidRPr="000B7F61">
        <w:rPr>
          <w:rFonts w:ascii="new roman" w:hAnsi="new roman" w:cs="Segoe UI"/>
          <w:i/>
          <w:iCs/>
          <w:sz w:val="23"/>
          <w:szCs w:val="23"/>
          <w:lang w:val="en-US"/>
        </w:rPr>
        <w:t>Erasmus Superior Court Practice a</w:t>
      </w:r>
      <w:r w:rsidRPr="000B7F61">
        <w:rPr>
          <w:rFonts w:ascii="new roman" w:hAnsi="new roman" w:cs="Segoe UI"/>
          <w:sz w:val="23"/>
          <w:szCs w:val="23"/>
          <w:lang w:val="en-US"/>
        </w:rPr>
        <w:t xml:space="preserve">t p31-224. A defence raised against the grant of summary judgment application must also be valid </w:t>
      </w:r>
      <w:r w:rsidRPr="00330E9E">
        <w:rPr>
          <w:rFonts w:ascii="new roman" w:hAnsi="new roman" w:cs="Segoe UI"/>
          <w:sz w:val="23"/>
          <w:szCs w:val="23"/>
          <w:lang w:val="en-US"/>
        </w:rPr>
        <w:t>at</w:t>
      </w:r>
      <w:r w:rsidR="0013186B" w:rsidRPr="00330E9E">
        <w:rPr>
          <w:rFonts w:ascii="new roman" w:hAnsi="new roman" w:cs="Segoe UI"/>
          <w:lang w:val="en-US"/>
        </w:rPr>
        <w:t xml:space="preserve"> law</w:t>
      </w:r>
      <w:r w:rsidR="0085336D" w:rsidRPr="00330E9E">
        <w:rPr>
          <w:rFonts w:ascii="new roman" w:hAnsi="new roman" w:cs="Segoe UI"/>
          <w:lang w:val="en-US"/>
        </w:rPr>
        <w:t>.</w:t>
      </w:r>
    </w:p>
    <w:p w14:paraId="261168E9" w14:textId="77777777" w:rsidR="00330E9E" w:rsidRDefault="00330E9E" w:rsidP="00711063">
      <w:pPr>
        <w:pStyle w:val="western"/>
        <w:shd w:val="clear" w:color="auto" w:fill="FFFFFF"/>
        <w:spacing w:before="0" w:beforeAutospacing="0" w:after="158" w:afterAutospacing="0"/>
        <w:jc w:val="both"/>
      </w:pPr>
    </w:p>
    <w:p w14:paraId="04F26DCE" w14:textId="759F737A" w:rsidR="0085336D" w:rsidRDefault="00330E9E" w:rsidP="00711063">
      <w:pPr>
        <w:pStyle w:val="western"/>
        <w:shd w:val="clear" w:color="auto" w:fill="FFFFFF"/>
        <w:spacing w:before="0" w:beforeAutospacing="0" w:after="158" w:afterAutospacing="0"/>
        <w:ind w:firstLine="720"/>
        <w:jc w:val="both"/>
      </w:pPr>
      <w:r>
        <w:lastRenderedPageBreak/>
        <w:t>[3</w:t>
      </w:r>
      <w:r w:rsidR="00460687">
        <w:t>3</w:t>
      </w:r>
      <w:r>
        <w:t xml:space="preserve">] </w:t>
      </w:r>
      <w:r w:rsidR="0085336D">
        <w:t xml:space="preserve">In </w:t>
      </w:r>
      <w:r w:rsidR="0085336D">
        <w:rPr>
          <w:i/>
        </w:rPr>
        <w:t xml:space="preserve">Jena v </w:t>
      </w:r>
      <w:proofErr w:type="spellStart"/>
      <w:r w:rsidR="0085336D">
        <w:rPr>
          <w:i/>
        </w:rPr>
        <w:t>Nechipote</w:t>
      </w:r>
      <w:proofErr w:type="spellEnd"/>
      <w:r w:rsidR="0085336D">
        <w:rPr>
          <w:i/>
        </w:rPr>
        <w:t xml:space="preserve"> 1986</w:t>
      </w:r>
      <w:r w:rsidR="0085336D">
        <w:t xml:space="preserve"> (1) ZLR 29 (S) it was held that</w:t>
      </w:r>
      <w:r w:rsidR="00711063">
        <w:t>;</w:t>
      </w:r>
    </w:p>
    <w:p w14:paraId="636B27AD" w14:textId="77777777" w:rsidR="00391CA8" w:rsidRPr="00330E9E" w:rsidRDefault="0085336D" w:rsidP="00711063">
      <w:pPr>
        <w:pStyle w:val="western"/>
        <w:shd w:val="clear" w:color="auto" w:fill="FFFFFF"/>
        <w:spacing w:before="0" w:beforeAutospacing="0" w:after="158" w:afterAutospacing="0"/>
        <w:jc w:val="both"/>
        <w:rPr>
          <w:sz w:val="22"/>
          <w:szCs w:val="22"/>
        </w:rPr>
      </w:pPr>
      <w:r>
        <w:t xml:space="preserve"> “</w:t>
      </w:r>
      <w:r w:rsidR="006F1E5A">
        <w:t>…</w:t>
      </w:r>
      <w:r w:rsidRPr="00330E9E">
        <w:rPr>
          <w:sz w:val="22"/>
          <w:szCs w:val="22"/>
        </w:rPr>
        <w:t xml:space="preserve">all that a defendant has to establish in order to succeed in having an application for summary judgment dismissed is that “there is a mere possibility of his success”, “he has a plausible case”, “there is a reasonable possibility that an injustice maybe done if summary judgment is granted". </w:t>
      </w:r>
    </w:p>
    <w:p w14:paraId="20DE0402" w14:textId="74613D8D" w:rsidR="0085336D" w:rsidRPr="00CA2853" w:rsidRDefault="00330E9E" w:rsidP="00711063">
      <w:pPr>
        <w:pStyle w:val="western"/>
        <w:shd w:val="clear" w:color="auto" w:fill="FFFFFF"/>
        <w:spacing w:before="0" w:beforeAutospacing="0" w:after="158" w:afterAutospacing="0" w:line="360" w:lineRule="auto"/>
        <w:ind w:firstLine="720"/>
        <w:jc w:val="both"/>
        <w:rPr>
          <w:rFonts w:ascii="Helvetica" w:hAnsi="Helvetica"/>
        </w:rPr>
      </w:pPr>
      <w:r>
        <w:t>[3</w:t>
      </w:r>
      <w:r w:rsidR="00460687">
        <w:t>4</w:t>
      </w:r>
      <w:r>
        <w:t xml:space="preserve">] </w:t>
      </w:r>
      <w:r w:rsidRPr="00330E9E">
        <w:t>The following cases</w:t>
      </w:r>
      <w:r>
        <w:rPr>
          <w:sz w:val="22"/>
          <w:szCs w:val="22"/>
        </w:rPr>
        <w:t>,</w:t>
      </w:r>
      <w:r w:rsidR="0085336D" w:rsidRPr="00CA2853">
        <w:t> </w:t>
      </w:r>
      <w:r w:rsidR="0085336D" w:rsidRPr="00CA2853">
        <w:rPr>
          <w:i/>
          <w:iCs/>
        </w:rPr>
        <w:t>Davis v Terry</w:t>
      </w:r>
      <w:r w:rsidR="0085336D" w:rsidRPr="00CA2853">
        <w:t> 1957 (4) SA 98 (SR); </w:t>
      </w:r>
      <w:r w:rsidR="0085336D" w:rsidRPr="00CA2853">
        <w:rPr>
          <w:i/>
          <w:iCs/>
        </w:rPr>
        <w:t>Rex v E   Rhodian</w:t>
      </w:r>
      <w:r w:rsidR="0085336D" w:rsidRPr="00CA2853">
        <w:t> </w:t>
      </w:r>
      <w:r w:rsidR="0085336D" w:rsidRPr="00CA2853">
        <w:rPr>
          <w:i/>
          <w:iCs/>
        </w:rPr>
        <w:t>Investments Trust (Pvt) Ltd</w:t>
      </w:r>
      <w:r w:rsidR="0085336D" w:rsidRPr="00CA2853">
        <w:t> 1957 (4) SA 631 (SR); </w:t>
      </w:r>
      <w:proofErr w:type="spellStart"/>
      <w:r w:rsidR="0085336D" w:rsidRPr="00CA2853">
        <w:rPr>
          <w:i/>
          <w:iCs/>
        </w:rPr>
        <w:t>Kassim</w:t>
      </w:r>
      <w:proofErr w:type="spellEnd"/>
      <w:r w:rsidR="0085336D" w:rsidRPr="00CA2853">
        <w:t> </w:t>
      </w:r>
      <w:r w:rsidR="0085336D" w:rsidRPr="00CA2853">
        <w:rPr>
          <w:i/>
          <w:iCs/>
        </w:rPr>
        <w:t xml:space="preserve">Brothers (Pvt) Ltd v </w:t>
      </w:r>
      <w:proofErr w:type="spellStart"/>
      <w:r w:rsidR="0085336D" w:rsidRPr="00CA2853">
        <w:rPr>
          <w:i/>
          <w:iCs/>
        </w:rPr>
        <w:t>Kassim</w:t>
      </w:r>
      <w:proofErr w:type="spellEnd"/>
      <w:r w:rsidR="0085336D" w:rsidRPr="00CA2853">
        <w:rPr>
          <w:i/>
          <w:iCs/>
        </w:rPr>
        <w:t xml:space="preserve"> &amp; </w:t>
      </w:r>
      <w:proofErr w:type="spellStart"/>
      <w:r w:rsidR="0085336D" w:rsidRPr="00CA2853">
        <w:rPr>
          <w:i/>
          <w:iCs/>
        </w:rPr>
        <w:t>Anor</w:t>
      </w:r>
      <w:proofErr w:type="spellEnd"/>
      <w:r w:rsidR="0085336D" w:rsidRPr="00CA2853">
        <w:t> 1964 (1) SA 651 (SR); </w:t>
      </w:r>
      <w:proofErr w:type="spellStart"/>
      <w:r w:rsidR="0085336D" w:rsidRPr="00CA2853">
        <w:rPr>
          <w:i/>
          <w:iCs/>
        </w:rPr>
        <w:t>Shingadia</w:t>
      </w:r>
      <w:proofErr w:type="spellEnd"/>
      <w:r w:rsidR="0085336D" w:rsidRPr="00CA2853">
        <w:rPr>
          <w:i/>
          <w:iCs/>
        </w:rPr>
        <w:t xml:space="preserve"> v </w:t>
      </w:r>
      <w:proofErr w:type="spellStart"/>
      <w:r w:rsidR="0085336D" w:rsidRPr="00CA2853">
        <w:rPr>
          <w:i/>
          <w:iCs/>
        </w:rPr>
        <w:t>Shingadia</w:t>
      </w:r>
      <w:proofErr w:type="spellEnd"/>
      <w:r w:rsidR="0085336D" w:rsidRPr="00CA2853">
        <w:t> 1966 (3) SA 24 (SR); </w:t>
      </w:r>
      <w:r w:rsidR="0085336D" w:rsidRPr="00CA2853">
        <w:rPr>
          <w:i/>
          <w:iCs/>
        </w:rPr>
        <w:t>Webb v Shell</w:t>
      </w:r>
      <w:r w:rsidR="0085336D" w:rsidRPr="00CA2853">
        <w:t> </w:t>
      </w:r>
      <w:r w:rsidR="0085336D" w:rsidRPr="00CA2853">
        <w:rPr>
          <w:i/>
          <w:iCs/>
        </w:rPr>
        <w:t>Zimbabwe (</w:t>
      </w:r>
      <w:proofErr w:type="spellStart"/>
      <w:r w:rsidR="0085336D" w:rsidRPr="00CA2853">
        <w:rPr>
          <w:i/>
          <w:iCs/>
        </w:rPr>
        <w:t>PvT</w:t>
      </w:r>
      <w:proofErr w:type="spellEnd"/>
      <w:r w:rsidR="0085336D" w:rsidRPr="00CA2853">
        <w:rPr>
          <w:i/>
          <w:iCs/>
        </w:rPr>
        <w:t>) Ltd</w:t>
      </w:r>
      <w:r w:rsidR="0085336D" w:rsidRPr="00CA2853">
        <w:t> 1982 (1) ZLR 102</w:t>
      </w:r>
      <w:r w:rsidR="00DD2433" w:rsidRPr="00DD2433">
        <w:rPr>
          <w:i/>
        </w:rPr>
        <w:t xml:space="preserve"> </w:t>
      </w:r>
      <w:proofErr w:type="spellStart"/>
      <w:r w:rsidR="00DD2433">
        <w:rPr>
          <w:i/>
        </w:rPr>
        <w:t>Mbayiwa</w:t>
      </w:r>
      <w:proofErr w:type="spellEnd"/>
      <w:r w:rsidR="00DD2433">
        <w:rPr>
          <w:i/>
        </w:rPr>
        <w:t xml:space="preserve"> v Eastern Highlands Motel (Pvt) Ltd</w:t>
      </w:r>
      <w:r>
        <w:t xml:space="preserve"> SC 139-86 are also instructive</w:t>
      </w:r>
      <w:r w:rsidR="00B24737">
        <w:t>.</w:t>
      </w:r>
    </w:p>
    <w:p w14:paraId="004C8EF5" w14:textId="77777777" w:rsidR="0053756F" w:rsidRDefault="00EE0CFA" w:rsidP="00711063">
      <w:pPr>
        <w:pStyle w:val="western"/>
        <w:shd w:val="clear" w:color="auto" w:fill="FFFFFF"/>
        <w:spacing w:before="0" w:beforeAutospacing="0" w:after="158" w:afterAutospacing="0" w:line="360" w:lineRule="auto"/>
        <w:jc w:val="both"/>
        <w:rPr>
          <w:rFonts w:ascii="new roman" w:hAnsi="new roman" w:cs="Segoe UI"/>
          <w:lang w:val="en-US"/>
        </w:rPr>
      </w:pPr>
      <w:r w:rsidRPr="00EE0CFA">
        <w:rPr>
          <w:rFonts w:ascii="new roman" w:hAnsi="new roman" w:cs="Segoe UI"/>
          <w:b/>
          <w:lang w:val="en-US"/>
        </w:rPr>
        <w:t>Disposition</w:t>
      </w:r>
      <w:r w:rsidR="00AD2A05">
        <w:rPr>
          <w:rFonts w:ascii="new roman" w:hAnsi="new roman" w:cs="Segoe UI"/>
          <w:lang w:val="en-US"/>
        </w:rPr>
        <w:t xml:space="preserve"> </w:t>
      </w:r>
    </w:p>
    <w:p w14:paraId="1414F265" w14:textId="0BE53CFC" w:rsidR="00330E9E" w:rsidRDefault="00330E9E"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Pr>
          <w:rFonts w:ascii="new roman" w:hAnsi="new roman" w:cs="Segoe UI"/>
          <w:lang w:val="en-US"/>
        </w:rPr>
        <w:t>[3</w:t>
      </w:r>
      <w:r w:rsidR="00460687">
        <w:rPr>
          <w:rFonts w:ascii="new roman" w:hAnsi="new roman" w:cs="Segoe UI"/>
          <w:lang w:val="en-US"/>
        </w:rPr>
        <w:t>5</w:t>
      </w:r>
      <w:r>
        <w:rPr>
          <w:rFonts w:ascii="new roman" w:hAnsi="new roman" w:cs="Segoe UI"/>
          <w:lang w:val="en-US"/>
        </w:rPr>
        <w:t xml:space="preserve">] </w:t>
      </w:r>
      <w:r w:rsidR="00DD2433">
        <w:rPr>
          <w:rFonts w:ascii="new roman" w:hAnsi="new roman" w:cs="Segoe UI"/>
          <w:lang w:val="en-US"/>
        </w:rPr>
        <w:t>Having canvassed the facts against the applicable legal frame work,</w:t>
      </w:r>
      <w:r>
        <w:rPr>
          <w:rFonts w:ascii="new roman" w:hAnsi="new roman" w:cs="Segoe UI"/>
          <w:lang w:val="en-US"/>
        </w:rPr>
        <w:t xml:space="preserve"> unfortunately,</w:t>
      </w:r>
      <w:r w:rsidR="00DD2433">
        <w:rPr>
          <w:rFonts w:ascii="new roman" w:hAnsi="new roman" w:cs="Segoe UI"/>
          <w:lang w:val="en-US"/>
        </w:rPr>
        <w:t xml:space="preserve"> I am inclined to deny the relief of summary judgment sought. The first respondent has raised the defence which ha</w:t>
      </w:r>
      <w:r w:rsidR="001F39CF">
        <w:rPr>
          <w:rFonts w:ascii="new roman" w:hAnsi="new roman" w:cs="Segoe UI"/>
          <w:lang w:val="en-US"/>
        </w:rPr>
        <w:t>s some possibility of success at</w:t>
      </w:r>
      <w:r w:rsidR="00DD2433">
        <w:rPr>
          <w:rFonts w:ascii="new roman" w:hAnsi="new roman" w:cs="Segoe UI"/>
          <w:lang w:val="en-US"/>
        </w:rPr>
        <w:t xml:space="preserve"> trial. </w:t>
      </w:r>
      <w:r w:rsidR="006F1E5A">
        <w:rPr>
          <w:rFonts w:ascii="new roman" w:hAnsi="new roman" w:cs="Segoe UI"/>
          <w:lang w:val="en-US"/>
        </w:rPr>
        <w:t xml:space="preserve">The Supreme Court in the </w:t>
      </w:r>
      <w:proofErr w:type="spellStart"/>
      <w:r w:rsidR="006F1E5A" w:rsidRPr="006F1E5A">
        <w:rPr>
          <w:rFonts w:ascii="new roman" w:hAnsi="new roman" w:cs="Segoe UI"/>
          <w:i/>
          <w:lang w:val="en-US"/>
        </w:rPr>
        <w:t>Eastlea</w:t>
      </w:r>
      <w:proofErr w:type="spellEnd"/>
      <w:r w:rsidR="006F1E5A" w:rsidRPr="006F1E5A">
        <w:rPr>
          <w:rFonts w:ascii="new roman" w:hAnsi="new roman" w:cs="Segoe UI"/>
          <w:i/>
          <w:lang w:val="en-US"/>
        </w:rPr>
        <w:t xml:space="preserve"> Hospital</w:t>
      </w:r>
      <w:r w:rsidR="006F1E5A">
        <w:rPr>
          <w:rFonts w:ascii="new roman" w:hAnsi="new roman" w:cs="Segoe UI"/>
          <w:lang w:val="en-US"/>
        </w:rPr>
        <w:t xml:space="preserve"> case above, has spoken. </w:t>
      </w:r>
    </w:p>
    <w:p w14:paraId="02A3D8AD" w14:textId="321368A4" w:rsidR="0013186B" w:rsidRPr="00EE0CFA" w:rsidRDefault="00330E9E"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Pr>
          <w:rFonts w:ascii="new roman" w:hAnsi="new roman" w:cs="Segoe UI"/>
          <w:lang w:val="en-US"/>
        </w:rPr>
        <w:t>[3</w:t>
      </w:r>
      <w:r w:rsidR="00460687">
        <w:rPr>
          <w:rFonts w:ascii="new roman" w:hAnsi="new roman" w:cs="Segoe UI"/>
          <w:lang w:val="en-US"/>
        </w:rPr>
        <w:t>6</w:t>
      </w:r>
      <w:r>
        <w:rPr>
          <w:rFonts w:ascii="new roman" w:hAnsi="new roman" w:cs="Segoe UI"/>
          <w:lang w:val="en-US"/>
        </w:rPr>
        <w:t xml:space="preserve">] </w:t>
      </w:r>
      <w:r w:rsidR="00DD2433">
        <w:rPr>
          <w:rFonts w:ascii="new roman" w:hAnsi="new roman" w:cs="Segoe UI"/>
          <w:lang w:val="en-US"/>
        </w:rPr>
        <w:t xml:space="preserve">Further, this matter involves a family home, of a considerable value going by the valuation report. If this relief is granted summarily </w:t>
      </w:r>
      <w:r w:rsidR="00DD2433" w:rsidRPr="00EE0CFA">
        <w:rPr>
          <w:rFonts w:ascii="new roman" w:hAnsi="new roman" w:cs="Segoe UI"/>
          <w:lang w:val="en-US"/>
        </w:rPr>
        <w:t>there is a reasonable possibility that an injustice may be done.</w:t>
      </w:r>
      <w:r w:rsidR="003B5326">
        <w:rPr>
          <w:rFonts w:ascii="new roman" w:hAnsi="new roman" w:cs="Segoe UI"/>
          <w:lang w:val="en-US"/>
        </w:rPr>
        <w:t xml:space="preserve"> It is just</w:t>
      </w:r>
      <w:r w:rsidR="001F39CF">
        <w:rPr>
          <w:rFonts w:ascii="new roman" w:hAnsi="new roman" w:cs="Segoe UI"/>
          <w:lang w:val="en-US"/>
        </w:rPr>
        <w:t xml:space="preserve"> and</w:t>
      </w:r>
      <w:r w:rsidR="003B5326">
        <w:rPr>
          <w:rFonts w:ascii="new roman" w:hAnsi="new roman" w:cs="Segoe UI"/>
          <w:lang w:val="en-US"/>
        </w:rPr>
        <w:t xml:space="preserve"> fair that the matter proceeds to trial. </w:t>
      </w:r>
      <w:r w:rsidR="00DD2433" w:rsidRPr="00EE0CFA">
        <w:rPr>
          <w:rFonts w:ascii="new roman" w:hAnsi="new roman" w:cs="Segoe UI"/>
          <w:lang w:val="en-US"/>
        </w:rPr>
        <w:t xml:space="preserve"> The applicant suf</w:t>
      </w:r>
      <w:r>
        <w:rPr>
          <w:rFonts w:ascii="new roman" w:hAnsi="new roman" w:cs="Segoe UI"/>
          <w:lang w:val="en-US"/>
        </w:rPr>
        <w:t>fers no prejudice at this stage. I</w:t>
      </w:r>
      <w:r w:rsidR="003B5326">
        <w:rPr>
          <w:rFonts w:ascii="new roman" w:hAnsi="new roman" w:cs="Segoe UI"/>
          <w:lang w:val="en-US"/>
        </w:rPr>
        <w:t>f his claim is</w:t>
      </w:r>
      <w:r>
        <w:rPr>
          <w:rFonts w:ascii="new roman" w:hAnsi="new roman" w:cs="Segoe UI"/>
          <w:lang w:val="en-US"/>
        </w:rPr>
        <w:t xml:space="preserve"> as </w:t>
      </w:r>
      <w:r w:rsidR="00DD2433" w:rsidRPr="00EE0CFA">
        <w:rPr>
          <w:rFonts w:ascii="new roman" w:hAnsi="new roman" w:cs="Segoe UI"/>
          <w:lang w:val="en-US"/>
        </w:rPr>
        <w:t>solid h</w:t>
      </w:r>
      <w:r>
        <w:rPr>
          <w:rFonts w:ascii="new roman" w:hAnsi="new roman" w:cs="Segoe UI"/>
          <w:lang w:val="en-US"/>
        </w:rPr>
        <w:t>e will have the last laugh at</w:t>
      </w:r>
      <w:r w:rsidR="00DD2433" w:rsidRPr="00EE0CFA">
        <w:rPr>
          <w:rFonts w:ascii="new roman" w:hAnsi="new roman" w:cs="Segoe UI"/>
          <w:lang w:val="en-US"/>
        </w:rPr>
        <w:t xml:space="preserve"> the conclusion of a full</w:t>
      </w:r>
      <w:r w:rsidR="003B5326">
        <w:rPr>
          <w:rFonts w:ascii="new roman" w:hAnsi="new roman" w:cs="Segoe UI"/>
          <w:lang w:val="en-US"/>
        </w:rPr>
        <w:t xml:space="preserve"> ejectment</w:t>
      </w:r>
      <w:r w:rsidR="00DD2433" w:rsidRPr="00EE0CFA">
        <w:rPr>
          <w:rFonts w:ascii="new roman" w:hAnsi="new roman" w:cs="Segoe UI"/>
          <w:lang w:val="en-US"/>
        </w:rPr>
        <w:t xml:space="preserve"> trial.</w:t>
      </w:r>
      <w:r w:rsidR="003B5326">
        <w:rPr>
          <w:rFonts w:ascii="new roman" w:hAnsi="new roman" w:cs="Segoe UI"/>
          <w:lang w:val="en-US"/>
        </w:rPr>
        <w:t xml:space="preserve"> </w:t>
      </w:r>
    </w:p>
    <w:p w14:paraId="62BC075E" w14:textId="4E473B24" w:rsidR="0005055A" w:rsidRPr="00EE0CFA" w:rsidRDefault="003B5326"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Pr>
          <w:rFonts w:ascii="new roman" w:hAnsi="new roman" w:cs="Segoe UI"/>
          <w:lang w:val="en-US"/>
        </w:rPr>
        <w:t>[3</w:t>
      </w:r>
      <w:r w:rsidR="00460687">
        <w:rPr>
          <w:rFonts w:ascii="new roman" w:hAnsi="new roman" w:cs="Segoe UI"/>
          <w:lang w:val="en-US"/>
        </w:rPr>
        <w:t>7</w:t>
      </w:r>
      <w:r>
        <w:rPr>
          <w:rFonts w:ascii="new roman" w:hAnsi="new roman" w:cs="Segoe UI"/>
          <w:lang w:val="en-US"/>
        </w:rPr>
        <w:t xml:space="preserve">] </w:t>
      </w:r>
      <w:r w:rsidR="00330E9E">
        <w:rPr>
          <w:rFonts w:ascii="new roman" w:hAnsi="new roman" w:cs="Segoe UI"/>
          <w:lang w:val="en-US"/>
        </w:rPr>
        <w:t>There is no justification for</w:t>
      </w:r>
      <w:r w:rsidR="0005055A" w:rsidRPr="00EE0CFA">
        <w:rPr>
          <w:rFonts w:ascii="new roman" w:hAnsi="new roman" w:cs="Segoe UI"/>
          <w:lang w:val="en-US"/>
        </w:rPr>
        <w:t xml:space="preserve"> costs </w:t>
      </w:r>
      <w:r w:rsidR="00314FC7">
        <w:rPr>
          <w:rFonts w:ascii="new roman" w:hAnsi="new roman" w:cs="Segoe UI"/>
          <w:lang w:val="en-US"/>
        </w:rPr>
        <w:t>at</w:t>
      </w:r>
      <w:bookmarkStart w:id="0" w:name="_GoBack"/>
      <w:bookmarkEnd w:id="0"/>
      <w:r w:rsidR="001F39CF">
        <w:rPr>
          <w:rFonts w:ascii="new roman" w:hAnsi="new roman" w:cs="Segoe UI"/>
          <w:lang w:val="en-US"/>
        </w:rPr>
        <w:t xml:space="preserve"> a higher scale </w:t>
      </w:r>
      <w:r w:rsidR="0005055A" w:rsidRPr="00EE0CFA">
        <w:rPr>
          <w:rFonts w:ascii="new roman" w:hAnsi="new roman" w:cs="Segoe UI"/>
          <w:lang w:val="en-US"/>
        </w:rPr>
        <w:t xml:space="preserve">as claimed. Each litigant </w:t>
      </w:r>
      <w:r w:rsidR="00B24737" w:rsidRPr="00EE0CFA">
        <w:rPr>
          <w:rFonts w:ascii="new roman" w:hAnsi="new roman" w:cs="Segoe UI"/>
          <w:lang w:val="en-US"/>
        </w:rPr>
        <w:t xml:space="preserve">must </w:t>
      </w:r>
      <w:r w:rsidR="00B24737">
        <w:rPr>
          <w:rFonts w:ascii="new roman" w:hAnsi="new roman" w:cs="Segoe UI"/>
          <w:lang w:val="en-US"/>
        </w:rPr>
        <w:t>have</w:t>
      </w:r>
      <w:r>
        <w:rPr>
          <w:rFonts w:ascii="new roman" w:hAnsi="new roman" w:cs="Segoe UI"/>
          <w:lang w:val="en-US"/>
        </w:rPr>
        <w:t xml:space="preserve"> their </w:t>
      </w:r>
      <w:r w:rsidR="00B24737">
        <w:rPr>
          <w:rFonts w:ascii="new roman" w:hAnsi="new roman" w:cs="Segoe UI"/>
          <w:lang w:val="en-US"/>
        </w:rPr>
        <w:t xml:space="preserve">day </w:t>
      </w:r>
      <w:r w:rsidR="00B24737" w:rsidRPr="00EE0CFA">
        <w:rPr>
          <w:rFonts w:ascii="new roman" w:hAnsi="new roman" w:cs="Segoe UI"/>
          <w:lang w:val="en-US"/>
        </w:rPr>
        <w:t>in</w:t>
      </w:r>
      <w:r w:rsidR="0005055A" w:rsidRPr="00EE0CFA">
        <w:rPr>
          <w:rFonts w:ascii="new roman" w:hAnsi="new roman" w:cs="Segoe UI"/>
          <w:lang w:val="en-US"/>
        </w:rPr>
        <w:t xml:space="preserve"> </w:t>
      </w:r>
      <w:r>
        <w:rPr>
          <w:rFonts w:ascii="new roman" w:hAnsi="new roman" w:cs="Segoe UI"/>
          <w:lang w:val="en-US"/>
        </w:rPr>
        <w:t xml:space="preserve">the trial </w:t>
      </w:r>
      <w:r w:rsidR="0005055A" w:rsidRPr="00EE0CFA">
        <w:rPr>
          <w:rFonts w:ascii="new roman" w:hAnsi="new roman" w:cs="Segoe UI"/>
          <w:lang w:val="en-US"/>
        </w:rPr>
        <w:t xml:space="preserve">court without the </w:t>
      </w:r>
      <w:r w:rsidR="00B24737" w:rsidRPr="00EE0CFA">
        <w:rPr>
          <w:rFonts w:ascii="new roman" w:hAnsi="new roman" w:cs="Segoe UI"/>
          <w:lang w:val="en-US"/>
        </w:rPr>
        <w:t xml:space="preserve">constraints </w:t>
      </w:r>
      <w:r w:rsidR="00B24737">
        <w:rPr>
          <w:rFonts w:ascii="new roman" w:hAnsi="new roman" w:cs="Segoe UI"/>
          <w:lang w:val="en-US"/>
        </w:rPr>
        <w:t>of</w:t>
      </w:r>
      <w:r>
        <w:rPr>
          <w:rFonts w:ascii="new roman" w:hAnsi="new roman" w:cs="Segoe UI"/>
          <w:lang w:val="en-US"/>
        </w:rPr>
        <w:t xml:space="preserve"> </w:t>
      </w:r>
      <w:r w:rsidR="0005055A" w:rsidRPr="00EE0CFA">
        <w:rPr>
          <w:rFonts w:ascii="new roman" w:hAnsi="new roman" w:cs="Segoe UI"/>
          <w:lang w:val="en-US"/>
        </w:rPr>
        <w:t>punitive legal costs.</w:t>
      </w:r>
    </w:p>
    <w:p w14:paraId="62739F16" w14:textId="77777777" w:rsidR="003B5326" w:rsidRDefault="0005055A"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sidRPr="00EE0CFA">
        <w:rPr>
          <w:rFonts w:ascii="new roman" w:hAnsi="new roman" w:cs="Segoe UI"/>
          <w:lang w:val="en-US"/>
        </w:rPr>
        <w:t>Accordingly,</w:t>
      </w:r>
    </w:p>
    <w:p w14:paraId="08AAEE4E" w14:textId="77777777" w:rsidR="0005055A" w:rsidRPr="00EE0CFA" w:rsidRDefault="0005055A" w:rsidP="00711063">
      <w:pPr>
        <w:pStyle w:val="western"/>
        <w:shd w:val="clear" w:color="auto" w:fill="FFFFFF"/>
        <w:spacing w:before="0" w:beforeAutospacing="0" w:after="158" w:afterAutospacing="0" w:line="360" w:lineRule="auto"/>
        <w:jc w:val="both"/>
        <w:rPr>
          <w:rFonts w:ascii="new roman" w:hAnsi="new roman" w:cs="Segoe UI"/>
          <w:lang w:val="en-US"/>
        </w:rPr>
      </w:pPr>
      <w:r w:rsidRPr="00EE0CFA">
        <w:rPr>
          <w:rFonts w:ascii="new roman" w:hAnsi="new roman" w:cs="Segoe UI"/>
          <w:lang w:val="en-US"/>
        </w:rPr>
        <w:t xml:space="preserve"> </w:t>
      </w:r>
      <w:r w:rsidR="001F39CF">
        <w:rPr>
          <w:rFonts w:ascii="new roman" w:hAnsi="new roman" w:cs="Segoe UI"/>
          <w:b/>
          <w:lang w:val="en-US"/>
        </w:rPr>
        <w:t>It i</w:t>
      </w:r>
      <w:r w:rsidRPr="003B5326">
        <w:rPr>
          <w:rFonts w:ascii="new roman" w:hAnsi="new roman" w:cs="Segoe UI"/>
          <w:b/>
          <w:lang w:val="en-US"/>
        </w:rPr>
        <w:t>s ordered that</w:t>
      </w:r>
      <w:r w:rsidRPr="00EE0CFA">
        <w:rPr>
          <w:rFonts w:ascii="new roman" w:hAnsi="new roman" w:cs="Segoe UI"/>
          <w:lang w:val="en-US"/>
        </w:rPr>
        <w:t>:</w:t>
      </w:r>
    </w:p>
    <w:p w14:paraId="2084DB9D" w14:textId="77777777" w:rsidR="0005055A" w:rsidRPr="00EE0CFA" w:rsidRDefault="0005055A"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sidRPr="00EE0CFA">
        <w:rPr>
          <w:rFonts w:ascii="new roman" w:hAnsi="new roman" w:cs="Segoe UI"/>
          <w:lang w:val="en-US"/>
        </w:rPr>
        <w:t>The application for summary judgment is hereby dismissed.</w:t>
      </w:r>
    </w:p>
    <w:p w14:paraId="23E9CF22" w14:textId="77777777" w:rsidR="0005055A" w:rsidRDefault="0005055A" w:rsidP="00711063">
      <w:pPr>
        <w:pStyle w:val="western"/>
        <w:shd w:val="clear" w:color="auto" w:fill="FFFFFF"/>
        <w:spacing w:before="0" w:beforeAutospacing="0" w:after="158" w:afterAutospacing="0" w:line="360" w:lineRule="auto"/>
        <w:ind w:firstLine="720"/>
        <w:jc w:val="both"/>
        <w:rPr>
          <w:rFonts w:ascii="new roman" w:hAnsi="new roman" w:cs="Segoe UI"/>
          <w:lang w:val="en-US"/>
        </w:rPr>
      </w:pPr>
      <w:r w:rsidRPr="00EE0CFA">
        <w:rPr>
          <w:rFonts w:ascii="new roman" w:hAnsi="new roman" w:cs="Segoe UI"/>
          <w:lang w:val="en-US"/>
        </w:rPr>
        <w:t>Each part</w:t>
      </w:r>
      <w:r w:rsidR="006F1E5A" w:rsidRPr="00EE0CFA">
        <w:rPr>
          <w:rFonts w:ascii="new roman" w:hAnsi="new roman" w:cs="Segoe UI"/>
          <w:lang w:val="en-US"/>
        </w:rPr>
        <w:t xml:space="preserve">y </w:t>
      </w:r>
      <w:r w:rsidRPr="00EE0CFA">
        <w:rPr>
          <w:rFonts w:ascii="new roman" w:hAnsi="new roman" w:cs="Segoe UI"/>
          <w:lang w:val="en-US"/>
        </w:rPr>
        <w:t>to pay its own costs.</w:t>
      </w:r>
    </w:p>
    <w:p w14:paraId="5BBC0E90" w14:textId="1494CEB7" w:rsidR="003B5326" w:rsidRDefault="003B5326" w:rsidP="00711063">
      <w:pPr>
        <w:pStyle w:val="western"/>
        <w:shd w:val="clear" w:color="auto" w:fill="FFFFFF"/>
        <w:spacing w:before="0" w:beforeAutospacing="0" w:after="158" w:afterAutospacing="0" w:line="360" w:lineRule="auto"/>
        <w:jc w:val="both"/>
        <w:rPr>
          <w:rFonts w:ascii="new roman" w:hAnsi="new roman" w:cs="Segoe UI"/>
          <w:lang w:val="en-US"/>
        </w:rPr>
      </w:pPr>
    </w:p>
    <w:p w14:paraId="2BCB0DEF" w14:textId="77777777" w:rsidR="00B24737" w:rsidRPr="00EE0CFA" w:rsidRDefault="00B24737" w:rsidP="00711063">
      <w:pPr>
        <w:pStyle w:val="western"/>
        <w:shd w:val="clear" w:color="auto" w:fill="FFFFFF"/>
        <w:spacing w:before="0" w:beforeAutospacing="0" w:after="158" w:afterAutospacing="0" w:line="360" w:lineRule="auto"/>
        <w:jc w:val="both"/>
        <w:rPr>
          <w:rFonts w:ascii="new roman" w:hAnsi="new roman" w:cs="Segoe UI"/>
          <w:lang w:val="en-US"/>
        </w:rPr>
      </w:pPr>
    </w:p>
    <w:p w14:paraId="58878187" w14:textId="13B5018D" w:rsidR="0005055A" w:rsidRPr="003B5326" w:rsidRDefault="00EE0CFA" w:rsidP="00711063">
      <w:pPr>
        <w:pStyle w:val="western"/>
        <w:shd w:val="clear" w:color="auto" w:fill="FFFFFF"/>
        <w:spacing w:before="0" w:beforeAutospacing="0" w:after="0" w:afterAutospacing="0" w:line="360" w:lineRule="auto"/>
        <w:jc w:val="both"/>
        <w:rPr>
          <w:rFonts w:ascii="new roman" w:hAnsi="new roman" w:cs="Segoe UI"/>
          <w:lang w:val="en-US"/>
        </w:rPr>
      </w:pPr>
      <w:proofErr w:type="spellStart"/>
      <w:r w:rsidRPr="00EE0CFA">
        <w:rPr>
          <w:rFonts w:ascii="new roman" w:hAnsi="new roman" w:cs="Segoe UI"/>
          <w:i/>
          <w:lang w:val="en-US"/>
        </w:rPr>
        <w:t>Chikwangwani</w:t>
      </w:r>
      <w:proofErr w:type="spellEnd"/>
      <w:r w:rsidRPr="00EE0CFA">
        <w:rPr>
          <w:rFonts w:ascii="new roman" w:hAnsi="new roman" w:cs="Segoe UI"/>
          <w:i/>
          <w:lang w:val="en-US"/>
        </w:rPr>
        <w:t xml:space="preserve"> and </w:t>
      </w:r>
      <w:proofErr w:type="spellStart"/>
      <w:r w:rsidRPr="00EE0CFA">
        <w:rPr>
          <w:rFonts w:ascii="new roman" w:hAnsi="new roman" w:cs="Segoe UI"/>
          <w:i/>
          <w:lang w:val="en-US"/>
        </w:rPr>
        <w:t>Tapi</w:t>
      </w:r>
      <w:proofErr w:type="spellEnd"/>
      <w:r w:rsidRPr="00EE0CFA">
        <w:rPr>
          <w:rFonts w:ascii="new roman" w:hAnsi="new roman" w:cs="Segoe UI"/>
          <w:i/>
          <w:lang w:val="en-US"/>
        </w:rPr>
        <w:t xml:space="preserve"> Attorneys</w:t>
      </w:r>
      <w:r w:rsidR="003B5326">
        <w:rPr>
          <w:rFonts w:ascii="new roman" w:hAnsi="new roman" w:cs="Segoe UI"/>
          <w:i/>
          <w:lang w:val="en-US"/>
        </w:rPr>
        <w:t xml:space="preserve">, </w:t>
      </w:r>
      <w:r w:rsidR="009E0429">
        <w:rPr>
          <w:rFonts w:ascii="new roman" w:hAnsi="new roman" w:cs="Segoe UI"/>
          <w:lang w:val="en-US"/>
        </w:rPr>
        <w:t>a</w:t>
      </w:r>
      <w:r w:rsidRPr="003B5326">
        <w:rPr>
          <w:rFonts w:ascii="new roman" w:hAnsi="new roman" w:cs="Segoe UI"/>
          <w:lang w:val="en-US"/>
        </w:rPr>
        <w:t>pplicant</w:t>
      </w:r>
      <w:r w:rsidR="003B5326" w:rsidRPr="003B5326">
        <w:rPr>
          <w:rFonts w:ascii="new roman" w:hAnsi="new roman" w:cs="Segoe UI"/>
          <w:lang w:val="en-US"/>
        </w:rPr>
        <w:t xml:space="preserve">’s </w:t>
      </w:r>
      <w:r w:rsidR="00B24737">
        <w:rPr>
          <w:rFonts w:ascii="new roman" w:hAnsi="new roman" w:cs="Segoe UI"/>
          <w:lang w:val="en-US"/>
        </w:rPr>
        <w:t>L</w:t>
      </w:r>
      <w:r w:rsidR="003B5326" w:rsidRPr="003B5326">
        <w:rPr>
          <w:rFonts w:ascii="new roman" w:hAnsi="new roman" w:cs="Segoe UI"/>
          <w:lang w:val="en-US"/>
        </w:rPr>
        <w:t xml:space="preserve">egal </w:t>
      </w:r>
      <w:r w:rsidR="00B24737">
        <w:rPr>
          <w:rFonts w:ascii="new roman" w:hAnsi="new roman" w:cs="Segoe UI"/>
          <w:lang w:val="en-US"/>
        </w:rPr>
        <w:t>P</w:t>
      </w:r>
      <w:r w:rsidR="003B5326" w:rsidRPr="003B5326">
        <w:rPr>
          <w:rFonts w:ascii="new roman" w:hAnsi="new roman" w:cs="Segoe UI"/>
          <w:lang w:val="en-US"/>
        </w:rPr>
        <w:t>ractitioners</w:t>
      </w:r>
    </w:p>
    <w:p w14:paraId="3820D093" w14:textId="22093359" w:rsidR="00363324" w:rsidRPr="009E0429" w:rsidRDefault="00EE0CFA" w:rsidP="009E0429">
      <w:pPr>
        <w:pStyle w:val="western"/>
        <w:shd w:val="clear" w:color="auto" w:fill="FFFFFF"/>
        <w:spacing w:before="0" w:beforeAutospacing="0" w:after="0" w:afterAutospacing="0" w:line="360" w:lineRule="auto"/>
        <w:jc w:val="both"/>
        <w:rPr>
          <w:rFonts w:ascii="new roman" w:hAnsi="new roman" w:cs="Segoe UI"/>
          <w:lang w:val="en-US"/>
        </w:rPr>
      </w:pPr>
      <w:r w:rsidRPr="00EE0CFA">
        <w:rPr>
          <w:rFonts w:ascii="new roman" w:hAnsi="new roman" w:cs="Segoe UI"/>
          <w:i/>
          <w:lang w:val="en-US"/>
        </w:rPr>
        <w:t xml:space="preserve">C. </w:t>
      </w:r>
      <w:proofErr w:type="spellStart"/>
      <w:r w:rsidRPr="00EE0CFA">
        <w:rPr>
          <w:rFonts w:ascii="new roman" w:hAnsi="new roman" w:cs="Segoe UI"/>
          <w:i/>
          <w:lang w:val="en-US"/>
        </w:rPr>
        <w:t>Nhemwa</w:t>
      </w:r>
      <w:proofErr w:type="spellEnd"/>
      <w:r w:rsidRPr="00EE0CFA">
        <w:rPr>
          <w:rFonts w:ascii="new roman" w:hAnsi="new roman" w:cs="Segoe UI"/>
          <w:i/>
          <w:lang w:val="en-US"/>
        </w:rPr>
        <w:t xml:space="preserve"> and Associates </w:t>
      </w:r>
      <w:r w:rsidR="009E0429">
        <w:rPr>
          <w:rFonts w:ascii="new roman" w:hAnsi="new roman" w:cs="Segoe UI"/>
          <w:i/>
          <w:lang w:val="en-US"/>
        </w:rPr>
        <w:t>L</w:t>
      </w:r>
      <w:r w:rsidRPr="00EE0CFA">
        <w:rPr>
          <w:rFonts w:ascii="new roman" w:hAnsi="new roman" w:cs="Segoe UI"/>
          <w:i/>
          <w:lang w:val="en-US"/>
        </w:rPr>
        <w:t>egal Practiti</w:t>
      </w:r>
      <w:r w:rsidR="003B5326">
        <w:rPr>
          <w:rFonts w:ascii="new roman" w:hAnsi="new roman" w:cs="Segoe UI"/>
          <w:i/>
          <w:lang w:val="en-US"/>
        </w:rPr>
        <w:t>oners,</w:t>
      </w:r>
      <w:r w:rsidRPr="00EE0CFA">
        <w:rPr>
          <w:rFonts w:ascii="new roman" w:hAnsi="new roman" w:cs="Segoe UI"/>
          <w:i/>
          <w:lang w:val="en-US"/>
        </w:rPr>
        <w:t xml:space="preserve"> </w:t>
      </w:r>
      <w:r w:rsidR="009E0429">
        <w:rPr>
          <w:rFonts w:ascii="new roman" w:hAnsi="new roman" w:cs="Segoe UI"/>
          <w:lang w:val="en-US"/>
        </w:rPr>
        <w:t>1</w:t>
      </w:r>
      <w:r w:rsidR="009E0429" w:rsidRPr="009E0429">
        <w:rPr>
          <w:rFonts w:ascii="new roman" w:hAnsi="new roman" w:cs="Segoe UI"/>
          <w:vertAlign w:val="superscript"/>
          <w:lang w:val="en-US"/>
        </w:rPr>
        <w:t>st</w:t>
      </w:r>
      <w:r w:rsidR="009E0429">
        <w:rPr>
          <w:rFonts w:ascii="new roman" w:hAnsi="new roman" w:cs="Segoe UI"/>
          <w:lang w:val="en-US"/>
        </w:rPr>
        <w:t xml:space="preserve"> </w:t>
      </w:r>
      <w:r w:rsidRPr="003B5326">
        <w:rPr>
          <w:rFonts w:ascii="new roman" w:hAnsi="new roman" w:cs="Segoe UI"/>
          <w:lang w:val="en-US"/>
        </w:rPr>
        <w:t xml:space="preserve">respondent ‘s </w:t>
      </w:r>
      <w:r w:rsidR="00B24737">
        <w:rPr>
          <w:rFonts w:ascii="new roman" w:hAnsi="new roman" w:cs="Segoe UI"/>
          <w:lang w:val="en-US"/>
        </w:rPr>
        <w:t>L</w:t>
      </w:r>
      <w:r w:rsidR="003B5326" w:rsidRPr="003B5326">
        <w:rPr>
          <w:rFonts w:ascii="new roman" w:hAnsi="new roman" w:cs="Segoe UI"/>
          <w:lang w:val="en-US"/>
        </w:rPr>
        <w:t>egal Practitioners</w:t>
      </w:r>
      <w:r w:rsidR="003B5326" w:rsidRPr="00EE0CFA">
        <w:rPr>
          <w:rFonts w:ascii="new roman" w:hAnsi="new roman" w:cs="Segoe UI"/>
          <w:i/>
          <w:lang w:val="en-US"/>
        </w:rPr>
        <w:t xml:space="preserve">  </w:t>
      </w:r>
      <w:r w:rsidR="001B6969">
        <w:rPr>
          <w:rFonts w:ascii="new roman" w:hAnsi="new roman" w:cs="Segoe UI"/>
          <w:lang w:val="en-US"/>
        </w:rPr>
        <w:t xml:space="preserve"> </w:t>
      </w:r>
      <w:r w:rsidR="0085336D">
        <w:rPr>
          <w:rFonts w:ascii="new roman" w:hAnsi="new roman" w:cs="Segoe UI"/>
          <w:lang w:val="en-US"/>
        </w:rPr>
        <w:t xml:space="preserve"> </w:t>
      </w:r>
    </w:p>
    <w:sectPr w:rsidR="00363324" w:rsidRPr="009E042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C9B90" w14:textId="77777777" w:rsidR="00244015" w:rsidRDefault="00244015" w:rsidP="00B751BD">
      <w:pPr>
        <w:spacing w:after="0" w:line="240" w:lineRule="auto"/>
      </w:pPr>
      <w:r>
        <w:separator/>
      </w:r>
    </w:p>
  </w:endnote>
  <w:endnote w:type="continuationSeparator" w:id="0">
    <w:p w14:paraId="6D11BE8D" w14:textId="77777777" w:rsidR="00244015" w:rsidRDefault="00244015" w:rsidP="00B75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roman)">
    <w:altName w:val="Times New Roman"/>
    <w:panose1 w:val="00000000000000000000"/>
    <w:charset w:val="00"/>
    <w:family w:val="roman"/>
    <w:notTrueType/>
    <w:pitch w:val="default"/>
  </w:font>
  <w:font w:name="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2258B" w14:textId="77777777" w:rsidR="00244015" w:rsidRDefault="00244015" w:rsidP="00B751BD">
      <w:pPr>
        <w:spacing w:after="0" w:line="240" w:lineRule="auto"/>
      </w:pPr>
      <w:r>
        <w:separator/>
      </w:r>
    </w:p>
  </w:footnote>
  <w:footnote w:type="continuationSeparator" w:id="0">
    <w:p w14:paraId="1F5F11AB" w14:textId="77777777" w:rsidR="00244015" w:rsidRDefault="00244015" w:rsidP="00B751BD">
      <w:pPr>
        <w:spacing w:after="0" w:line="240" w:lineRule="auto"/>
      </w:pPr>
      <w:r>
        <w:continuationSeparator/>
      </w:r>
    </w:p>
  </w:footnote>
  <w:footnote w:id="1">
    <w:p w14:paraId="6C67F1AF" w14:textId="77777777" w:rsidR="00F67723" w:rsidRDefault="00F67723">
      <w:pPr>
        <w:pStyle w:val="FootnoteText"/>
      </w:pPr>
      <w:r>
        <w:rPr>
          <w:rStyle w:val="FootnoteReference"/>
        </w:rPr>
        <w:footnoteRef/>
      </w:r>
      <w:r>
        <w:t xml:space="preserve"> Ashanti Goldfields Zimbabwe Ltd v </w:t>
      </w:r>
      <w:proofErr w:type="spellStart"/>
      <w:r>
        <w:t>Mdala</w:t>
      </w:r>
      <w:proofErr w:type="spellEnd"/>
      <w:r>
        <w:t xml:space="preserve"> SC60/2017.</w:t>
      </w:r>
    </w:p>
  </w:footnote>
  <w:footnote w:id="2">
    <w:p w14:paraId="6AAFC99F" w14:textId="77777777" w:rsidR="004560CA" w:rsidRDefault="004560CA">
      <w:pPr>
        <w:pStyle w:val="FootnoteText"/>
      </w:pPr>
      <w:r>
        <w:rPr>
          <w:rStyle w:val="FootnoteReference"/>
        </w:rPr>
        <w:footnoteRef/>
      </w:r>
      <w:r>
        <w:rPr>
          <w:rStyle w:val="FootnoteReference"/>
        </w:rPr>
        <w:t xml:space="preserve"> </w:t>
      </w:r>
      <w:r>
        <w:t>SC116/23</w:t>
      </w:r>
    </w:p>
  </w:footnote>
  <w:footnote w:id="3">
    <w:p w14:paraId="74D6D8A9" w14:textId="7231A19C" w:rsidR="001340FA" w:rsidRDefault="001340FA">
      <w:pPr>
        <w:pStyle w:val="FootnoteText"/>
      </w:pPr>
      <w:r>
        <w:rPr>
          <w:rStyle w:val="FootnoteReference"/>
        </w:rPr>
        <w:footnoteRef/>
      </w:r>
      <w:r>
        <w:t xml:space="preserve"> See, </w:t>
      </w:r>
      <w:r w:rsidR="00A472D8">
        <w:t xml:space="preserve">WM </w:t>
      </w:r>
      <w:proofErr w:type="spellStart"/>
      <w:r w:rsidR="00A472D8">
        <w:t>mentz</w:t>
      </w:r>
      <w:proofErr w:type="spellEnd"/>
      <w:r w:rsidR="00A472D8">
        <w:t xml:space="preserve"> &amp; </w:t>
      </w:r>
      <w:proofErr w:type="spellStart"/>
      <w:r w:rsidR="00A472D8">
        <w:t>Seuns</w:t>
      </w:r>
      <w:proofErr w:type="spellEnd"/>
      <w:r w:rsidR="00A472D8">
        <w:t xml:space="preserve"> (</w:t>
      </w:r>
      <w:proofErr w:type="spellStart"/>
      <w:r w:rsidR="00A472D8">
        <w:t>Edms</w:t>
      </w:r>
      <w:proofErr w:type="spellEnd"/>
      <w:r w:rsidR="00A472D8">
        <w:t xml:space="preserve">) </w:t>
      </w:r>
      <w:proofErr w:type="spellStart"/>
      <w:r w:rsidR="00A472D8">
        <w:t>Bpk</w:t>
      </w:r>
      <w:proofErr w:type="spellEnd"/>
      <w:r w:rsidR="00A472D8">
        <w:t xml:space="preserve"> v </w:t>
      </w:r>
      <w:proofErr w:type="spellStart"/>
      <w:r w:rsidR="00A472D8">
        <w:t>Katzake</w:t>
      </w:r>
      <w:proofErr w:type="spellEnd"/>
      <w:r w:rsidR="00A472D8">
        <w:t xml:space="preserve"> 1969 (3) SA 306(T),</w:t>
      </w:r>
      <w:r w:rsidR="00E831A1">
        <w:t xml:space="preserve"> </w:t>
      </w:r>
      <w:r>
        <w:t>Barclays Western bank ltd v Bill Jonker Factory</w:t>
      </w:r>
      <w:r w:rsidR="00A472D8">
        <w:t xml:space="preserve"> Services (Pty) Ltd 1980 SA (SE)</w:t>
      </w:r>
    </w:p>
  </w:footnote>
  <w:footnote w:id="4">
    <w:p w14:paraId="7142CDEB" w14:textId="13A669B3" w:rsidR="00041C78" w:rsidRDefault="00041C78">
      <w:pPr>
        <w:pStyle w:val="FootnoteText"/>
      </w:pPr>
      <w:r>
        <w:rPr>
          <w:rStyle w:val="FootnoteReference"/>
        </w:rPr>
        <w:footnoteRef/>
      </w:r>
      <w:r>
        <w:t xml:space="preserve"> First national bank of SA v </w:t>
      </w:r>
      <w:proofErr w:type="spellStart"/>
      <w:r>
        <w:t>Myburgh</w:t>
      </w:r>
      <w:proofErr w:type="spellEnd"/>
      <w:r>
        <w:t xml:space="preserve"> and Another 2002 (4)</w:t>
      </w:r>
      <w:r w:rsidR="00E831A1">
        <w:t xml:space="preserve"> </w:t>
      </w:r>
      <w:r>
        <w:t>SA176(CPD)</w:t>
      </w:r>
    </w:p>
  </w:footnote>
  <w:footnote w:id="5">
    <w:p w14:paraId="2AE29A65" w14:textId="7511D69A" w:rsidR="00570080" w:rsidRPr="00B376D6" w:rsidRDefault="00570080" w:rsidP="00570080">
      <w:pPr>
        <w:spacing w:after="0" w:line="360" w:lineRule="auto"/>
        <w:jc w:val="both"/>
        <w:rPr>
          <w:rFonts w:cstheme="minorHAnsi"/>
        </w:rPr>
      </w:pPr>
      <w:r>
        <w:rPr>
          <w:rStyle w:val="FootnoteReference"/>
        </w:rPr>
        <w:footnoteRef/>
      </w:r>
      <w:r>
        <w:t xml:space="preserve"> </w:t>
      </w:r>
      <w:proofErr w:type="spellStart"/>
      <w:r w:rsidRPr="00B376D6">
        <w:rPr>
          <w:rFonts w:cstheme="minorHAnsi"/>
          <w:sz w:val="20"/>
          <w:szCs w:val="20"/>
        </w:rPr>
        <w:t>Majoni</w:t>
      </w:r>
      <w:proofErr w:type="spellEnd"/>
      <w:r w:rsidRPr="00B376D6">
        <w:rPr>
          <w:rFonts w:cstheme="minorHAnsi"/>
          <w:sz w:val="20"/>
          <w:szCs w:val="20"/>
        </w:rPr>
        <w:t xml:space="preserve"> v Ministry of Local Government and National </w:t>
      </w:r>
      <w:r>
        <w:rPr>
          <w:rFonts w:cstheme="minorHAnsi"/>
          <w:sz w:val="20"/>
          <w:szCs w:val="20"/>
        </w:rPr>
        <w:t xml:space="preserve">Housing 2001 (1) ZLR 143 (S)  </w:t>
      </w:r>
      <w:r w:rsidRPr="00570080">
        <w:rPr>
          <w:rFonts w:cstheme="minorHAnsi"/>
          <w:iCs/>
          <w:sz w:val="18"/>
          <w:szCs w:val="18"/>
          <w:lang w:val="en-US"/>
        </w:rPr>
        <w:t>Jena</w:t>
      </w:r>
      <w:r w:rsidRPr="00570080">
        <w:rPr>
          <w:rFonts w:cstheme="minorHAnsi"/>
          <w:sz w:val="18"/>
          <w:szCs w:val="18"/>
          <w:lang w:val="en-US"/>
        </w:rPr>
        <w:t> v </w:t>
      </w:r>
      <w:proofErr w:type="spellStart"/>
      <w:r w:rsidRPr="00570080">
        <w:rPr>
          <w:rFonts w:cstheme="minorHAnsi"/>
          <w:iCs/>
          <w:sz w:val="18"/>
          <w:szCs w:val="18"/>
          <w:lang w:val="en-US"/>
        </w:rPr>
        <w:t>Nechipote</w:t>
      </w:r>
      <w:proofErr w:type="spellEnd"/>
      <w:r w:rsidRPr="00570080">
        <w:rPr>
          <w:rFonts w:cstheme="minorHAnsi"/>
          <w:sz w:val="18"/>
          <w:szCs w:val="18"/>
          <w:lang w:val="en-US"/>
        </w:rPr>
        <w:t> 1986 (1) ZLR 29 (SC</w:t>
      </w:r>
      <w:r w:rsidRPr="000F2E32">
        <w:rPr>
          <w:rFonts w:ascii="new roman" w:hAnsi="new roman" w:cs="Segoe UI"/>
          <w:lang w:val="en-US"/>
        </w:rPr>
        <w:t>); </w:t>
      </w:r>
    </w:p>
  </w:footnote>
  <w:footnote w:id="6">
    <w:p w14:paraId="5249EF6E" w14:textId="77777777" w:rsidR="00570080" w:rsidRDefault="00570080" w:rsidP="003117D0">
      <w:pPr>
        <w:spacing w:after="0" w:line="360" w:lineRule="auto"/>
        <w:jc w:val="both"/>
      </w:pPr>
      <w:r>
        <w:rPr>
          <w:rStyle w:val="FootnoteReference"/>
        </w:rPr>
        <w:footnoteRef/>
      </w:r>
      <w:r>
        <w:t xml:space="preserve"> </w:t>
      </w:r>
      <w:r w:rsidRPr="00570080">
        <w:rPr>
          <w:rFonts w:cstheme="minorHAnsi"/>
          <w:iCs/>
          <w:sz w:val="18"/>
          <w:szCs w:val="18"/>
          <w:lang w:val="en-US"/>
        </w:rPr>
        <w:t>Jena</w:t>
      </w:r>
      <w:r w:rsidRPr="00570080">
        <w:rPr>
          <w:rFonts w:cstheme="minorHAnsi"/>
          <w:sz w:val="18"/>
          <w:szCs w:val="18"/>
          <w:lang w:val="en-US"/>
        </w:rPr>
        <w:t> v </w:t>
      </w:r>
      <w:proofErr w:type="spellStart"/>
      <w:r w:rsidRPr="00570080">
        <w:rPr>
          <w:rFonts w:cstheme="minorHAnsi"/>
          <w:iCs/>
          <w:sz w:val="18"/>
          <w:szCs w:val="18"/>
          <w:lang w:val="en-US"/>
        </w:rPr>
        <w:t>Nechipote</w:t>
      </w:r>
      <w:proofErr w:type="spellEnd"/>
      <w:r>
        <w:rPr>
          <w:rFonts w:cstheme="minorHAnsi"/>
          <w:sz w:val="18"/>
          <w:szCs w:val="18"/>
          <w:lang w:val="en-US"/>
        </w:rPr>
        <w:t> supra</w:t>
      </w:r>
      <w:r w:rsidRPr="000F2E32">
        <w:rPr>
          <w:rFonts w:ascii="new roman" w:hAnsi="new roman" w:cs="Segoe UI"/>
          <w:lang w:val="en-US"/>
        </w:rPr>
        <w:t> </w:t>
      </w:r>
    </w:p>
  </w:footnote>
  <w:footnote w:id="7">
    <w:p w14:paraId="79732786" w14:textId="77777777" w:rsidR="00681D91" w:rsidRDefault="00681D91">
      <w:pPr>
        <w:pStyle w:val="FootnoteText"/>
      </w:pPr>
      <w:r>
        <w:rPr>
          <w:rStyle w:val="FootnoteReference"/>
        </w:rPr>
        <w:footnoteRef/>
      </w:r>
      <w:r>
        <w:t xml:space="preserve"> </w:t>
      </w:r>
      <w:r w:rsidR="00094F25">
        <w:t>see note 1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44820"/>
      <w:docPartObj>
        <w:docPartGallery w:val="Page Numbers (Top of Page)"/>
        <w:docPartUnique/>
      </w:docPartObj>
    </w:sdtPr>
    <w:sdtEndPr>
      <w:rPr>
        <w:noProof/>
      </w:rPr>
    </w:sdtEndPr>
    <w:sdtContent>
      <w:p w14:paraId="416F7006" w14:textId="77777777" w:rsidR="00711063" w:rsidRDefault="00711063">
        <w:pPr>
          <w:pStyle w:val="Header"/>
          <w:jc w:val="right"/>
          <w:rPr>
            <w:noProof/>
          </w:rPr>
        </w:pPr>
        <w:r>
          <w:fldChar w:fldCharType="begin"/>
        </w:r>
        <w:r>
          <w:instrText xml:space="preserve"> PAGE   \* MERGEFORMAT </w:instrText>
        </w:r>
        <w:r>
          <w:fldChar w:fldCharType="separate"/>
        </w:r>
        <w:r w:rsidR="00314FC7">
          <w:rPr>
            <w:noProof/>
          </w:rPr>
          <w:t>6</w:t>
        </w:r>
        <w:r>
          <w:rPr>
            <w:noProof/>
          </w:rPr>
          <w:fldChar w:fldCharType="end"/>
        </w:r>
      </w:p>
      <w:p w14:paraId="1E54520E" w14:textId="77777777" w:rsidR="00711063" w:rsidRDefault="00711063">
        <w:pPr>
          <w:pStyle w:val="Header"/>
          <w:jc w:val="right"/>
          <w:rPr>
            <w:noProof/>
          </w:rPr>
        </w:pPr>
        <w:r>
          <w:rPr>
            <w:noProof/>
          </w:rPr>
          <w:t>HCC 20/25</w:t>
        </w:r>
      </w:p>
      <w:p w14:paraId="4E28AF23" w14:textId="2E4B755F" w:rsidR="00711063" w:rsidRDefault="00711063">
        <w:pPr>
          <w:pStyle w:val="Header"/>
          <w:jc w:val="right"/>
        </w:pPr>
        <w:r>
          <w:rPr>
            <w:noProof/>
          </w:rPr>
          <w:t>REF CASE NO: HCC 47/24</w:t>
        </w:r>
      </w:p>
    </w:sdtContent>
  </w:sdt>
  <w:p w14:paraId="03B96318" w14:textId="77777777" w:rsidR="00711063" w:rsidRDefault="00711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17"/>
    <w:rsid w:val="00035E63"/>
    <w:rsid w:val="00041C78"/>
    <w:rsid w:val="0005055A"/>
    <w:rsid w:val="000552ED"/>
    <w:rsid w:val="00070635"/>
    <w:rsid w:val="00092DCE"/>
    <w:rsid w:val="00094F25"/>
    <w:rsid w:val="000A7E17"/>
    <w:rsid w:val="000B7F61"/>
    <w:rsid w:val="000F2E32"/>
    <w:rsid w:val="0013186B"/>
    <w:rsid w:val="001340FA"/>
    <w:rsid w:val="00164BEB"/>
    <w:rsid w:val="00165CE4"/>
    <w:rsid w:val="00170CC5"/>
    <w:rsid w:val="00183062"/>
    <w:rsid w:val="00184A8A"/>
    <w:rsid w:val="001B6969"/>
    <w:rsid w:val="001F39CF"/>
    <w:rsid w:val="00220AB7"/>
    <w:rsid w:val="002276C7"/>
    <w:rsid w:val="00244015"/>
    <w:rsid w:val="00244F91"/>
    <w:rsid w:val="00252205"/>
    <w:rsid w:val="00274ABA"/>
    <w:rsid w:val="002C0A34"/>
    <w:rsid w:val="00300588"/>
    <w:rsid w:val="003117D0"/>
    <w:rsid w:val="00314FC7"/>
    <w:rsid w:val="00330E9E"/>
    <w:rsid w:val="00333C2D"/>
    <w:rsid w:val="00363324"/>
    <w:rsid w:val="00391CA8"/>
    <w:rsid w:val="003B5326"/>
    <w:rsid w:val="003D1724"/>
    <w:rsid w:val="003F7009"/>
    <w:rsid w:val="00420686"/>
    <w:rsid w:val="0045013D"/>
    <w:rsid w:val="004560CA"/>
    <w:rsid w:val="00460687"/>
    <w:rsid w:val="00473A79"/>
    <w:rsid w:val="004A178B"/>
    <w:rsid w:val="0053756F"/>
    <w:rsid w:val="00540B48"/>
    <w:rsid w:val="00570080"/>
    <w:rsid w:val="00571E4F"/>
    <w:rsid w:val="00587ABE"/>
    <w:rsid w:val="005A7E72"/>
    <w:rsid w:val="005D3B8E"/>
    <w:rsid w:val="00630D63"/>
    <w:rsid w:val="00640891"/>
    <w:rsid w:val="00681D91"/>
    <w:rsid w:val="00696636"/>
    <w:rsid w:val="006A5A2E"/>
    <w:rsid w:val="006F1E5A"/>
    <w:rsid w:val="0070798E"/>
    <w:rsid w:val="00711063"/>
    <w:rsid w:val="00730C97"/>
    <w:rsid w:val="0076792A"/>
    <w:rsid w:val="00773A79"/>
    <w:rsid w:val="00776B33"/>
    <w:rsid w:val="007F6F24"/>
    <w:rsid w:val="0085336D"/>
    <w:rsid w:val="00860E32"/>
    <w:rsid w:val="00896E13"/>
    <w:rsid w:val="008C734F"/>
    <w:rsid w:val="00914C6C"/>
    <w:rsid w:val="00985DDB"/>
    <w:rsid w:val="009A5181"/>
    <w:rsid w:val="009A77F3"/>
    <w:rsid w:val="009B0D72"/>
    <w:rsid w:val="009C362F"/>
    <w:rsid w:val="009E0429"/>
    <w:rsid w:val="009F070E"/>
    <w:rsid w:val="009F5FC4"/>
    <w:rsid w:val="00A30314"/>
    <w:rsid w:val="00A472D8"/>
    <w:rsid w:val="00AA0305"/>
    <w:rsid w:val="00AD2A05"/>
    <w:rsid w:val="00B24737"/>
    <w:rsid w:val="00B376D6"/>
    <w:rsid w:val="00B47847"/>
    <w:rsid w:val="00B65AFA"/>
    <w:rsid w:val="00B70626"/>
    <w:rsid w:val="00B751BD"/>
    <w:rsid w:val="00B9372F"/>
    <w:rsid w:val="00BE77C3"/>
    <w:rsid w:val="00C523AB"/>
    <w:rsid w:val="00CA2853"/>
    <w:rsid w:val="00CA4222"/>
    <w:rsid w:val="00D01D7E"/>
    <w:rsid w:val="00D24A2C"/>
    <w:rsid w:val="00D42DC9"/>
    <w:rsid w:val="00D8066F"/>
    <w:rsid w:val="00D93CE4"/>
    <w:rsid w:val="00DC4333"/>
    <w:rsid w:val="00DD2433"/>
    <w:rsid w:val="00DE3281"/>
    <w:rsid w:val="00DE3EC2"/>
    <w:rsid w:val="00DF7BB2"/>
    <w:rsid w:val="00E11145"/>
    <w:rsid w:val="00E76351"/>
    <w:rsid w:val="00E76584"/>
    <w:rsid w:val="00E831A1"/>
    <w:rsid w:val="00EE0CFA"/>
    <w:rsid w:val="00F42E57"/>
    <w:rsid w:val="00F67723"/>
    <w:rsid w:val="00F74C29"/>
    <w:rsid w:val="00FA5528"/>
    <w:rsid w:val="00FC5CF6"/>
    <w:rsid w:val="00FD272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93CE4"/>
    <w:rPr>
      <w:i/>
      <w:iCs/>
    </w:rPr>
  </w:style>
  <w:style w:type="paragraph" w:customStyle="1" w:styleId="western">
    <w:name w:val="western"/>
    <w:basedOn w:val="Normal"/>
    <w:rsid w:val="00D93CE4"/>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rmalWeb">
    <w:name w:val="Normal (Web)"/>
    <w:basedOn w:val="Normal"/>
    <w:uiPriority w:val="99"/>
    <w:unhideWhenUsed/>
    <w:rsid w:val="00D93CE4"/>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B751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1BD"/>
    <w:rPr>
      <w:sz w:val="20"/>
      <w:szCs w:val="20"/>
    </w:rPr>
  </w:style>
  <w:style w:type="character" w:styleId="FootnoteReference">
    <w:name w:val="footnote reference"/>
    <w:basedOn w:val="DefaultParagraphFont"/>
    <w:uiPriority w:val="99"/>
    <w:semiHidden/>
    <w:unhideWhenUsed/>
    <w:rsid w:val="00B751BD"/>
    <w:rPr>
      <w:vertAlign w:val="superscript"/>
    </w:rPr>
  </w:style>
  <w:style w:type="paragraph" w:styleId="Header">
    <w:name w:val="header"/>
    <w:basedOn w:val="Normal"/>
    <w:link w:val="HeaderChar"/>
    <w:uiPriority w:val="99"/>
    <w:unhideWhenUsed/>
    <w:rsid w:val="005D3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B8E"/>
  </w:style>
  <w:style w:type="paragraph" w:styleId="Footer">
    <w:name w:val="footer"/>
    <w:basedOn w:val="Normal"/>
    <w:link w:val="FooterChar"/>
    <w:uiPriority w:val="99"/>
    <w:unhideWhenUsed/>
    <w:rsid w:val="005D3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B8E"/>
  </w:style>
  <w:style w:type="paragraph" w:styleId="BalloonText">
    <w:name w:val="Balloon Text"/>
    <w:basedOn w:val="Normal"/>
    <w:link w:val="BalloonTextChar"/>
    <w:uiPriority w:val="99"/>
    <w:semiHidden/>
    <w:unhideWhenUsed/>
    <w:rsid w:val="00D01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93CE4"/>
    <w:rPr>
      <w:i/>
      <w:iCs/>
    </w:rPr>
  </w:style>
  <w:style w:type="paragraph" w:customStyle="1" w:styleId="western">
    <w:name w:val="western"/>
    <w:basedOn w:val="Normal"/>
    <w:rsid w:val="00D93CE4"/>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NormalWeb">
    <w:name w:val="Normal (Web)"/>
    <w:basedOn w:val="Normal"/>
    <w:uiPriority w:val="99"/>
    <w:unhideWhenUsed/>
    <w:rsid w:val="00D93CE4"/>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B751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1BD"/>
    <w:rPr>
      <w:sz w:val="20"/>
      <w:szCs w:val="20"/>
    </w:rPr>
  </w:style>
  <w:style w:type="character" w:styleId="FootnoteReference">
    <w:name w:val="footnote reference"/>
    <w:basedOn w:val="DefaultParagraphFont"/>
    <w:uiPriority w:val="99"/>
    <w:semiHidden/>
    <w:unhideWhenUsed/>
    <w:rsid w:val="00B751BD"/>
    <w:rPr>
      <w:vertAlign w:val="superscript"/>
    </w:rPr>
  </w:style>
  <w:style w:type="paragraph" w:styleId="Header">
    <w:name w:val="header"/>
    <w:basedOn w:val="Normal"/>
    <w:link w:val="HeaderChar"/>
    <w:uiPriority w:val="99"/>
    <w:unhideWhenUsed/>
    <w:rsid w:val="005D3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B8E"/>
  </w:style>
  <w:style w:type="paragraph" w:styleId="Footer">
    <w:name w:val="footer"/>
    <w:basedOn w:val="Normal"/>
    <w:link w:val="FooterChar"/>
    <w:uiPriority w:val="99"/>
    <w:unhideWhenUsed/>
    <w:rsid w:val="005D3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B8E"/>
  </w:style>
  <w:style w:type="paragraph" w:styleId="BalloonText">
    <w:name w:val="Balloon Text"/>
    <w:basedOn w:val="Normal"/>
    <w:link w:val="BalloonTextChar"/>
    <w:uiPriority w:val="99"/>
    <w:semiHidden/>
    <w:unhideWhenUsed/>
    <w:rsid w:val="00D01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5946">
      <w:bodyDiv w:val="1"/>
      <w:marLeft w:val="0"/>
      <w:marRight w:val="0"/>
      <w:marTop w:val="0"/>
      <w:marBottom w:val="0"/>
      <w:divBdr>
        <w:top w:val="none" w:sz="0" w:space="0" w:color="auto"/>
        <w:left w:val="none" w:sz="0" w:space="0" w:color="auto"/>
        <w:bottom w:val="none" w:sz="0" w:space="0" w:color="auto"/>
        <w:right w:val="none" w:sz="0" w:space="0" w:color="auto"/>
      </w:divBdr>
    </w:div>
    <w:div w:id="392896705">
      <w:bodyDiv w:val="1"/>
      <w:marLeft w:val="0"/>
      <w:marRight w:val="0"/>
      <w:marTop w:val="0"/>
      <w:marBottom w:val="0"/>
      <w:divBdr>
        <w:top w:val="none" w:sz="0" w:space="0" w:color="auto"/>
        <w:left w:val="none" w:sz="0" w:space="0" w:color="auto"/>
        <w:bottom w:val="none" w:sz="0" w:space="0" w:color="auto"/>
        <w:right w:val="none" w:sz="0" w:space="0" w:color="auto"/>
      </w:divBdr>
    </w:div>
    <w:div w:id="401408391">
      <w:bodyDiv w:val="1"/>
      <w:marLeft w:val="0"/>
      <w:marRight w:val="0"/>
      <w:marTop w:val="0"/>
      <w:marBottom w:val="0"/>
      <w:divBdr>
        <w:top w:val="none" w:sz="0" w:space="0" w:color="auto"/>
        <w:left w:val="none" w:sz="0" w:space="0" w:color="auto"/>
        <w:bottom w:val="none" w:sz="0" w:space="0" w:color="auto"/>
        <w:right w:val="none" w:sz="0" w:space="0" w:color="auto"/>
      </w:divBdr>
    </w:div>
    <w:div w:id="499662734">
      <w:bodyDiv w:val="1"/>
      <w:marLeft w:val="0"/>
      <w:marRight w:val="0"/>
      <w:marTop w:val="0"/>
      <w:marBottom w:val="0"/>
      <w:divBdr>
        <w:top w:val="none" w:sz="0" w:space="0" w:color="auto"/>
        <w:left w:val="none" w:sz="0" w:space="0" w:color="auto"/>
        <w:bottom w:val="none" w:sz="0" w:space="0" w:color="auto"/>
        <w:right w:val="none" w:sz="0" w:space="0" w:color="auto"/>
      </w:divBdr>
    </w:div>
    <w:div w:id="741636640">
      <w:bodyDiv w:val="1"/>
      <w:marLeft w:val="0"/>
      <w:marRight w:val="0"/>
      <w:marTop w:val="0"/>
      <w:marBottom w:val="0"/>
      <w:divBdr>
        <w:top w:val="none" w:sz="0" w:space="0" w:color="auto"/>
        <w:left w:val="none" w:sz="0" w:space="0" w:color="auto"/>
        <w:bottom w:val="none" w:sz="0" w:space="0" w:color="auto"/>
        <w:right w:val="none" w:sz="0" w:space="0" w:color="auto"/>
      </w:divBdr>
    </w:div>
    <w:div w:id="746922587">
      <w:bodyDiv w:val="1"/>
      <w:marLeft w:val="0"/>
      <w:marRight w:val="0"/>
      <w:marTop w:val="0"/>
      <w:marBottom w:val="0"/>
      <w:divBdr>
        <w:top w:val="none" w:sz="0" w:space="0" w:color="auto"/>
        <w:left w:val="none" w:sz="0" w:space="0" w:color="auto"/>
        <w:bottom w:val="none" w:sz="0" w:space="0" w:color="auto"/>
        <w:right w:val="none" w:sz="0" w:space="0" w:color="auto"/>
      </w:divBdr>
    </w:div>
    <w:div w:id="915632093">
      <w:bodyDiv w:val="1"/>
      <w:marLeft w:val="0"/>
      <w:marRight w:val="0"/>
      <w:marTop w:val="0"/>
      <w:marBottom w:val="0"/>
      <w:divBdr>
        <w:top w:val="none" w:sz="0" w:space="0" w:color="auto"/>
        <w:left w:val="none" w:sz="0" w:space="0" w:color="auto"/>
        <w:bottom w:val="none" w:sz="0" w:space="0" w:color="auto"/>
        <w:right w:val="none" w:sz="0" w:space="0" w:color="auto"/>
      </w:divBdr>
    </w:div>
    <w:div w:id="17392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2F68B-4F87-46E9-B068-B1969AC2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 J Bachi-Muzawazi</dc:creator>
  <cp:lastModifiedBy>Hon J Bachi-Muzawazi</cp:lastModifiedBy>
  <cp:revision>7</cp:revision>
  <cp:lastPrinted>2025-03-26T08:53:00Z</cp:lastPrinted>
  <dcterms:created xsi:type="dcterms:W3CDTF">2025-03-26T15:02:00Z</dcterms:created>
  <dcterms:modified xsi:type="dcterms:W3CDTF">2025-03-26T13:32:00Z</dcterms:modified>
</cp:coreProperties>
</file>