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0D6" w:rsidRDefault="000E30D6" w:rsidP="00D54100">
      <w:pPr>
        <w:spacing w:after="0"/>
        <w:rPr>
          <w:rFonts w:ascii="Tahoma" w:hAnsi="Tahoma" w:cs="Tahoma"/>
          <w:b/>
          <w:sz w:val="24"/>
          <w:szCs w:val="24"/>
        </w:rPr>
      </w:pPr>
    </w:p>
    <w:p w:rsidR="00D54100" w:rsidRDefault="00F66DBE" w:rsidP="00D54100">
      <w:pPr>
        <w:spacing w:after="0"/>
        <w:rPr>
          <w:rFonts w:ascii="Tahoma" w:hAnsi="Tahoma" w:cs="Tahoma"/>
          <w:b/>
          <w:sz w:val="24"/>
          <w:szCs w:val="24"/>
        </w:rPr>
      </w:pPr>
      <w:r>
        <w:rPr>
          <w:rFonts w:ascii="Tahoma" w:hAnsi="Tahoma" w:cs="Tahoma"/>
          <w:b/>
          <w:sz w:val="24"/>
          <w:szCs w:val="24"/>
        </w:rPr>
        <w:t xml:space="preserve"> </w:t>
      </w:r>
      <w:r w:rsidR="00D54100">
        <w:rPr>
          <w:rFonts w:ascii="Tahoma" w:hAnsi="Tahoma" w:cs="Tahoma"/>
          <w:b/>
          <w:sz w:val="24"/>
          <w:szCs w:val="24"/>
        </w:rPr>
        <w:t>IN THE LABOUR COURT OF ZIMBAB</w:t>
      </w:r>
      <w:r w:rsidR="00774A26">
        <w:rPr>
          <w:rFonts w:ascii="Tahoma" w:hAnsi="Tahoma" w:cs="Tahoma"/>
          <w:b/>
          <w:sz w:val="24"/>
          <w:szCs w:val="24"/>
        </w:rPr>
        <w:t>WE      JUDGMENT NO.LC/H/150</w:t>
      </w:r>
      <w:r w:rsidR="007B10CA">
        <w:rPr>
          <w:rFonts w:ascii="Tahoma" w:hAnsi="Tahoma" w:cs="Tahoma"/>
          <w:b/>
          <w:sz w:val="24"/>
          <w:szCs w:val="24"/>
        </w:rPr>
        <w:t>/2020</w:t>
      </w:r>
    </w:p>
    <w:p w:rsidR="00D54100" w:rsidRDefault="0083088D" w:rsidP="00D54100">
      <w:pPr>
        <w:spacing w:after="0"/>
        <w:jc w:val="both"/>
        <w:rPr>
          <w:rFonts w:ascii="Tahoma" w:hAnsi="Tahoma" w:cs="Tahoma"/>
          <w:b/>
          <w:sz w:val="24"/>
          <w:szCs w:val="24"/>
        </w:rPr>
      </w:pPr>
      <w:r>
        <w:rPr>
          <w:rFonts w:ascii="Tahoma" w:hAnsi="Tahoma" w:cs="Tahoma"/>
          <w:b/>
          <w:sz w:val="24"/>
          <w:szCs w:val="24"/>
        </w:rPr>
        <w:t>HARARE, 16</w:t>
      </w:r>
      <w:r w:rsidR="003D761F">
        <w:rPr>
          <w:rFonts w:ascii="Tahoma" w:hAnsi="Tahoma" w:cs="Tahoma"/>
          <w:b/>
          <w:sz w:val="24"/>
          <w:szCs w:val="24"/>
        </w:rPr>
        <w:t xml:space="preserve"> </w:t>
      </w:r>
      <w:r>
        <w:rPr>
          <w:rFonts w:ascii="Tahoma" w:hAnsi="Tahoma" w:cs="Tahoma"/>
          <w:b/>
          <w:sz w:val="24"/>
          <w:szCs w:val="24"/>
        </w:rPr>
        <w:t xml:space="preserve">JUNE 2020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7B10CA">
        <w:rPr>
          <w:rFonts w:ascii="Tahoma" w:hAnsi="Tahoma" w:cs="Tahoma"/>
          <w:b/>
          <w:sz w:val="24"/>
          <w:szCs w:val="24"/>
        </w:rPr>
        <w:t xml:space="preserve"> </w:t>
      </w:r>
      <w:r w:rsidR="00774A26">
        <w:rPr>
          <w:rFonts w:ascii="Tahoma" w:hAnsi="Tahoma" w:cs="Tahoma"/>
          <w:b/>
          <w:sz w:val="24"/>
          <w:szCs w:val="24"/>
        </w:rPr>
        <w:t xml:space="preserve"> </w:t>
      </w:r>
      <w:r>
        <w:rPr>
          <w:rFonts w:ascii="Tahoma" w:hAnsi="Tahoma" w:cs="Tahoma"/>
          <w:b/>
          <w:sz w:val="24"/>
          <w:szCs w:val="24"/>
        </w:rPr>
        <w:t>CASE</w:t>
      </w:r>
      <w:r w:rsidR="00774A26">
        <w:rPr>
          <w:rFonts w:ascii="Tahoma" w:hAnsi="Tahoma" w:cs="Tahoma"/>
          <w:b/>
          <w:sz w:val="24"/>
          <w:szCs w:val="24"/>
        </w:rPr>
        <w:t xml:space="preserve"> </w:t>
      </w:r>
      <w:r>
        <w:rPr>
          <w:rFonts w:ascii="Tahoma" w:hAnsi="Tahoma" w:cs="Tahoma"/>
          <w:b/>
          <w:sz w:val="24"/>
          <w:szCs w:val="24"/>
        </w:rPr>
        <w:t>NO.LC/H/APP/144</w:t>
      </w:r>
      <w:r w:rsidR="00D54100">
        <w:rPr>
          <w:rFonts w:ascii="Tahoma" w:hAnsi="Tahoma" w:cs="Tahoma"/>
          <w:b/>
          <w:sz w:val="24"/>
          <w:szCs w:val="24"/>
        </w:rPr>
        <w:t>/19</w:t>
      </w:r>
      <w:r w:rsidR="00D54100">
        <w:rPr>
          <w:rFonts w:ascii="Tahoma" w:hAnsi="Tahoma" w:cs="Tahoma"/>
          <w:b/>
          <w:sz w:val="24"/>
          <w:szCs w:val="24"/>
        </w:rPr>
        <w:tab/>
      </w:r>
    </w:p>
    <w:p w:rsidR="00D54100" w:rsidRDefault="007B10CA" w:rsidP="00D54100">
      <w:pPr>
        <w:spacing w:after="0"/>
        <w:jc w:val="both"/>
        <w:rPr>
          <w:rFonts w:ascii="Tahoma" w:hAnsi="Tahoma" w:cs="Tahoma"/>
          <w:b/>
          <w:sz w:val="24"/>
          <w:szCs w:val="24"/>
        </w:rPr>
      </w:pPr>
      <w:r>
        <w:rPr>
          <w:rFonts w:ascii="Tahoma" w:hAnsi="Tahoma" w:cs="Tahoma"/>
          <w:b/>
          <w:sz w:val="24"/>
          <w:szCs w:val="24"/>
        </w:rPr>
        <w:t xml:space="preserve">AND 03 JULY </w:t>
      </w:r>
      <w:r w:rsidR="00D54100">
        <w:rPr>
          <w:rFonts w:ascii="Tahoma" w:hAnsi="Tahoma" w:cs="Tahoma"/>
          <w:b/>
          <w:sz w:val="24"/>
          <w:szCs w:val="24"/>
        </w:rPr>
        <w:t>2020</w:t>
      </w:r>
      <w:r w:rsidR="00D54100">
        <w:rPr>
          <w:rFonts w:ascii="Tahoma" w:hAnsi="Tahoma" w:cs="Tahoma"/>
          <w:b/>
          <w:sz w:val="24"/>
          <w:szCs w:val="24"/>
        </w:rPr>
        <w:tab/>
      </w:r>
      <w:r w:rsidR="00D54100">
        <w:rPr>
          <w:rFonts w:ascii="Tahoma" w:hAnsi="Tahoma" w:cs="Tahoma"/>
          <w:b/>
          <w:sz w:val="24"/>
          <w:szCs w:val="24"/>
        </w:rPr>
        <w:tab/>
      </w:r>
      <w:r w:rsidR="00D54100">
        <w:rPr>
          <w:rFonts w:ascii="Tahoma" w:hAnsi="Tahoma" w:cs="Tahoma"/>
          <w:b/>
          <w:sz w:val="24"/>
          <w:szCs w:val="24"/>
        </w:rPr>
        <w:tab/>
      </w:r>
      <w:r w:rsidR="00D54100">
        <w:rPr>
          <w:rFonts w:ascii="Tahoma" w:hAnsi="Tahoma" w:cs="Tahoma"/>
          <w:b/>
          <w:sz w:val="24"/>
          <w:szCs w:val="24"/>
        </w:rPr>
        <w:tab/>
      </w:r>
      <w:r w:rsidR="00D54100">
        <w:rPr>
          <w:rFonts w:ascii="Tahoma" w:hAnsi="Tahoma" w:cs="Tahoma"/>
          <w:b/>
          <w:sz w:val="24"/>
          <w:szCs w:val="24"/>
        </w:rPr>
        <w:tab/>
        <w:t xml:space="preserve">  </w:t>
      </w:r>
    </w:p>
    <w:p w:rsidR="00D54100" w:rsidRDefault="00D54100" w:rsidP="00D54100">
      <w:pPr>
        <w:spacing w:after="0"/>
        <w:jc w:val="both"/>
        <w:rPr>
          <w:rFonts w:ascii="Tahoma" w:hAnsi="Tahoma" w:cs="Tahoma"/>
          <w:b/>
          <w:sz w:val="24"/>
          <w:szCs w:val="24"/>
        </w:rPr>
      </w:pPr>
    </w:p>
    <w:p w:rsidR="00D54100" w:rsidRDefault="00D54100" w:rsidP="00D54100">
      <w:pPr>
        <w:spacing w:after="0"/>
        <w:jc w:val="both"/>
        <w:rPr>
          <w:rFonts w:ascii="Tahoma" w:hAnsi="Tahoma" w:cs="Tahoma"/>
          <w:b/>
          <w:sz w:val="24"/>
          <w:szCs w:val="24"/>
        </w:rPr>
      </w:pPr>
    </w:p>
    <w:p w:rsidR="00D54100" w:rsidRDefault="00D54100" w:rsidP="00D54100">
      <w:pPr>
        <w:spacing w:after="0"/>
        <w:jc w:val="both"/>
        <w:rPr>
          <w:rFonts w:ascii="Tahoma" w:hAnsi="Tahoma" w:cs="Tahoma"/>
          <w:b/>
          <w:sz w:val="24"/>
          <w:szCs w:val="24"/>
        </w:rPr>
      </w:pPr>
    </w:p>
    <w:p w:rsidR="00D54100" w:rsidRPr="00D54100" w:rsidRDefault="00D54100" w:rsidP="00D54100">
      <w:pPr>
        <w:spacing w:after="0"/>
        <w:jc w:val="both"/>
        <w:rPr>
          <w:rFonts w:ascii="Tahoma" w:hAnsi="Tahoma" w:cs="Tahoma"/>
          <w:b/>
          <w:sz w:val="24"/>
          <w:szCs w:val="24"/>
        </w:rPr>
      </w:pPr>
      <w:r>
        <w:rPr>
          <w:rFonts w:ascii="Tahoma" w:hAnsi="Tahoma" w:cs="Tahoma"/>
          <w:b/>
          <w:sz w:val="24"/>
          <w:szCs w:val="24"/>
        </w:rPr>
        <w:t xml:space="preserve">    </w:t>
      </w:r>
      <w:r>
        <w:rPr>
          <w:rFonts w:ascii="Tahoma" w:hAnsi="Tahoma" w:cs="Tahoma"/>
          <w:sz w:val="24"/>
          <w:szCs w:val="24"/>
        </w:rPr>
        <w:t>In the matter between:-</w:t>
      </w:r>
    </w:p>
    <w:p w:rsidR="00D54100" w:rsidRDefault="00D54100" w:rsidP="00D54100">
      <w:pPr>
        <w:jc w:val="both"/>
        <w:rPr>
          <w:rFonts w:ascii="Tahoma" w:hAnsi="Tahoma" w:cs="Tahoma"/>
          <w:sz w:val="24"/>
          <w:szCs w:val="24"/>
        </w:rPr>
      </w:pPr>
    </w:p>
    <w:p w:rsidR="00DA76F2" w:rsidRDefault="00DA76F2" w:rsidP="00D54100">
      <w:pPr>
        <w:jc w:val="both"/>
        <w:rPr>
          <w:rFonts w:ascii="Tahoma" w:hAnsi="Tahoma" w:cs="Tahoma"/>
          <w:b/>
          <w:sz w:val="24"/>
          <w:szCs w:val="24"/>
        </w:rPr>
      </w:pPr>
      <w:r>
        <w:rPr>
          <w:rFonts w:ascii="Tahoma" w:hAnsi="Tahoma" w:cs="Tahoma"/>
          <w:b/>
          <w:sz w:val="24"/>
          <w:szCs w:val="24"/>
        </w:rPr>
        <w:t>OSCAR MARAVANYIKA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1</w:t>
      </w:r>
      <w:r w:rsidRPr="00DA76F2">
        <w:rPr>
          <w:rFonts w:ascii="Tahoma" w:hAnsi="Tahoma" w:cs="Tahoma"/>
          <w:b/>
          <w:sz w:val="24"/>
          <w:szCs w:val="24"/>
          <w:vertAlign w:val="superscript"/>
        </w:rPr>
        <w:t>ST</w:t>
      </w:r>
      <w:r>
        <w:rPr>
          <w:rFonts w:ascii="Tahoma" w:hAnsi="Tahoma" w:cs="Tahoma"/>
          <w:b/>
          <w:sz w:val="24"/>
          <w:szCs w:val="24"/>
        </w:rPr>
        <w:t xml:space="preserve"> APPLICANT</w:t>
      </w:r>
    </w:p>
    <w:p w:rsidR="00DA76F2" w:rsidRDefault="00DA76F2" w:rsidP="00D54100">
      <w:pPr>
        <w:jc w:val="both"/>
        <w:rPr>
          <w:rFonts w:ascii="Tahoma" w:hAnsi="Tahoma" w:cs="Tahoma"/>
          <w:b/>
          <w:sz w:val="24"/>
          <w:szCs w:val="24"/>
        </w:rPr>
      </w:pPr>
      <w:r>
        <w:rPr>
          <w:rFonts w:ascii="Tahoma" w:hAnsi="Tahoma" w:cs="Tahoma"/>
          <w:b/>
          <w:sz w:val="24"/>
          <w:szCs w:val="24"/>
        </w:rPr>
        <w:t>OLIVER MAKUVAZA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DA76F2">
        <w:rPr>
          <w:rFonts w:ascii="Tahoma" w:hAnsi="Tahoma" w:cs="Tahoma"/>
          <w:b/>
          <w:sz w:val="24"/>
          <w:szCs w:val="24"/>
          <w:vertAlign w:val="superscript"/>
        </w:rPr>
        <w:t>ND</w:t>
      </w:r>
      <w:r>
        <w:rPr>
          <w:rFonts w:ascii="Tahoma" w:hAnsi="Tahoma" w:cs="Tahoma"/>
          <w:b/>
          <w:sz w:val="24"/>
          <w:szCs w:val="24"/>
        </w:rPr>
        <w:t xml:space="preserve"> APPLICANT</w:t>
      </w:r>
    </w:p>
    <w:p w:rsidR="00DA76F2" w:rsidRDefault="00DA76F2" w:rsidP="00D54100">
      <w:pPr>
        <w:jc w:val="both"/>
        <w:rPr>
          <w:rFonts w:ascii="Tahoma" w:hAnsi="Tahoma" w:cs="Tahoma"/>
          <w:b/>
          <w:sz w:val="24"/>
          <w:szCs w:val="24"/>
        </w:rPr>
      </w:pPr>
      <w:r>
        <w:rPr>
          <w:rFonts w:ascii="Tahoma" w:hAnsi="Tahoma" w:cs="Tahoma"/>
          <w:b/>
          <w:sz w:val="24"/>
          <w:szCs w:val="24"/>
        </w:rPr>
        <w:t>MICHELLE MASIYA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3</w:t>
      </w:r>
      <w:r w:rsidRPr="00DA76F2">
        <w:rPr>
          <w:rFonts w:ascii="Tahoma" w:hAnsi="Tahoma" w:cs="Tahoma"/>
          <w:b/>
          <w:sz w:val="24"/>
          <w:szCs w:val="24"/>
          <w:vertAlign w:val="superscript"/>
        </w:rPr>
        <w:t>RD</w:t>
      </w:r>
      <w:r>
        <w:rPr>
          <w:rFonts w:ascii="Tahoma" w:hAnsi="Tahoma" w:cs="Tahoma"/>
          <w:b/>
          <w:sz w:val="24"/>
          <w:szCs w:val="24"/>
        </w:rPr>
        <w:t xml:space="preserve"> APPLICANT</w:t>
      </w:r>
    </w:p>
    <w:p w:rsidR="00DA76F2" w:rsidRDefault="00DA76F2" w:rsidP="00D54100">
      <w:pPr>
        <w:jc w:val="both"/>
        <w:rPr>
          <w:rFonts w:ascii="Tahoma" w:hAnsi="Tahoma" w:cs="Tahoma"/>
          <w:b/>
          <w:sz w:val="24"/>
          <w:szCs w:val="24"/>
        </w:rPr>
      </w:pPr>
      <w:r>
        <w:rPr>
          <w:rFonts w:ascii="Tahoma" w:hAnsi="Tahoma" w:cs="Tahoma"/>
          <w:b/>
          <w:sz w:val="24"/>
          <w:szCs w:val="24"/>
        </w:rPr>
        <w:t>KNOWLEDGE CHINGWELU</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4</w:t>
      </w:r>
      <w:r w:rsidRPr="00DA76F2">
        <w:rPr>
          <w:rFonts w:ascii="Tahoma" w:hAnsi="Tahoma" w:cs="Tahoma"/>
          <w:b/>
          <w:sz w:val="24"/>
          <w:szCs w:val="24"/>
          <w:vertAlign w:val="superscript"/>
        </w:rPr>
        <w:t>TH</w:t>
      </w:r>
      <w:r>
        <w:rPr>
          <w:rFonts w:ascii="Tahoma" w:hAnsi="Tahoma" w:cs="Tahoma"/>
          <w:b/>
          <w:sz w:val="24"/>
          <w:szCs w:val="24"/>
        </w:rPr>
        <w:t xml:space="preserve"> APPLICANT</w:t>
      </w:r>
    </w:p>
    <w:p w:rsidR="00DA76F2" w:rsidRDefault="00DA76F2" w:rsidP="00D54100">
      <w:pPr>
        <w:jc w:val="both"/>
        <w:rPr>
          <w:rFonts w:ascii="Tahoma" w:hAnsi="Tahoma" w:cs="Tahoma"/>
          <w:b/>
          <w:sz w:val="24"/>
          <w:szCs w:val="24"/>
        </w:rPr>
      </w:pPr>
      <w:r>
        <w:rPr>
          <w:rFonts w:ascii="Tahoma" w:hAnsi="Tahoma" w:cs="Tahoma"/>
          <w:b/>
          <w:sz w:val="24"/>
          <w:szCs w:val="24"/>
        </w:rPr>
        <w:t>ADMIRE MUTSAKANI</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5</w:t>
      </w:r>
      <w:r w:rsidRPr="00DA76F2">
        <w:rPr>
          <w:rFonts w:ascii="Tahoma" w:hAnsi="Tahoma" w:cs="Tahoma"/>
          <w:b/>
          <w:sz w:val="24"/>
          <w:szCs w:val="24"/>
          <w:vertAlign w:val="superscript"/>
        </w:rPr>
        <w:t>TH</w:t>
      </w:r>
      <w:r>
        <w:rPr>
          <w:rFonts w:ascii="Tahoma" w:hAnsi="Tahoma" w:cs="Tahoma"/>
          <w:b/>
          <w:sz w:val="24"/>
          <w:szCs w:val="24"/>
        </w:rPr>
        <w:t xml:space="preserve"> APPLICANT</w:t>
      </w:r>
    </w:p>
    <w:p w:rsidR="00DA76F2" w:rsidRDefault="00DA76F2" w:rsidP="00D54100">
      <w:pPr>
        <w:jc w:val="both"/>
        <w:rPr>
          <w:rFonts w:ascii="Tahoma" w:hAnsi="Tahoma" w:cs="Tahoma"/>
          <w:b/>
          <w:sz w:val="24"/>
          <w:szCs w:val="24"/>
        </w:rPr>
      </w:pPr>
      <w:r>
        <w:rPr>
          <w:rFonts w:ascii="Tahoma" w:hAnsi="Tahoma" w:cs="Tahoma"/>
          <w:b/>
          <w:sz w:val="24"/>
          <w:szCs w:val="24"/>
        </w:rPr>
        <w:t>ELIZABETH DAHWA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6</w:t>
      </w:r>
      <w:r w:rsidRPr="00DA76F2">
        <w:rPr>
          <w:rFonts w:ascii="Tahoma" w:hAnsi="Tahoma" w:cs="Tahoma"/>
          <w:b/>
          <w:sz w:val="24"/>
          <w:szCs w:val="24"/>
          <w:vertAlign w:val="superscript"/>
        </w:rPr>
        <w:t>TH</w:t>
      </w:r>
      <w:r>
        <w:rPr>
          <w:rFonts w:ascii="Tahoma" w:hAnsi="Tahoma" w:cs="Tahoma"/>
          <w:b/>
          <w:sz w:val="24"/>
          <w:szCs w:val="24"/>
        </w:rPr>
        <w:t xml:space="preserve"> APPLICANT</w:t>
      </w:r>
    </w:p>
    <w:p w:rsidR="00D54100" w:rsidRDefault="00DA76F2" w:rsidP="00D54100">
      <w:pPr>
        <w:jc w:val="both"/>
        <w:rPr>
          <w:rFonts w:ascii="Tahoma" w:hAnsi="Tahoma" w:cs="Tahoma"/>
          <w:b/>
          <w:sz w:val="24"/>
          <w:szCs w:val="24"/>
        </w:rPr>
      </w:pPr>
      <w:r>
        <w:rPr>
          <w:rFonts w:ascii="Tahoma" w:hAnsi="Tahoma" w:cs="Tahoma"/>
          <w:b/>
          <w:sz w:val="24"/>
          <w:szCs w:val="24"/>
        </w:rPr>
        <w:t>PASTURE KAPONDORO</w:t>
      </w:r>
      <w:r w:rsidR="003D761F">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7</w:t>
      </w:r>
      <w:r w:rsidRPr="00DA76F2">
        <w:rPr>
          <w:rFonts w:ascii="Tahoma" w:hAnsi="Tahoma" w:cs="Tahoma"/>
          <w:b/>
          <w:sz w:val="24"/>
          <w:szCs w:val="24"/>
          <w:vertAlign w:val="superscript"/>
        </w:rPr>
        <w:t>TH</w:t>
      </w:r>
      <w:r>
        <w:rPr>
          <w:rFonts w:ascii="Tahoma" w:hAnsi="Tahoma" w:cs="Tahoma"/>
          <w:b/>
          <w:sz w:val="24"/>
          <w:szCs w:val="24"/>
        </w:rPr>
        <w:t xml:space="preserve"> APPLICANT</w:t>
      </w:r>
    </w:p>
    <w:p w:rsidR="00DA76F2" w:rsidRDefault="00DA76F2" w:rsidP="00D54100">
      <w:pPr>
        <w:jc w:val="both"/>
        <w:rPr>
          <w:rFonts w:ascii="Tahoma" w:hAnsi="Tahoma" w:cs="Tahoma"/>
          <w:b/>
          <w:sz w:val="24"/>
          <w:szCs w:val="24"/>
        </w:rPr>
      </w:pPr>
    </w:p>
    <w:p w:rsidR="00D54100" w:rsidRDefault="00D54100" w:rsidP="00D54100">
      <w:pPr>
        <w:tabs>
          <w:tab w:val="left" w:pos="1995"/>
        </w:tabs>
        <w:jc w:val="both"/>
        <w:rPr>
          <w:rFonts w:ascii="Tahoma" w:hAnsi="Tahoma" w:cs="Tahoma"/>
          <w:sz w:val="24"/>
          <w:szCs w:val="24"/>
        </w:rPr>
      </w:pPr>
      <w:r>
        <w:rPr>
          <w:rFonts w:ascii="Tahoma" w:hAnsi="Tahoma" w:cs="Tahoma"/>
          <w:sz w:val="24"/>
          <w:szCs w:val="24"/>
        </w:rPr>
        <w:t>And</w:t>
      </w:r>
      <w:r>
        <w:rPr>
          <w:rFonts w:ascii="Tahoma" w:hAnsi="Tahoma" w:cs="Tahoma"/>
          <w:sz w:val="24"/>
          <w:szCs w:val="24"/>
        </w:rPr>
        <w:tab/>
      </w:r>
    </w:p>
    <w:p w:rsidR="00D54100" w:rsidRDefault="00DA76F2" w:rsidP="00D54100">
      <w:pPr>
        <w:jc w:val="both"/>
        <w:rPr>
          <w:rFonts w:ascii="Tahoma" w:hAnsi="Tahoma" w:cs="Tahoma"/>
          <w:sz w:val="24"/>
          <w:szCs w:val="24"/>
        </w:rPr>
      </w:pPr>
      <w:r>
        <w:rPr>
          <w:rFonts w:ascii="Tahoma" w:hAnsi="Tahoma" w:cs="Tahoma"/>
          <w:b/>
          <w:sz w:val="24"/>
          <w:szCs w:val="24"/>
        </w:rPr>
        <w:t>NULENTY ENTERPRISES (PVT LTD)</w:t>
      </w:r>
      <w:r w:rsidR="003D761F">
        <w:rPr>
          <w:rFonts w:ascii="Tahoma" w:hAnsi="Tahoma" w:cs="Tahoma"/>
          <w:b/>
          <w:sz w:val="24"/>
          <w:szCs w:val="24"/>
        </w:rPr>
        <w:tab/>
      </w:r>
      <w:r w:rsidR="003D761F">
        <w:rPr>
          <w:rFonts w:ascii="Tahoma" w:hAnsi="Tahoma" w:cs="Tahoma"/>
          <w:b/>
          <w:sz w:val="24"/>
          <w:szCs w:val="24"/>
        </w:rPr>
        <w:tab/>
      </w:r>
      <w:r w:rsidR="003D761F">
        <w:rPr>
          <w:rFonts w:ascii="Tahoma" w:hAnsi="Tahoma" w:cs="Tahoma"/>
          <w:b/>
          <w:sz w:val="24"/>
          <w:szCs w:val="24"/>
        </w:rPr>
        <w:tab/>
      </w:r>
      <w:r w:rsidR="003D761F">
        <w:rPr>
          <w:rFonts w:ascii="Tahoma" w:hAnsi="Tahoma" w:cs="Tahoma"/>
          <w:b/>
          <w:sz w:val="24"/>
          <w:szCs w:val="24"/>
        </w:rPr>
        <w:tab/>
      </w:r>
      <w:r w:rsidR="00D54100">
        <w:rPr>
          <w:rFonts w:ascii="Tahoma" w:hAnsi="Tahoma" w:cs="Tahoma"/>
          <w:b/>
          <w:sz w:val="24"/>
          <w:szCs w:val="24"/>
        </w:rPr>
        <w:t>Respondent</w:t>
      </w:r>
      <w:r w:rsidR="00D54100">
        <w:rPr>
          <w:rFonts w:ascii="Tahoma" w:hAnsi="Tahoma" w:cs="Tahoma"/>
          <w:sz w:val="24"/>
          <w:szCs w:val="24"/>
        </w:rPr>
        <w:t xml:space="preserve">      </w:t>
      </w:r>
    </w:p>
    <w:p w:rsidR="00D54100" w:rsidRDefault="00D54100" w:rsidP="00D54100">
      <w:pPr>
        <w:jc w:val="both"/>
        <w:rPr>
          <w:rFonts w:ascii="Tahoma" w:hAnsi="Tahoma" w:cs="Tahoma"/>
          <w:sz w:val="24"/>
          <w:szCs w:val="24"/>
        </w:rPr>
      </w:pPr>
    </w:p>
    <w:p w:rsidR="00D54100" w:rsidRPr="00D54100" w:rsidRDefault="00D54100" w:rsidP="00D54100">
      <w:pPr>
        <w:jc w:val="both"/>
        <w:rPr>
          <w:rFonts w:ascii="Tahoma" w:hAnsi="Tahoma" w:cs="Tahoma"/>
          <w:b/>
          <w:sz w:val="24"/>
          <w:szCs w:val="24"/>
        </w:rPr>
      </w:pPr>
      <w:r>
        <w:rPr>
          <w:rFonts w:ascii="Tahoma" w:hAnsi="Tahoma" w:cs="Tahoma"/>
          <w:sz w:val="24"/>
          <w:szCs w:val="24"/>
        </w:rPr>
        <w:t xml:space="preserve"> </w:t>
      </w:r>
      <w:r>
        <w:rPr>
          <w:rFonts w:ascii="Tahoma" w:hAnsi="Tahoma" w:cs="Tahoma"/>
          <w:b/>
          <w:sz w:val="24"/>
          <w:szCs w:val="24"/>
        </w:rPr>
        <w:t xml:space="preserve"> (IN CHAMBERS)</w:t>
      </w:r>
      <w:r>
        <w:rPr>
          <w:rFonts w:ascii="Tahoma" w:hAnsi="Tahoma" w:cs="Tahoma"/>
          <w:sz w:val="24"/>
          <w:szCs w:val="24"/>
        </w:rPr>
        <w:t xml:space="preserve">         </w:t>
      </w:r>
    </w:p>
    <w:p w:rsidR="00D54100" w:rsidRDefault="00D54100" w:rsidP="00D54100">
      <w:pPr>
        <w:pStyle w:val="NoSpacing"/>
        <w:spacing w:line="360" w:lineRule="auto"/>
        <w:rPr>
          <w:rFonts w:ascii="Tahoma" w:hAnsi="Tahoma" w:cs="Tahoma"/>
          <w:b/>
          <w:sz w:val="24"/>
          <w:szCs w:val="24"/>
        </w:rPr>
      </w:pPr>
      <w:r>
        <w:rPr>
          <w:rFonts w:ascii="Tahoma" w:hAnsi="Tahoma" w:cs="Tahoma"/>
          <w:b/>
          <w:sz w:val="24"/>
          <w:szCs w:val="24"/>
        </w:rPr>
        <w:tab/>
      </w:r>
      <w:r>
        <w:rPr>
          <w:rFonts w:ascii="Tahoma" w:hAnsi="Tahoma" w:cs="Tahoma"/>
          <w:b/>
          <w:sz w:val="24"/>
          <w:szCs w:val="24"/>
        </w:rPr>
        <w:tab/>
      </w:r>
    </w:p>
    <w:p w:rsidR="003D761F" w:rsidRDefault="00D54100" w:rsidP="00D54100">
      <w:pPr>
        <w:spacing w:line="360" w:lineRule="auto"/>
        <w:jc w:val="both"/>
        <w:rPr>
          <w:rFonts w:ascii="Tahoma" w:hAnsi="Tahoma" w:cs="Tahoma"/>
          <w:b/>
          <w:sz w:val="24"/>
          <w:szCs w:val="24"/>
        </w:rPr>
      </w:pPr>
      <w:r>
        <w:rPr>
          <w:rFonts w:ascii="Tahoma" w:hAnsi="Tahoma" w:cs="Tahoma"/>
          <w:b/>
          <w:sz w:val="24"/>
          <w:szCs w:val="24"/>
        </w:rPr>
        <w:t>MURASI, J:</w:t>
      </w:r>
      <w:r w:rsidR="00672C8A">
        <w:rPr>
          <w:rFonts w:ascii="Tahoma" w:hAnsi="Tahoma" w:cs="Tahoma"/>
          <w:b/>
          <w:sz w:val="24"/>
          <w:szCs w:val="24"/>
        </w:rPr>
        <w:tab/>
      </w:r>
      <w:r w:rsidR="00672C8A">
        <w:rPr>
          <w:rFonts w:ascii="Tahoma" w:hAnsi="Tahoma" w:cs="Tahoma"/>
          <w:b/>
          <w:sz w:val="24"/>
          <w:szCs w:val="24"/>
        </w:rPr>
        <w:tab/>
      </w:r>
      <w:r w:rsidR="00672C8A">
        <w:rPr>
          <w:rFonts w:ascii="Tahoma" w:hAnsi="Tahoma" w:cs="Tahoma"/>
          <w:b/>
          <w:sz w:val="24"/>
          <w:szCs w:val="24"/>
        </w:rPr>
        <w:tab/>
      </w:r>
      <w:r w:rsidR="00672C8A">
        <w:rPr>
          <w:rFonts w:ascii="Tahoma" w:hAnsi="Tahoma" w:cs="Tahoma"/>
          <w:b/>
          <w:sz w:val="24"/>
          <w:szCs w:val="24"/>
        </w:rPr>
        <w:tab/>
      </w:r>
    </w:p>
    <w:p w:rsidR="003D761F" w:rsidRDefault="003D761F" w:rsidP="00D54100">
      <w:pPr>
        <w:spacing w:line="360" w:lineRule="auto"/>
        <w:jc w:val="both"/>
        <w:rPr>
          <w:rFonts w:ascii="Tahoma" w:hAnsi="Tahoma" w:cs="Tahoma"/>
          <w:b/>
          <w:sz w:val="24"/>
          <w:szCs w:val="24"/>
        </w:rPr>
      </w:pPr>
    </w:p>
    <w:p w:rsidR="00774A26" w:rsidRDefault="00DA76F2" w:rsidP="003D6A63">
      <w:pPr>
        <w:spacing w:line="360" w:lineRule="auto"/>
        <w:ind w:firstLine="720"/>
        <w:jc w:val="both"/>
        <w:rPr>
          <w:rFonts w:ascii="Tahoma" w:hAnsi="Tahoma" w:cs="Tahoma"/>
          <w:sz w:val="24"/>
          <w:szCs w:val="24"/>
        </w:rPr>
      </w:pPr>
      <w:r>
        <w:rPr>
          <w:rFonts w:ascii="Tahoma" w:hAnsi="Tahoma" w:cs="Tahoma"/>
          <w:sz w:val="24"/>
          <w:szCs w:val="24"/>
        </w:rPr>
        <w:t>This matter was originally set to be heard on 01 Ap</w:t>
      </w:r>
      <w:r w:rsidR="005A6DBD">
        <w:rPr>
          <w:rFonts w:ascii="Tahoma" w:hAnsi="Tahoma" w:cs="Tahoma"/>
          <w:sz w:val="24"/>
          <w:szCs w:val="24"/>
        </w:rPr>
        <w:t>ril 2020.  Due to the onslaugh</w:t>
      </w:r>
      <w:r w:rsidR="005B361E">
        <w:rPr>
          <w:rFonts w:ascii="Tahoma" w:hAnsi="Tahoma" w:cs="Tahoma"/>
          <w:sz w:val="24"/>
          <w:szCs w:val="24"/>
        </w:rPr>
        <w:t>t</w:t>
      </w:r>
      <w:r>
        <w:rPr>
          <w:rFonts w:ascii="Tahoma" w:hAnsi="Tahoma" w:cs="Tahoma"/>
          <w:sz w:val="24"/>
          <w:szCs w:val="24"/>
        </w:rPr>
        <w:t xml:space="preserve"> of the CORONAVIRUS </w:t>
      </w:r>
      <w:r w:rsidR="003D6A63">
        <w:rPr>
          <w:rFonts w:ascii="Tahoma" w:hAnsi="Tahoma" w:cs="Tahoma"/>
          <w:sz w:val="24"/>
          <w:szCs w:val="24"/>
        </w:rPr>
        <w:t>pandemic,</w:t>
      </w:r>
      <w:r>
        <w:rPr>
          <w:rFonts w:ascii="Tahoma" w:hAnsi="Tahoma" w:cs="Tahoma"/>
          <w:sz w:val="24"/>
          <w:szCs w:val="24"/>
        </w:rPr>
        <w:t xml:space="preserve"> the </w:t>
      </w:r>
      <w:r w:rsidR="003D6A63">
        <w:rPr>
          <w:rFonts w:ascii="Tahoma" w:hAnsi="Tahoma" w:cs="Tahoma"/>
          <w:sz w:val="24"/>
          <w:szCs w:val="24"/>
        </w:rPr>
        <w:t>Chief Justice</w:t>
      </w:r>
      <w:r w:rsidR="005B361E">
        <w:rPr>
          <w:rFonts w:ascii="Tahoma" w:hAnsi="Tahoma" w:cs="Tahoma"/>
          <w:sz w:val="24"/>
          <w:szCs w:val="24"/>
        </w:rPr>
        <w:t xml:space="preserve"> issued</w:t>
      </w:r>
      <w:r w:rsidR="00E20C8D">
        <w:rPr>
          <w:rFonts w:ascii="Tahoma" w:hAnsi="Tahoma" w:cs="Tahoma"/>
          <w:sz w:val="24"/>
          <w:szCs w:val="24"/>
        </w:rPr>
        <w:t xml:space="preserve"> an instruction to the effect that courts would only deal with</w:t>
      </w:r>
      <w:r w:rsidR="005B361E">
        <w:rPr>
          <w:rFonts w:ascii="Tahoma" w:hAnsi="Tahoma" w:cs="Tahoma"/>
          <w:sz w:val="24"/>
          <w:szCs w:val="24"/>
        </w:rPr>
        <w:t xml:space="preserve"> very urgent matters and the res</w:t>
      </w:r>
      <w:r w:rsidR="00E20C8D">
        <w:rPr>
          <w:rFonts w:ascii="Tahoma" w:hAnsi="Tahoma" w:cs="Tahoma"/>
          <w:sz w:val="24"/>
          <w:szCs w:val="24"/>
        </w:rPr>
        <w:t>t had to be postponed.  This was in order to avoid unne</w:t>
      </w:r>
      <w:r w:rsidR="005B361E">
        <w:rPr>
          <w:rFonts w:ascii="Tahoma" w:hAnsi="Tahoma" w:cs="Tahoma"/>
          <w:sz w:val="24"/>
          <w:szCs w:val="24"/>
        </w:rPr>
        <w:t>cessary contaminations and curb</w:t>
      </w:r>
      <w:r w:rsidR="00E20C8D">
        <w:rPr>
          <w:rFonts w:ascii="Tahoma" w:hAnsi="Tahoma" w:cs="Tahoma"/>
          <w:sz w:val="24"/>
          <w:szCs w:val="24"/>
        </w:rPr>
        <w:t xml:space="preserve"> infections.  On the date of the hearing, </w:t>
      </w:r>
      <w:r w:rsidR="003D6A63">
        <w:rPr>
          <w:rFonts w:ascii="Tahoma" w:hAnsi="Tahoma" w:cs="Tahoma"/>
          <w:sz w:val="24"/>
          <w:szCs w:val="24"/>
        </w:rPr>
        <w:t>applicants’</w:t>
      </w:r>
      <w:r w:rsidR="00E20C8D">
        <w:rPr>
          <w:rFonts w:ascii="Tahoma" w:hAnsi="Tahoma" w:cs="Tahoma"/>
          <w:sz w:val="24"/>
          <w:szCs w:val="24"/>
        </w:rPr>
        <w:t xml:space="preserve"> legal practiti</w:t>
      </w:r>
      <w:r w:rsidR="005B361E">
        <w:rPr>
          <w:rFonts w:ascii="Tahoma" w:hAnsi="Tahoma" w:cs="Tahoma"/>
          <w:sz w:val="24"/>
          <w:szCs w:val="24"/>
        </w:rPr>
        <w:t>oners were contacted</w:t>
      </w:r>
      <w:r w:rsidR="00E20C8D">
        <w:rPr>
          <w:rFonts w:ascii="Tahoma" w:hAnsi="Tahoma" w:cs="Tahoma"/>
          <w:sz w:val="24"/>
          <w:szCs w:val="24"/>
        </w:rPr>
        <w:t xml:space="preserve"> telephonically and informed of the position.  It was also suggested to them that</w:t>
      </w:r>
      <w:r w:rsidR="005B361E">
        <w:rPr>
          <w:rFonts w:ascii="Tahoma" w:hAnsi="Tahoma" w:cs="Tahoma"/>
          <w:sz w:val="24"/>
          <w:szCs w:val="24"/>
        </w:rPr>
        <w:t>,</w:t>
      </w:r>
      <w:r w:rsidR="00E20C8D">
        <w:rPr>
          <w:rFonts w:ascii="Tahoma" w:hAnsi="Tahoma" w:cs="Tahoma"/>
          <w:sz w:val="24"/>
          <w:szCs w:val="24"/>
        </w:rPr>
        <w:t xml:space="preserve"> </w:t>
      </w:r>
    </w:p>
    <w:p w:rsidR="00774A26" w:rsidRDefault="00774A26" w:rsidP="003D6A63">
      <w:pPr>
        <w:spacing w:line="360" w:lineRule="auto"/>
        <w:ind w:firstLine="720"/>
        <w:jc w:val="both"/>
        <w:rPr>
          <w:rFonts w:ascii="Tahoma" w:hAnsi="Tahoma" w:cs="Tahoma"/>
          <w:sz w:val="24"/>
          <w:szCs w:val="24"/>
        </w:rPr>
      </w:pPr>
    </w:p>
    <w:p w:rsidR="00EC1169" w:rsidRDefault="007B10CA" w:rsidP="00774A26">
      <w:pPr>
        <w:spacing w:line="360" w:lineRule="auto"/>
        <w:jc w:val="both"/>
        <w:rPr>
          <w:rFonts w:ascii="Tahoma" w:hAnsi="Tahoma" w:cs="Tahoma"/>
          <w:sz w:val="24"/>
          <w:szCs w:val="24"/>
        </w:rPr>
      </w:pPr>
      <w:proofErr w:type="gramStart"/>
      <w:r>
        <w:rPr>
          <w:rFonts w:ascii="Tahoma" w:hAnsi="Tahoma" w:cs="Tahoma"/>
          <w:sz w:val="24"/>
          <w:szCs w:val="24"/>
        </w:rPr>
        <w:t>with</w:t>
      </w:r>
      <w:proofErr w:type="gramEnd"/>
      <w:r>
        <w:rPr>
          <w:rFonts w:ascii="Tahoma" w:hAnsi="Tahoma" w:cs="Tahoma"/>
          <w:sz w:val="24"/>
          <w:szCs w:val="24"/>
        </w:rPr>
        <w:t xml:space="preserve"> their consent</w:t>
      </w:r>
      <w:r w:rsidR="00E20C8D">
        <w:rPr>
          <w:rFonts w:ascii="Tahoma" w:hAnsi="Tahoma" w:cs="Tahoma"/>
          <w:sz w:val="24"/>
          <w:szCs w:val="24"/>
        </w:rPr>
        <w:t>, the matter could be determined on the merits if they were satisfied that the documents they had filed were adequate.  A provisional h</w:t>
      </w:r>
      <w:r w:rsidR="005B361E">
        <w:rPr>
          <w:rFonts w:ascii="Tahoma" w:hAnsi="Tahoma" w:cs="Tahoma"/>
          <w:sz w:val="24"/>
          <w:szCs w:val="24"/>
        </w:rPr>
        <w:t>earing date of 16 June</w:t>
      </w:r>
      <w:r w:rsidR="00E20C8D">
        <w:rPr>
          <w:rFonts w:ascii="Tahoma" w:hAnsi="Tahoma" w:cs="Tahoma"/>
          <w:sz w:val="24"/>
          <w:szCs w:val="24"/>
        </w:rPr>
        <w:t xml:space="preserve"> 2020 was also given to applicant’s legal </w:t>
      </w:r>
      <w:r w:rsidR="0086798D">
        <w:rPr>
          <w:rFonts w:ascii="Tahoma" w:hAnsi="Tahoma" w:cs="Tahoma"/>
          <w:sz w:val="24"/>
          <w:szCs w:val="24"/>
        </w:rPr>
        <w:t>practitioners</w:t>
      </w:r>
      <w:r w:rsidR="00E20C8D">
        <w:rPr>
          <w:rFonts w:ascii="Tahoma" w:hAnsi="Tahoma" w:cs="Tahoma"/>
          <w:sz w:val="24"/>
          <w:szCs w:val="24"/>
        </w:rPr>
        <w:t xml:space="preserve">.  </w:t>
      </w:r>
      <w:r w:rsidR="00E20C8D" w:rsidRPr="0086798D">
        <w:rPr>
          <w:rFonts w:ascii="Tahoma" w:hAnsi="Tahoma" w:cs="Tahoma"/>
          <w:sz w:val="24"/>
          <w:szCs w:val="24"/>
          <w:u w:val="single"/>
        </w:rPr>
        <w:t xml:space="preserve">Mr </w:t>
      </w:r>
      <w:proofErr w:type="spellStart"/>
      <w:r w:rsidR="003D6A63" w:rsidRPr="0086798D">
        <w:rPr>
          <w:rFonts w:ascii="Tahoma" w:hAnsi="Tahoma" w:cs="Tahoma"/>
          <w:sz w:val="24"/>
          <w:szCs w:val="24"/>
          <w:u w:val="single"/>
        </w:rPr>
        <w:t>Kanoti</w:t>
      </w:r>
      <w:proofErr w:type="spellEnd"/>
      <w:r w:rsidR="003D6A63">
        <w:rPr>
          <w:rFonts w:ascii="Tahoma" w:hAnsi="Tahoma" w:cs="Tahoma"/>
          <w:sz w:val="24"/>
          <w:szCs w:val="24"/>
        </w:rPr>
        <w:t>,</w:t>
      </w:r>
      <w:r w:rsidR="0086798D">
        <w:rPr>
          <w:rFonts w:ascii="Tahoma" w:hAnsi="Tahoma" w:cs="Tahoma"/>
          <w:sz w:val="24"/>
          <w:szCs w:val="24"/>
        </w:rPr>
        <w:t xml:space="preserve"> for the applicants, indicated that he was agreeable to having the matter determined on the basis of the documents filed of record.</w:t>
      </w:r>
    </w:p>
    <w:p w:rsidR="0086798D" w:rsidRDefault="0086798D" w:rsidP="00D54100">
      <w:pPr>
        <w:spacing w:line="360" w:lineRule="auto"/>
        <w:jc w:val="both"/>
        <w:rPr>
          <w:rFonts w:ascii="Tahoma" w:hAnsi="Tahoma" w:cs="Tahoma"/>
          <w:sz w:val="24"/>
          <w:szCs w:val="24"/>
        </w:rPr>
      </w:pPr>
    </w:p>
    <w:p w:rsidR="0086798D" w:rsidRDefault="0086798D" w:rsidP="003D6A63">
      <w:pPr>
        <w:spacing w:line="360" w:lineRule="auto"/>
        <w:ind w:firstLine="720"/>
        <w:jc w:val="both"/>
        <w:rPr>
          <w:rFonts w:ascii="Tahoma" w:hAnsi="Tahoma" w:cs="Tahoma"/>
          <w:sz w:val="24"/>
          <w:szCs w:val="24"/>
        </w:rPr>
      </w:pPr>
      <w:r>
        <w:rPr>
          <w:rFonts w:ascii="Tahoma" w:hAnsi="Tahoma" w:cs="Tahoma"/>
          <w:sz w:val="24"/>
          <w:szCs w:val="24"/>
        </w:rPr>
        <w:t>Respondent could not be conducted</w:t>
      </w:r>
      <w:r w:rsidR="005B361E">
        <w:rPr>
          <w:rFonts w:ascii="Tahoma" w:hAnsi="Tahoma" w:cs="Tahoma"/>
          <w:sz w:val="24"/>
          <w:szCs w:val="24"/>
        </w:rPr>
        <w:t xml:space="preserve"> telephonically on 01</w:t>
      </w:r>
      <w:r>
        <w:rPr>
          <w:rFonts w:ascii="Tahoma" w:hAnsi="Tahoma" w:cs="Tahoma"/>
          <w:sz w:val="24"/>
          <w:szCs w:val="24"/>
        </w:rPr>
        <w:t xml:space="preserve"> April 2020 as no contact details were provided in the record.  Respondent was subsequently contacted on 16 June 2020 after the contact details had been obtained from applicants’ legal </w:t>
      </w:r>
      <w:r w:rsidR="003D6A63">
        <w:rPr>
          <w:rFonts w:ascii="Tahoma" w:hAnsi="Tahoma" w:cs="Tahoma"/>
          <w:sz w:val="24"/>
          <w:szCs w:val="24"/>
        </w:rPr>
        <w:t>practitioners</w:t>
      </w:r>
      <w:r>
        <w:rPr>
          <w:rFonts w:ascii="Tahoma" w:hAnsi="Tahoma" w:cs="Tahoma"/>
          <w:sz w:val="24"/>
          <w:szCs w:val="24"/>
        </w:rPr>
        <w:t xml:space="preserve">.  Confirmation was received from one MUSAKASA, on behalf of the respondent to the effect that the matter could be determined on the </w:t>
      </w:r>
      <w:r w:rsidR="005B361E">
        <w:rPr>
          <w:rFonts w:ascii="Tahoma" w:hAnsi="Tahoma" w:cs="Tahoma"/>
          <w:sz w:val="24"/>
          <w:szCs w:val="24"/>
        </w:rPr>
        <w:t xml:space="preserve">basis of the documents </w:t>
      </w:r>
      <w:r>
        <w:rPr>
          <w:rFonts w:ascii="Tahoma" w:hAnsi="Tahoma" w:cs="Tahoma"/>
          <w:sz w:val="24"/>
          <w:szCs w:val="24"/>
        </w:rPr>
        <w:t>filed of record.</w:t>
      </w:r>
    </w:p>
    <w:p w:rsidR="0086798D" w:rsidRDefault="0086798D" w:rsidP="00D54100">
      <w:pPr>
        <w:spacing w:line="360" w:lineRule="auto"/>
        <w:jc w:val="both"/>
        <w:rPr>
          <w:rFonts w:ascii="Tahoma" w:hAnsi="Tahoma" w:cs="Tahoma"/>
          <w:sz w:val="24"/>
          <w:szCs w:val="24"/>
        </w:rPr>
      </w:pPr>
    </w:p>
    <w:p w:rsidR="0086798D" w:rsidRDefault="00E3436D" w:rsidP="007B10CA">
      <w:pPr>
        <w:spacing w:line="360" w:lineRule="auto"/>
        <w:ind w:firstLine="720"/>
        <w:jc w:val="both"/>
        <w:rPr>
          <w:rFonts w:ascii="Tahoma" w:hAnsi="Tahoma" w:cs="Tahoma"/>
          <w:sz w:val="24"/>
          <w:szCs w:val="24"/>
        </w:rPr>
      </w:pPr>
      <w:r>
        <w:rPr>
          <w:rFonts w:ascii="Tahoma" w:hAnsi="Tahoma" w:cs="Tahoma"/>
          <w:sz w:val="24"/>
          <w:szCs w:val="24"/>
        </w:rPr>
        <w:t xml:space="preserve">A brief background </w:t>
      </w:r>
      <w:r w:rsidR="003D6A63">
        <w:rPr>
          <w:rFonts w:ascii="Tahoma" w:hAnsi="Tahoma" w:cs="Tahoma"/>
          <w:sz w:val="24"/>
          <w:szCs w:val="24"/>
        </w:rPr>
        <w:t>to this</w:t>
      </w:r>
      <w:r>
        <w:rPr>
          <w:rFonts w:ascii="Tahoma" w:hAnsi="Tahoma" w:cs="Tahoma"/>
          <w:sz w:val="24"/>
          <w:szCs w:val="24"/>
        </w:rPr>
        <w:t xml:space="preserve"> matter is pertinent.  Applicants were employed by the Respondent in various capacities.  The applicants’ contracts of employment were allegedly terminated by the respondent which prompted them to approach the Designated Agent for the National Employment Council for the Food and Allied Substances.  The Designated Agent dismissed their claims.  The applicants were </w:t>
      </w:r>
      <w:r w:rsidR="005B361E">
        <w:rPr>
          <w:rFonts w:ascii="Tahoma" w:hAnsi="Tahoma" w:cs="Tahoma"/>
          <w:sz w:val="24"/>
          <w:szCs w:val="24"/>
        </w:rPr>
        <w:t>disgruntled with</w:t>
      </w:r>
      <w:r>
        <w:rPr>
          <w:rFonts w:ascii="Tahoma" w:hAnsi="Tahoma" w:cs="Tahoma"/>
          <w:sz w:val="24"/>
          <w:szCs w:val="24"/>
        </w:rPr>
        <w:t xml:space="preserve"> this ruling and resolved to appeal to this Court.  The applicants </w:t>
      </w:r>
      <w:r w:rsidR="003D6A63">
        <w:rPr>
          <w:rFonts w:ascii="Tahoma" w:hAnsi="Tahoma" w:cs="Tahoma"/>
          <w:sz w:val="24"/>
          <w:szCs w:val="24"/>
        </w:rPr>
        <w:t>were</w:t>
      </w:r>
      <w:r>
        <w:rPr>
          <w:rFonts w:ascii="Tahoma" w:hAnsi="Tahoma" w:cs="Tahoma"/>
          <w:sz w:val="24"/>
          <w:szCs w:val="24"/>
        </w:rPr>
        <w:t xml:space="preserve"> however out of time and sought condonation of the late filing of the appeal.  This was done under Case </w:t>
      </w:r>
      <w:r w:rsidRPr="003D6A63">
        <w:rPr>
          <w:rFonts w:ascii="Tahoma" w:hAnsi="Tahoma" w:cs="Tahoma"/>
          <w:b/>
          <w:sz w:val="24"/>
          <w:szCs w:val="24"/>
        </w:rPr>
        <w:t>No LC/H/APP/533/18</w:t>
      </w:r>
      <w:r>
        <w:rPr>
          <w:rFonts w:ascii="Tahoma" w:hAnsi="Tahoma" w:cs="Tahoma"/>
          <w:sz w:val="24"/>
          <w:szCs w:val="24"/>
        </w:rPr>
        <w:t xml:space="preserve">.  The matter was set down for 21 January 2019.  The applicants did not attend </w:t>
      </w:r>
      <w:r w:rsidR="004F4E35">
        <w:rPr>
          <w:rFonts w:ascii="Tahoma" w:hAnsi="Tahoma" w:cs="Tahoma"/>
          <w:sz w:val="24"/>
          <w:szCs w:val="24"/>
        </w:rPr>
        <w:t>and a default judgment was granted.  Applicants intend to have the default judgment rescinded, hence the present application.</w:t>
      </w:r>
    </w:p>
    <w:p w:rsidR="00774A26" w:rsidRDefault="00774A26" w:rsidP="007B10CA">
      <w:pPr>
        <w:spacing w:line="360" w:lineRule="auto"/>
        <w:ind w:firstLine="720"/>
        <w:jc w:val="both"/>
        <w:rPr>
          <w:rFonts w:ascii="Tahoma" w:hAnsi="Tahoma" w:cs="Tahoma"/>
          <w:sz w:val="24"/>
          <w:szCs w:val="24"/>
        </w:rPr>
      </w:pPr>
    </w:p>
    <w:p w:rsidR="00774A26" w:rsidRDefault="00774A26" w:rsidP="007B10CA">
      <w:pPr>
        <w:spacing w:line="360" w:lineRule="auto"/>
        <w:ind w:firstLine="720"/>
        <w:jc w:val="both"/>
        <w:rPr>
          <w:rFonts w:ascii="Tahoma" w:hAnsi="Tahoma" w:cs="Tahoma"/>
          <w:sz w:val="24"/>
          <w:szCs w:val="24"/>
        </w:rPr>
      </w:pPr>
    </w:p>
    <w:p w:rsidR="004F4E35" w:rsidRDefault="004F4E35" w:rsidP="00D54100">
      <w:pPr>
        <w:spacing w:line="360" w:lineRule="auto"/>
        <w:jc w:val="both"/>
        <w:rPr>
          <w:rFonts w:ascii="Tahoma" w:hAnsi="Tahoma" w:cs="Tahoma"/>
          <w:sz w:val="24"/>
          <w:szCs w:val="24"/>
        </w:rPr>
      </w:pPr>
    </w:p>
    <w:p w:rsidR="004F4E35" w:rsidRDefault="004F4E35" w:rsidP="007B10CA">
      <w:pPr>
        <w:spacing w:line="360" w:lineRule="auto"/>
        <w:ind w:firstLine="720"/>
        <w:jc w:val="both"/>
        <w:rPr>
          <w:rFonts w:ascii="Tahoma" w:hAnsi="Tahoma" w:cs="Tahoma"/>
          <w:sz w:val="24"/>
          <w:szCs w:val="24"/>
        </w:rPr>
      </w:pPr>
      <w:r>
        <w:rPr>
          <w:rFonts w:ascii="Tahoma" w:hAnsi="Tahoma" w:cs="Tahoma"/>
          <w:sz w:val="24"/>
          <w:szCs w:val="24"/>
        </w:rPr>
        <w:t xml:space="preserve">A reading of the documents filed of record shows that respondent, in the Notice of Response raises a </w:t>
      </w:r>
      <w:r w:rsidR="0083088D">
        <w:rPr>
          <w:rFonts w:ascii="Tahoma" w:hAnsi="Tahoma" w:cs="Tahoma"/>
          <w:sz w:val="24"/>
          <w:szCs w:val="24"/>
        </w:rPr>
        <w:t>preliminary</w:t>
      </w:r>
      <w:r>
        <w:rPr>
          <w:rFonts w:ascii="Tahoma" w:hAnsi="Tahoma" w:cs="Tahoma"/>
          <w:sz w:val="24"/>
          <w:szCs w:val="24"/>
        </w:rPr>
        <w:t xml:space="preserve"> point.  This is captured at Page 18 of the record.  This is an affidavit filed by SIMON MUSAKASA.  He states as follows:</w:t>
      </w:r>
    </w:p>
    <w:p w:rsidR="004F4E35" w:rsidRDefault="004F4E35" w:rsidP="00D54100">
      <w:pPr>
        <w:spacing w:line="360" w:lineRule="auto"/>
        <w:jc w:val="both"/>
        <w:rPr>
          <w:rFonts w:ascii="Tahoma" w:hAnsi="Tahoma" w:cs="Tahoma"/>
          <w:sz w:val="24"/>
          <w:szCs w:val="24"/>
        </w:rPr>
      </w:pPr>
    </w:p>
    <w:p w:rsidR="004F4E35" w:rsidRPr="0083088D" w:rsidRDefault="004F4E35" w:rsidP="0083088D">
      <w:pPr>
        <w:spacing w:line="360" w:lineRule="auto"/>
        <w:ind w:left="720"/>
        <w:jc w:val="both"/>
        <w:rPr>
          <w:rFonts w:ascii="Tahoma" w:hAnsi="Tahoma" w:cs="Tahoma"/>
        </w:rPr>
      </w:pPr>
      <w:r>
        <w:rPr>
          <w:rFonts w:ascii="Tahoma" w:hAnsi="Tahoma" w:cs="Tahoma"/>
          <w:sz w:val="24"/>
          <w:szCs w:val="24"/>
        </w:rPr>
        <w:t>“</w:t>
      </w:r>
      <w:r w:rsidRPr="0083088D">
        <w:rPr>
          <w:rFonts w:ascii="Tahoma" w:hAnsi="Tahoma" w:cs="Tahoma"/>
        </w:rPr>
        <w:t xml:space="preserve">15. The application for rescission is well out of time.  The delay is by all stretch of imagination </w:t>
      </w:r>
      <w:r w:rsidR="0083088D" w:rsidRPr="0083088D">
        <w:rPr>
          <w:rFonts w:ascii="Tahoma" w:hAnsi="Tahoma" w:cs="Tahoma"/>
        </w:rPr>
        <w:t>inordinate</w:t>
      </w:r>
      <w:r w:rsidRPr="0083088D">
        <w:rPr>
          <w:rFonts w:ascii="Tahoma" w:hAnsi="Tahoma" w:cs="Tahoma"/>
        </w:rPr>
        <w:t xml:space="preserve">.  Even assuming without admitting that their approach is correct </w:t>
      </w:r>
      <w:r w:rsidR="0083088D" w:rsidRPr="0083088D">
        <w:rPr>
          <w:rFonts w:ascii="Tahoma" w:hAnsi="Tahoma" w:cs="Tahoma"/>
        </w:rPr>
        <w:t>(in</w:t>
      </w:r>
      <w:r w:rsidRPr="0083088D">
        <w:rPr>
          <w:rFonts w:ascii="Tahoma" w:hAnsi="Tahoma" w:cs="Tahoma"/>
        </w:rPr>
        <w:t xml:space="preserve"> wanting to apply for rescission of the judgment), it is imperative to draw the following facts to the </w:t>
      </w:r>
      <w:r w:rsidR="0083088D" w:rsidRPr="0083088D">
        <w:rPr>
          <w:rFonts w:ascii="Tahoma" w:hAnsi="Tahoma" w:cs="Tahoma"/>
        </w:rPr>
        <w:t>attention</w:t>
      </w:r>
      <w:r w:rsidRPr="0083088D">
        <w:rPr>
          <w:rFonts w:ascii="Tahoma" w:hAnsi="Tahoma" w:cs="Tahoma"/>
        </w:rPr>
        <w:t xml:space="preserve"> of the court:</w:t>
      </w:r>
    </w:p>
    <w:p w:rsidR="004F4E35" w:rsidRPr="0083088D" w:rsidRDefault="004F4E35" w:rsidP="00D54100">
      <w:pPr>
        <w:spacing w:line="360" w:lineRule="auto"/>
        <w:jc w:val="both"/>
        <w:rPr>
          <w:rFonts w:ascii="Tahoma" w:hAnsi="Tahoma" w:cs="Tahoma"/>
        </w:rPr>
      </w:pPr>
    </w:p>
    <w:p w:rsidR="004F4E35" w:rsidRPr="0083088D" w:rsidRDefault="004F4E35" w:rsidP="004F4E35">
      <w:pPr>
        <w:pStyle w:val="ListParagraph"/>
        <w:numPr>
          <w:ilvl w:val="0"/>
          <w:numId w:val="16"/>
        </w:numPr>
        <w:spacing w:line="360" w:lineRule="auto"/>
        <w:jc w:val="both"/>
        <w:rPr>
          <w:rFonts w:ascii="Tahoma" w:hAnsi="Tahoma" w:cs="Tahoma"/>
        </w:rPr>
      </w:pPr>
      <w:r w:rsidRPr="0083088D">
        <w:rPr>
          <w:rFonts w:ascii="Tahoma" w:hAnsi="Tahoma" w:cs="Tahoma"/>
        </w:rPr>
        <w:t>This application was only filed on the 1</w:t>
      </w:r>
      <w:r w:rsidRPr="0083088D">
        <w:rPr>
          <w:rFonts w:ascii="Tahoma" w:hAnsi="Tahoma" w:cs="Tahoma"/>
          <w:vertAlign w:val="superscript"/>
        </w:rPr>
        <w:t>st</w:t>
      </w:r>
      <w:r w:rsidRPr="0083088D">
        <w:rPr>
          <w:rFonts w:ascii="Tahoma" w:hAnsi="Tahoma" w:cs="Tahoma"/>
        </w:rPr>
        <w:t xml:space="preserve"> of March 2019.  This is 2 months after the </w:t>
      </w:r>
      <w:r w:rsidR="0083088D" w:rsidRPr="0083088D">
        <w:rPr>
          <w:rFonts w:ascii="Tahoma" w:hAnsi="Tahoma" w:cs="Tahoma"/>
        </w:rPr>
        <w:t>issuance</w:t>
      </w:r>
      <w:r w:rsidRPr="0083088D">
        <w:rPr>
          <w:rFonts w:ascii="Tahoma" w:hAnsi="Tahoma" w:cs="Tahoma"/>
        </w:rPr>
        <w:t xml:space="preserve"> of the Labour Court order.  This is manifestly </w:t>
      </w:r>
      <w:r w:rsidR="005B361E">
        <w:rPr>
          <w:rFonts w:ascii="Tahoma" w:hAnsi="Tahoma" w:cs="Tahoma"/>
        </w:rPr>
        <w:t>gross</w:t>
      </w:r>
      <w:r w:rsidR="0069116A" w:rsidRPr="0083088D">
        <w:rPr>
          <w:rFonts w:ascii="Tahoma" w:hAnsi="Tahoma" w:cs="Tahoma"/>
        </w:rPr>
        <w:t xml:space="preserve"> and inordinate delay.</w:t>
      </w:r>
    </w:p>
    <w:p w:rsidR="0069116A" w:rsidRPr="0083088D" w:rsidRDefault="0069116A" w:rsidP="0083088D">
      <w:pPr>
        <w:spacing w:line="360" w:lineRule="auto"/>
        <w:ind w:left="720"/>
        <w:jc w:val="both"/>
        <w:rPr>
          <w:rFonts w:ascii="Tahoma" w:hAnsi="Tahoma" w:cs="Tahoma"/>
        </w:rPr>
      </w:pPr>
      <w:r w:rsidRPr="0083088D">
        <w:rPr>
          <w:rFonts w:ascii="Tahoma" w:hAnsi="Tahoma" w:cs="Tahoma"/>
        </w:rPr>
        <w:t xml:space="preserve">16. What worsens the whole scenario is that no explanation has </w:t>
      </w:r>
      <w:r w:rsidR="007B10CA">
        <w:rPr>
          <w:rFonts w:ascii="Tahoma" w:hAnsi="Tahoma" w:cs="Tahoma"/>
        </w:rPr>
        <w:t>been given for the period of in</w:t>
      </w:r>
      <w:r w:rsidRPr="0083088D">
        <w:rPr>
          <w:rFonts w:ascii="Tahoma" w:hAnsi="Tahoma" w:cs="Tahoma"/>
        </w:rPr>
        <w:t>a</w:t>
      </w:r>
      <w:r w:rsidR="005B361E">
        <w:rPr>
          <w:rFonts w:ascii="Tahoma" w:hAnsi="Tahoma" w:cs="Tahoma"/>
        </w:rPr>
        <w:t>c</w:t>
      </w:r>
      <w:r w:rsidRPr="0083088D">
        <w:rPr>
          <w:rFonts w:ascii="Tahoma" w:hAnsi="Tahoma" w:cs="Tahoma"/>
        </w:rPr>
        <w:t>tion, that is, from the 23</w:t>
      </w:r>
      <w:r w:rsidRPr="0083088D">
        <w:rPr>
          <w:rFonts w:ascii="Tahoma" w:hAnsi="Tahoma" w:cs="Tahoma"/>
          <w:vertAlign w:val="superscript"/>
        </w:rPr>
        <w:t>rd</w:t>
      </w:r>
      <w:r w:rsidRPr="0083088D">
        <w:rPr>
          <w:rFonts w:ascii="Tahoma" w:hAnsi="Tahoma" w:cs="Tahoma"/>
        </w:rPr>
        <w:t xml:space="preserve"> of January 2019 to the 1</w:t>
      </w:r>
      <w:r w:rsidRPr="0083088D">
        <w:rPr>
          <w:rFonts w:ascii="Tahoma" w:hAnsi="Tahoma" w:cs="Tahoma"/>
          <w:vertAlign w:val="superscript"/>
        </w:rPr>
        <w:t>st</w:t>
      </w:r>
      <w:r w:rsidRPr="0083088D">
        <w:rPr>
          <w:rFonts w:ascii="Tahoma" w:hAnsi="Tahoma" w:cs="Tahoma"/>
        </w:rPr>
        <w:t xml:space="preserve"> of March 2019”</w:t>
      </w:r>
      <w:bookmarkStart w:id="0" w:name="_GoBack"/>
      <w:bookmarkEnd w:id="0"/>
    </w:p>
    <w:p w:rsidR="0069116A" w:rsidRDefault="0069116A" w:rsidP="0069116A">
      <w:pPr>
        <w:spacing w:line="360" w:lineRule="auto"/>
        <w:jc w:val="both"/>
        <w:rPr>
          <w:rFonts w:ascii="Tahoma" w:hAnsi="Tahoma" w:cs="Tahoma"/>
          <w:sz w:val="24"/>
          <w:szCs w:val="24"/>
        </w:rPr>
      </w:pPr>
    </w:p>
    <w:p w:rsidR="0069116A" w:rsidRDefault="0069116A" w:rsidP="0083088D">
      <w:pPr>
        <w:spacing w:line="360" w:lineRule="auto"/>
        <w:ind w:firstLine="720"/>
        <w:jc w:val="both"/>
        <w:rPr>
          <w:rFonts w:ascii="Tahoma" w:hAnsi="Tahoma" w:cs="Tahoma"/>
          <w:sz w:val="24"/>
          <w:szCs w:val="24"/>
        </w:rPr>
      </w:pPr>
      <w:r>
        <w:rPr>
          <w:rFonts w:ascii="Tahoma" w:hAnsi="Tahoma" w:cs="Tahoma"/>
          <w:sz w:val="24"/>
          <w:szCs w:val="24"/>
        </w:rPr>
        <w:t xml:space="preserve">The Notice of Opposition was filed on 21 June 2019.  The applicants’ legal practitioners proceeded to file heads of argument </w:t>
      </w:r>
      <w:r w:rsidR="001D24D7">
        <w:rPr>
          <w:rFonts w:ascii="Tahoma" w:hAnsi="Tahoma" w:cs="Tahoma"/>
          <w:sz w:val="24"/>
          <w:szCs w:val="24"/>
        </w:rPr>
        <w:t xml:space="preserve">on 01 August 2019.  It is a fact that these heads of argument should have been filed within ten (10) days from the date they were served with the Notice of Opposition.  However, I will restrict myself to the </w:t>
      </w:r>
      <w:r w:rsidR="0083088D">
        <w:rPr>
          <w:rFonts w:ascii="Tahoma" w:hAnsi="Tahoma" w:cs="Tahoma"/>
          <w:sz w:val="24"/>
          <w:szCs w:val="24"/>
        </w:rPr>
        <w:t>preliminary</w:t>
      </w:r>
      <w:r w:rsidR="001D24D7">
        <w:rPr>
          <w:rFonts w:ascii="Tahoma" w:hAnsi="Tahoma" w:cs="Tahoma"/>
          <w:sz w:val="24"/>
          <w:szCs w:val="24"/>
        </w:rPr>
        <w:t xml:space="preserve"> issue raised by respondent.  A reading applicants’ heads of argument shows that the </w:t>
      </w:r>
      <w:r w:rsidR="0083088D">
        <w:rPr>
          <w:rFonts w:ascii="Tahoma" w:hAnsi="Tahoma" w:cs="Tahoma"/>
          <w:sz w:val="24"/>
          <w:szCs w:val="24"/>
        </w:rPr>
        <w:t>preliminary</w:t>
      </w:r>
      <w:r w:rsidR="001D24D7">
        <w:rPr>
          <w:rFonts w:ascii="Tahoma" w:hAnsi="Tahoma" w:cs="Tahoma"/>
          <w:sz w:val="24"/>
          <w:szCs w:val="24"/>
        </w:rPr>
        <w:t xml:space="preserve"> point raised by the respondent was not addressed at all.  In fact, paragraph 4A.2 of these heads of argument refers to Rule 40 of the Labour Court Rules, 2017.  For the sake of completeness, l will cite it.  It provides:</w:t>
      </w:r>
    </w:p>
    <w:p w:rsidR="00774A26" w:rsidRDefault="00774A26" w:rsidP="0083088D">
      <w:pPr>
        <w:spacing w:line="360" w:lineRule="auto"/>
        <w:ind w:firstLine="720"/>
        <w:jc w:val="both"/>
        <w:rPr>
          <w:rFonts w:ascii="Tahoma" w:hAnsi="Tahoma" w:cs="Tahoma"/>
          <w:sz w:val="24"/>
          <w:szCs w:val="24"/>
        </w:rPr>
      </w:pPr>
    </w:p>
    <w:p w:rsidR="00774A26" w:rsidRDefault="00774A26" w:rsidP="0083088D">
      <w:pPr>
        <w:spacing w:line="360" w:lineRule="auto"/>
        <w:ind w:firstLine="720"/>
        <w:jc w:val="both"/>
        <w:rPr>
          <w:rFonts w:ascii="Tahoma" w:hAnsi="Tahoma" w:cs="Tahoma"/>
          <w:sz w:val="24"/>
          <w:szCs w:val="24"/>
        </w:rPr>
      </w:pPr>
    </w:p>
    <w:p w:rsidR="001D24D7" w:rsidRDefault="001D24D7" w:rsidP="0069116A">
      <w:pPr>
        <w:spacing w:line="360" w:lineRule="auto"/>
        <w:jc w:val="both"/>
        <w:rPr>
          <w:rFonts w:ascii="Tahoma" w:hAnsi="Tahoma" w:cs="Tahoma"/>
          <w:sz w:val="24"/>
          <w:szCs w:val="24"/>
        </w:rPr>
      </w:pPr>
    </w:p>
    <w:p w:rsidR="001D24D7" w:rsidRPr="001D24D7" w:rsidRDefault="001D24D7" w:rsidP="0069116A">
      <w:pPr>
        <w:spacing w:line="360" w:lineRule="auto"/>
        <w:jc w:val="both"/>
        <w:rPr>
          <w:rFonts w:ascii="Tahoma" w:hAnsi="Tahoma" w:cs="Tahoma"/>
          <w:i/>
          <w:sz w:val="24"/>
          <w:szCs w:val="24"/>
          <w:u w:val="single"/>
        </w:rPr>
      </w:pPr>
      <w:r w:rsidRPr="001D24D7">
        <w:rPr>
          <w:rFonts w:ascii="Tahoma" w:hAnsi="Tahoma" w:cs="Tahoma"/>
          <w:i/>
          <w:sz w:val="24"/>
          <w:szCs w:val="24"/>
          <w:u w:val="single"/>
        </w:rPr>
        <w:t>“Applications for rescissions or alterations of judgments”</w:t>
      </w:r>
    </w:p>
    <w:p w:rsidR="00EC1169" w:rsidRDefault="00EC1169" w:rsidP="00D54100">
      <w:pPr>
        <w:spacing w:line="360" w:lineRule="auto"/>
        <w:jc w:val="both"/>
        <w:rPr>
          <w:rFonts w:ascii="Tahoma" w:hAnsi="Tahoma" w:cs="Tahoma"/>
          <w:sz w:val="24"/>
          <w:szCs w:val="24"/>
        </w:rPr>
      </w:pPr>
      <w:r>
        <w:rPr>
          <w:rFonts w:ascii="Tahoma" w:hAnsi="Tahoma" w:cs="Tahoma"/>
          <w:sz w:val="24"/>
          <w:szCs w:val="24"/>
        </w:rPr>
        <w:tab/>
      </w:r>
    </w:p>
    <w:p w:rsidR="001D24D7" w:rsidRPr="0083088D" w:rsidRDefault="001D24D7" w:rsidP="0083088D">
      <w:pPr>
        <w:spacing w:line="360" w:lineRule="auto"/>
        <w:ind w:left="720"/>
        <w:jc w:val="both"/>
        <w:rPr>
          <w:rFonts w:ascii="Tahoma" w:hAnsi="Tahoma" w:cs="Tahoma"/>
          <w:u w:val="single"/>
        </w:rPr>
      </w:pPr>
      <w:r w:rsidRPr="0083088D">
        <w:rPr>
          <w:rFonts w:ascii="Tahoma" w:hAnsi="Tahoma" w:cs="Tahoma"/>
        </w:rPr>
        <w:t>40. An application for the rescission or alteration of a determination, order or judgment of the Court</w:t>
      </w:r>
      <w:r w:rsidR="006D115B" w:rsidRPr="0083088D">
        <w:rPr>
          <w:rFonts w:ascii="Tahoma" w:hAnsi="Tahoma" w:cs="Tahoma"/>
        </w:rPr>
        <w:t xml:space="preserve"> or Judge on any of the grounds specified in the Act </w:t>
      </w:r>
      <w:r w:rsidR="006D115B" w:rsidRPr="0083088D">
        <w:rPr>
          <w:rFonts w:ascii="Tahoma" w:hAnsi="Tahoma" w:cs="Tahoma"/>
          <w:u w:val="single"/>
        </w:rPr>
        <w:t xml:space="preserve">shall be made within twenty-one days from the date after the party has had knowledge </w:t>
      </w:r>
      <w:proofErr w:type="gramStart"/>
      <w:r w:rsidR="006D115B" w:rsidRPr="0083088D">
        <w:rPr>
          <w:rFonts w:ascii="Tahoma" w:hAnsi="Tahoma" w:cs="Tahoma"/>
          <w:u w:val="single"/>
        </w:rPr>
        <w:t>of  the</w:t>
      </w:r>
      <w:proofErr w:type="gramEnd"/>
      <w:r w:rsidR="006D115B" w:rsidRPr="0083088D">
        <w:rPr>
          <w:rFonts w:ascii="Tahoma" w:hAnsi="Tahoma" w:cs="Tahoma"/>
          <w:u w:val="single"/>
        </w:rPr>
        <w:t xml:space="preserve"> determination, order of judgment.</w:t>
      </w:r>
    </w:p>
    <w:p w:rsidR="006D115B" w:rsidRPr="0083088D" w:rsidRDefault="006D115B" w:rsidP="00D54100">
      <w:pPr>
        <w:spacing w:line="360" w:lineRule="auto"/>
        <w:jc w:val="both"/>
        <w:rPr>
          <w:rFonts w:ascii="Tahoma" w:hAnsi="Tahoma" w:cs="Tahoma"/>
          <w:u w:val="single"/>
        </w:rPr>
      </w:pPr>
    </w:p>
    <w:p w:rsidR="00EC1169" w:rsidRPr="0083088D" w:rsidRDefault="005B361E" w:rsidP="0083088D">
      <w:pPr>
        <w:spacing w:line="360" w:lineRule="auto"/>
        <w:ind w:left="720"/>
        <w:jc w:val="both"/>
        <w:rPr>
          <w:rFonts w:ascii="Tahoma" w:hAnsi="Tahoma" w:cs="Tahoma"/>
        </w:rPr>
      </w:pPr>
      <w:r>
        <w:rPr>
          <w:rFonts w:ascii="Tahoma" w:hAnsi="Tahoma" w:cs="Tahoma"/>
        </w:rPr>
        <w:t>Provided that unless</w:t>
      </w:r>
      <w:r w:rsidR="006D115B" w:rsidRPr="0083088D">
        <w:rPr>
          <w:rFonts w:ascii="Tahoma" w:hAnsi="Tahoma" w:cs="Tahoma"/>
        </w:rPr>
        <w:t xml:space="preserve"> the con</w:t>
      </w:r>
      <w:r>
        <w:rPr>
          <w:rFonts w:ascii="Tahoma" w:hAnsi="Tahoma" w:cs="Tahoma"/>
        </w:rPr>
        <w:t>trary</w:t>
      </w:r>
      <w:r w:rsidR="004509E2" w:rsidRPr="0083088D">
        <w:rPr>
          <w:rFonts w:ascii="Tahoma" w:hAnsi="Tahoma" w:cs="Tahoma"/>
        </w:rPr>
        <w:t xml:space="preserve"> is proven, the party shall be presumed to have had knowledge of the judgment within two days after the date thereof.”</w:t>
      </w:r>
    </w:p>
    <w:p w:rsidR="004509E2" w:rsidRPr="0083088D" w:rsidRDefault="004509E2" w:rsidP="00D54100">
      <w:pPr>
        <w:spacing w:line="360" w:lineRule="auto"/>
        <w:jc w:val="both"/>
        <w:rPr>
          <w:rFonts w:ascii="Tahoma" w:hAnsi="Tahoma" w:cs="Tahoma"/>
        </w:rPr>
      </w:pPr>
    </w:p>
    <w:p w:rsidR="004509E2" w:rsidRDefault="004509E2" w:rsidP="0083088D">
      <w:pPr>
        <w:spacing w:line="360" w:lineRule="auto"/>
        <w:ind w:firstLine="720"/>
        <w:jc w:val="both"/>
        <w:rPr>
          <w:rFonts w:ascii="Tahoma" w:hAnsi="Tahoma" w:cs="Tahoma"/>
          <w:sz w:val="24"/>
          <w:szCs w:val="24"/>
        </w:rPr>
      </w:pPr>
      <w:r>
        <w:rPr>
          <w:rFonts w:ascii="Tahoma" w:hAnsi="Tahoma" w:cs="Tahoma"/>
          <w:sz w:val="24"/>
          <w:szCs w:val="24"/>
        </w:rPr>
        <w:t>What is outstanding from applicants’ heads of argument is that after making reference to Rule 40 of the Labour Court Rules, the issue raised by the respondent was not addressed at all.  The Rules clearly prescribe that an application for rescission should be made within 21 days from the date after the party has had knowledge of the determination.  An affidavit deposed to by TAFADZWA MARUFU MARINDA explains when the applicants became aware of the determination.  Paragraph 6 reveals the following:</w:t>
      </w:r>
    </w:p>
    <w:p w:rsidR="004509E2" w:rsidRDefault="004509E2" w:rsidP="00D54100">
      <w:pPr>
        <w:spacing w:line="360" w:lineRule="auto"/>
        <w:jc w:val="both"/>
        <w:rPr>
          <w:rFonts w:ascii="Tahoma" w:hAnsi="Tahoma" w:cs="Tahoma"/>
          <w:sz w:val="24"/>
          <w:szCs w:val="24"/>
        </w:rPr>
      </w:pPr>
    </w:p>
    <w:p w:rsidR="004509E2" w:rsidRPr="0083088D" w:rsidRDefault="004509E2" w:rsidP="0083088D">
      <w:pPr>
        <w:spacing w:line="360" w:lineRule="auto"/>
        <w:ind w:left="720"/>
        <w:jc w:val="both"/>
        <w:rPr>
          <w:rFonts w:ascii="Tahoma" w:hAnsi="Tahoma" w:cs="Tahoma"/>
        </w:rPr>
      </w:pPr>
      <w:r w:rsidRPr="0083088D">
        <w:rPr>
          <w:rFonts w:ascii="Tahoma" w:hAnsi="Tahoma" w:cs="Tahoma"/>
        </w:rPr>
        <w:t xml:space="preserve">“Applicants arrived few minutes late at court and they could not help their </w:t>
      </w:r>
      <w:r w:rsidR="00BE1EDC" w:rsidRPr="0083088D">
        <w:rPr>
          <w:rFonts w:ascii="Tahoma" w:hAnsi="Tahoma" w:cs="Tahoma"/>
        </w:rPr>
        <w:t>situation after receiving a telephone call from their previous Legal Practitioner Mr Matandire who notified them that he had left the employment of Kanoti and Partners abruptly on the day of the set down and was no longer obliged to represent them”.</w:t>
      </w:r>
    </w:p>
    <w:p w:rsidR="00BE1EDC" w:rsidRDefault="00BE1EDC" w:rsidP="00D54100">
      <w:pPr>
        <w:spacing w:line="360" w:lineRule="auto"/>
        <w:jc w:val="both"/>
        <w:rPr>
          <w:rFonts w:ascii="Tahoma" w:hAnsi="Tahoma" w:cs="Tahoma"/>
          <w:sz w:val="24"/>
          <w:szCs w:val="24"/>
        </w:rPr>
      </w:pPr>
    </w:p>
    <w:p w:rsidR="00774A26" w:rsidRDefault="00BE1EDC" w:rsidP="0083088D">
      <w:pPr>
        <w:spacing w:line="360" w:lineRule="auto"/>
        <w:ind w:firstLine="720"/>
        <w:jc w:val="both"/>
        <w:rPr>
          <w:rFonts w:ascii="Tahoma" w:hAnsi="Tahoma" w:cs="Tahoma"/>
          <w:sz w:val="24"/>
          <w:szCs w:val="24"/>
        </w:rPr>
      </w:pPr>
      <w:r>
        <w:rPr>
          <w:rFonts w:ascii="Tahoma" w:hAnsi="Tahoma" w:cs="Tahoma"/>
          <w:sz w:val="24"/>
          <w:szCs w:val="24"/>
        </w:rPr>
        <w:t>The above shows that applicants became aware of the determination on 21 January 2019.  However, applicants in the affidavits filed of record</w:t>
      </w:r>
      <w:r w:rsidR="005B361E">
        <w:rPr>
          <w:rFonts w:ascii="Tahoma" w:hAnsi="Tahoma" w:cs="Tahoma"/>
          <w:sz w:val="24"/>
          <w:szCs w:val="24"/>
        </w:rPr>
        <w:t xml:space="preserve">, do not explain </w:t>
      </w:r>
    </w:p>
    <w:p w:rsidR="00774A26" w:rsidRDefault="00774A26" w:rsidP="0083088D">
      <w:pPr>
        <w:spacing w:line="360" w:lineRule="auto"/>
        <w:ind w:firstLine="720"/>
        <w:jc w:val="both"/>
        <w:rPr>
          <w:rFonts w:ascii="Tahoma" w:hAnsi="Tahoma" w:cs="Tahoma"/>
          <w:sz w:val="24"/>
          <w:szCs w:val="24"/>
        </w:rPr>
      </w:pPr>
    </w:p>
    <w:p w:rsidR="00BE1EDC" w:rsidRDefault="005B361E" w:rsidP="00774A26">
      <w:pPr>
        <w:spacing w:line="360" w:lineRule="auto"/>
        <w:jc w:val="both"/>
        <w:rPr>
          <w:rFonts w:ascii="Tahoma" w:hAnsi="Tahoma" w:cs="Tahoma"/>
          <w:sz w:val="24"/>
          <w:szCs w:val="24"/>
        </w:rPr>
      </w:pPr>
      <w:proofErr w:type="gramStart"/>
      <w:r>
        <w:rPr>
          <w:rFonts w:ascii="Tahoma" w:hAnsi="Tahoma" w:cs="Tahoma"/>
          <w:sz w:val="24"/>
          <w:szCs w:val="24"/>
        </w:rPr>
        <w:t>why</w:t>
      </w:r>
      <w:proofErr w:type="gramEnd"/>
      <w:r>
        <w:rPr>
          <w:rFonts w:ascii="Tahoma" w:hAnsi="Tahoma" w:cs="Tahoma"/>
          <w:sz w:val="24"/>
          <w:szCs w:val="24"/>
        </w:rPr>
        <w:t xml:space="preserve"> it took </w:t>
      </w:r>
      <w:r w:rsidR="00826049">
        <w:rPr>
          <w:rFonts w:ascii="Tahoma" w:hAnsi="Tahoma" w:cs="Tahoma"/>
          <w:sz w:val="24"/>
          <w:szCs w:val="24"/>
        </w:rPr>
        <w:t xml:space="preserve">them long to file the present application.  It is a well-established principle of procedural law that, </w:t>
      </w:r>
      <w:r w:rsidR="0083088D">
        <w:rPr>
          <w:rFonts w:ascii="Tahoma" w:hAnsi="Tahoma" w:cs="Tahoma"/>
          <w:sz w:val="24"/>
          <w:szCs w:val="24"/>
        </w:rPr>
        <w:t>generally,</w:t>
      </w:r>
      <w:r w:rsidR="00826049">
        <w:rPr>
          <w:rFonts w:ascii="Tahoma" w:hAnsi="Tahoma" w:cs="Tahoma"/>
          <w:sz w:val="24"/>
          <w:szCs w:val="24"/>
        </w:rPr>
        <w:t xml:space="preserve"> an applicant must stand or fall on his or her founding papers.  </w:t>
      </w:r>
      <w:r w:rsidR="0083088D">
        <w:rPr>
          <w:rFonts w:ascii="Tahoma" w:hAnsi="Tahoma" w:cs="Tahoma"/>
          <w:sz w:val="24"/>
          <w:szCs w:val="24"/>
        </w:rPr>
        <w:t>(See</w:t>
      </w:r>
      <w:r w:rsidR="00826049">
        <w:rPr>
          <w:rFonts w:ascii="Tahoma" w:hAnsi="Tahoma" w:cs="Tahoma"/>
          <w:sz w:val="24"/>
          <w:szCs w:val="24"/>
        </w:rPr>
        <w:t xml:space="preserve"> </w:t>
      </w:r>
      <w:r w:rsidR="00826049" w:rsidRPr="0083088D">
        <w:rPr>
          <w:rFonts w:ascii="Tahoma" w:hAnsi="Tahoma" w:cs="Tahoma"/>
          <w:b/>
          <w:sz w:val="24"/>
          <w:szCs w:val="24"/>
        </w:rPr>
        <w:t>BOPOTO VS CHIKUMBU AND OTHERS</w:t>
      </w:r>
      <w:r w:rsidR="00826049">
        <w:rPr>
          <w:rFonts w:ascii="Tahoma" w:hAnsi="Tahoma" w:cs="Tahoma"/>
          <w:sz w:val="24"/>
          <w:szCs w:val="24"/>
        </w:rPr>
        <w:t xml:space="preserve"> 1997 (1) ZLR 1 (HC))</w:t>
      </w:r>
    </w:p>
    <w:p w:rsidR="00D77AF9" w:rsidRDefault="00D77AF9" w:rsidP="00D54100">
      <w:pPr>
        <w:spacing w:line="360" w:lineRule="auto"/>
        <w:jc w:val="both"/>
        <w:rPr>
          <w:rFonts w:ascii="Tahoma" w:hAnsi="Tahoma" w:cs="Tahoma"/>
          <w:sz w:val="24"/>
          <w:szCs w:val="24"/>
        </w:rPr>
      </w:pPr>
    </w:p>
    <w:p w:rsidR="00D77AF9" w:rsidRDefault="00D77AF9" w:rsidP="0083088D">
      <w:pPr>
        <w:spacing w:line="360" w:lineRule="auto"/>
        <w:ind w:firstLine="720"/>
        <w:jc w:val="both"/>
        <w:rPr>
          <w:rFonts w:ascii="Tahoma" w:hAnsi="Tahoma" w:cs="Tahoma"/>
          <w:sz w:val="24"/>
          <w:szCs w:val="24"/>
        </w:rPr>
      </w:pPr>
      <w:r>
        <w:rPr>
          <w:rFonts w:ascii="Tahoma" w:hAnsi="Tahoma" w:cs="Tahoma"/>
          <w:sz w:val="24"/>
          <w:szCs w:val="24"/>
        </w:rPr>
        <w:t>What is clear is that applicant</w:t>
      </w:r>
      <w:r w:rsidR="005B361E">
        <w:rPr>
          <w:rFonts w:ascii="Tahoma" w:hAnsi="Tahoma" w:cs="Tahoma"/>
          <w:sz w:val="24"/>
          <w:szCs w:val="24"/>
        </w:rPr>
        <w:t>s have not complied</w:t>
      </w:r>
      <w:r>
        <w:rPr>
          <w:rFonts w:ascii="Tahoma" w:hAnsi="Tahoma" w:cs="Tahoma"/>
          <w:sz w:val="24"/>
          <w:szCs w:val="24"/>
        </w:rPr>
        <w:t xml:space="preserve"> with the Rules.  The application was not filed within the prescribed period of time.  No explanation has been tendered for the failure to comply with the Rules.  N</w:t>
      </w:r>
      <w:r w:rsidR="00DA5955">
        <w:rPr>
          <w:rFonts w:ascii="Tahoma" w:hAnsi="Tahoma" w:cs="Tahoma"/>
          <w:sz w:val="24"/>
          <w:szCs w:val="24"/>
        </w:rPr>
        <w:t>O application for condonation of</w:t>
      </w:r>
      <w:r>
        <w:rPr>
          <w:rFonts w:ascii="Tahoma" w:hAnsi="Tahoma" w:cs="Tahoma"/>
          <w:sz w:val="24"/>
          <w:szCs w:val="24"/>
        </w:rPr>
        <w:t xml:space="preserve"> such failure has been made.  SANDURA JA (as he then was) had this to say in </w:t>
      </w:r>
      <w:r w:rsidRPr="00DA5955">
        <w:rPr>
          <w:rFonts w:ascii="Tahoma" w:hAnsi="Tahoma" w:cs="Tahoma"/>
          <w:b/>
          <w:sz w:val="24"/>
          <w:szCs w:val="24"/>
        </w:rPr>
        <w:t>GANDA AND OTHERS V FIRST MUTUAL LIFE ASSUARANCE SOCIETY</w:t>
      </w:r>
      <w:r w:rsidR="005B361E">
        <w:rPr>
          <w:rFonts w:ascii="Tahoma" w:hAnsi="Tahoma" w:cs="Tahoma"/>
          <w:sz w:val="24"/>
          <w:szCs w:val="24"/>
        </w:rPr>
        <w:t xml:space="preserve"> 2005 (1) ZLR</w:t>
      </w:r>
      <w:r>
        <w:rPr>
          <w:rFonts w:ascii="Tahoma" w:hAnsi="Tahoma" w:cs="Tahoma"/>
          <w:sz w:val="24"/>
          <w:szCs w:val="24"/>
        </w:rPr>
        <w:t xml:space="preserve"> 37 (SC) at 41 G:</w:t>
      </w:r>
    </w:p>
    <w:p w:rsidR="00D77AF9" w:rsidRPr="0083088D" w:rsidRDefault="00D77AF9" w:rsidP="00D54100">
      <w:pPr>
        <w:spacing w:line="360" w:lineRule="auto"/>
        <w:jc w:val="both"/>
        <w:rPr>
          <w:rFonts w:ascii="Tahoma" w:hAnsi="Tahoma" w:cs="Tahoma"/>
        </w:rPr>
      </w:pPr>
    </w:p>
    <w:p w:rsidR="00D77AF9" w:rsidRPr="0083088D" w:rsidRDefault="00DA5955" w:rsidP="0083088D">
      <w:pPr>
        <w:spacing w:line="360" w:lineRule="auto"/>
        <w:ind w:left="720"/>
        <w:jc w:val="both"/>
        <w:rPr>
          <w:rFonts w:ascii="Tahoma" w:hAnsi="Tahoma" w:cs="Tahoma"/>
          <w:b/>
        </w:rPr>
      </w:pPr>
      <w:r w:rsidRPr="0083088D">
        <w:rPr>
          <w:rFonts w:ascii="Tahoma" w:hAnsi="Tahoma" w:cs="Tahoma"/>
        </w:rPr>
        <w:t>“</w:t>
      </w:r>
      <w:r w:rsidR="00D77AF9" w:rsidRPr="0083088D">
        <w:rPr>
          <w:rFonts w:ascii="Tahoma" w:hAnsi="Tahoma" w:cs="Tahoma"/>
        </w:rPr>
        <w:t>In the cir</w:t>
      </w:r>
      <w:r w:rsidR="005B361E">
        <w:rPr>
          <w:rFonts w:ascii="Tahoma" w:hAnsi="Tahoma" w:cs="Tahoma"/>
        </w:rPr>
        <w:t xml:space="preserve">cumstances l </w:t>
      </w:r>
      <w:proofErr w:type="gramStart"/>
      <w:r w:rsidR="005B361E">
        <w:rPr>
          <w:rFonts w:ascii="Tahoma" w:hAnsi="Tahoma" w:cs="Tahoma"/>
        </w:rPr>
        <w:t>do</w:t>
      </w:r>
      <w:proofErr w:type="gramEnd"/>
      <w:r w:rsidR="005B361E">
        <w:rPr>
          <w:rFonts w:ascii="Tahoma" w:hAnsi="Tahoma" w:cs="Tahoma"/>
        </w:rPr>
        <w:t xml:space="preserve"> not consider it </w:t>
      </w:r>
      <w:r w:rsidR="00D77AF9" w:rsidRPr="0083088D">
        <w:rPr>
          <w:rFonts w:ascii="Tahoma" w:hAnsi="Tahoma" w:cs="Tahoma"/>
        </w:rPr>
        <w:t xml:space="preserve">necessary to deal with the prospects </w:t>
      </w:r>
      <w:r w:rsidRPr="0083088D">
        <w:rPr>
          <w:rFonts w:ascii="Tahoma" w:hAnsi="Tahoma" w:cs="Tahoma"/>
        </w:rPr>
        <w:t>of</w:t>
      </w:r>
      <w:r w:rsidR="00D77AF9" w:rsidRPr="0083088D">
        <w:rPr>
          <w:rFonts w:ascii="Tahoma" w:hAnsi="Tahoma" w:cs="Tahoma"/>
        </w:rPr>
        <w:t xml:space="preserve"> success of the appeal on the merits.  As MULLER JA said in </w:t>
      </w:r>
      <w:r w:rsidR="00D77AF9" w:rsidRPr="0083088D">
        <w:rPr>
          <w:rFonts w:ascii="Tahoma" w:hAnsi="Tahoma" w:cs="Tahoma"/>
          <w:b/>
        </w:rPr>
        <w:t>P.E BOSMAN TRANSPORT WORKS COMMITTEE AND OTH</w:t>
      </w:r>
      <w:r w:rsidR="005B361E">
        <w:rPr>
          <w:rFonts w:ascii="Tahoma" w:hAnsi="Tahoma" w:cs="Tahoma"/>
          <w:b/>
        </w:rPr>
        <w:t>ERS V PIET BOSMAN TRANSPORT (PTY</w:t>
      </w:r>
      <w:r w:rsidR="00D77AF9" w:rsidRPr="0083088D">
        <w:rPr>
          <w:rFonts w:ascii="Tahoma" w:hAnsi="Tahoma" w:cs="Tahoma"/>
          <w:b/>
        </w:rPr>
        <w:t>)</w:t>
      </w:r>
      <w:r w:rsidRPr="0083088D">
        <w:rPr>
          <w:rFonts w:ascii="Tahoma" w:hAnsi="Tahoma" w:cs="Tahoma"/>
          <w:b/>
        </w:rPr>
        <w:t xml:space="preserve"> </w:t>
      </w:r>
      <w:r w:rsidR="00D77AF9" w:rsidRPr="0083088D">
        <w:rPr>
          <w:rFonts w:ascii="Tahoma" w:hAnsi="Tahoma" w:cs="Tahoma"/>
          <w:b/>
        </w:rPr>
        <w:t>LTD</w:t>
      </w:r>
      <w:r w:rsidRPr="0083088D">
        <w:rPr>
          <w:rFonts w:ascii="Tahoma" w:hAnsi="Tahoma" w:cs="Tahoma"/>
          <w:b/>
        </w:rPr>
        <w:t xml:space="preserve"> 1980 (4) SA 794 (A) at 799 D-E:</w:t>
      </w:r>
    </w:p>
    <w:p w:rsidR="00DA5955" w:rsidRPr="0083088D" w:rsidRDefault="00DA5955" w:rsidP="00D54100">
      <w:pPr>
        <w:spacing w:line="360" w:lineRule="auto"/>
        <w:jc w:val="both"/>
        <w:rPr>
          <w:rFonts w:ascii="Tahoma" w:hAnsi="Tahoma" w:cs="Tahoma"/>
          <w:b/>
        </w:rPr>
      </w:pPr>
    </w:p>
    <w:p w:rsidR="00DA5955" w:rsidRPr="0083088D" w:rsidRDefault="005B361E" w:rsidP="0083088D">
      <w:pPr>
        <w:spacing w:line="360" w:lineRule="auto"/>
        <w:ind w:left="720"/>
        <w:jc w:val="both"/>
        <w:rPr>
          <w:rFonts w:ascii="Tahoma" w:hAnsi="Tahoma" w:cs="Tahoma"/>
        </w:rPr>
      </w:pPr>
      <w:r w:rsidRPr="0083088D">
        <w:rPr>
          <w:rFonts w:ascii="Tahoma" w:hAnsi="Tahoma" w:cs="Tahoma"/>
        </w:rPr>
        <w:t>‘In</w:t>
      </w:r>
      <w:r w:rsidR="00DA5955" w:rsidRPr="0083088D">
        <w:rPr>
          <w:rFonts w:ascii="Tahoma" w:hAnsi="Tahoma" w:cs="Tahoma"/>
        </w:rPr>
        <w:t xml:space="preserve"> a case such as the present, where there has been a flagrant, breach of the Rules of this court in more than one respect, and where in addition there is no acceptable explanation </w:t>
      </w:r>
      <w:r w:rsidR="00632912" w:rsidRPr="0083088D">
        <w:rPr>
          <w:rFonts w:ascii="Tahoma" w:hAnsi="Tahoma" w:cs="Tahoma"/>
        </w:rPr>
        <w:t xml:space="preserve">for some periods of delay and, indeed in respect of other periods of delay, no explanation at all, the application should, in my view </w:t>
      </w:r>
      <w:r w:rsidRPr="0083088D">
        <w:rPr>
          <w:rFonts w:ascii="Tahoma" w:hAnsi="Tahoma" w:cs="Tahoma"/>
        </w:rPr>
        <w:t>opinion,</w:t>
      </w:r>
      <w:r w:rsidR="00632912" w:rsidRPr="0083088D">
        <w:rPr>
          <w:rFonts w:ascii="Tahoma" w:hAnsi="Tahoma" w:cs="Tahoma"/>
        </w:rPr>
        <w:t xml:space="preserve"> not be granted whatever the prospects of success may be </w:t>
      </w:r>
      <w:r>
        <w:rPr>
          <w:rFonts w:ascii="Tahoma" w:hAnsi="Tahoma" w:cs="Tahoma"/>
        </w:rPr>
        <w:t xml:space="preserve"> ‘ “</w:t>
      </w:r>
    </w:p>
    <w:p w:rsidR="00632912" w:rsidRDefault="00632912" w:rsidP="00D54100">
      <w:pPr>
        <w:spacing w:line="360" w:lineRule="auto"/>
        <w:jc w:val="both"/>
        <w:rPr>
          <w:rFonts w:ascii="Tahoma" w:hAnsi="Tahoma" w:cs="Tahoma"/>
          <w:sz w:val="24"/>
          <w:szCs w:val="24"/>
        </w:rPr>
      </w:pPr>
    </w:p>
    <w:p w:rsidR="00632912" w:rsidRDefault="005B361E" w:rsidP="0083088D">
      <w:pPr>
        <w:spacing w:line="360" w:lineRule="auto"/>
        <w:ind w:firstLine="720"/>
        <w:jc w:val="both"/>
        <w:rPr>
          <w:rFonts w:ascii="Tahoma" w:hAnsi="Tahoma" w:cs="Tahoma"/>
          <w:sz w:val="24"/>
          <w:szCs w:val="24"/>
        </w:rPr>
      </w:pPr>
      <w:r>
        <w:rPr>
          <w:rFonts w:ascii="Tahoma" w:hAnsi="Tahoma" w:cs="Tahoma"/>
          <w:sz w:val="24"/>
          <w:szCs w:val="24"/>
        </w:rPr>
        <w:t>In the same case the L</w:t>
      </w:r>
      <w:r w:rsidR="00632912">
        <w:rPr>
          <w:rFonts w:ascii="Tahoma" w:hAnsi="Tahoma" w:cs="Tahoma"/>
          <w:sz w:val="24"/>
          <w:szCs w:val="24"/>
        </w:rPr>
        <w:t>earned Judge made the following observation at 39D:</w:t>
      </w:r>
    </w:p>
    <w:p w:rsidR="00774A26" w:rsidRDefault="00774A26" w:rsidP="0083088D">
      <w:pPr>
        <w:spacing w:line="360" w:lineRule="auto"/>
        <w:ind w:firstLine="720"/>
        <w:jc w:val="both"/>
        <w:rPr>
          <w:rFonts w:ascii="Tahoma" w:hAnsi="Tahoma" w:cs="Tahoma"/>
          <w:sz w:val="24"/>
          <w:szCs w:val="24"/>
        </w:rPr>
      </w:pPr>
    </w:p>
    <w:p w:rsidR="00632912" w:rsidRDefault="00632912" w:rsidP="00D54100">
      <w:pPr>
        <w:spacing w:line="360" w:lineRule="auto"/>
        <w:jc w:val="both"/>
        <w:rPr>
          <w:rFonts w:ascii="Tahoma" w:hAnsi="Tahoma" w:cs="Tahoma"/>
          <w:sz w:val="24"/>
          <w:szCs w:val="24"/>
        </w:rPr>
      </w:pPr>
    </w:p>
    <w:p w:rsidR="00632912" w:rsidRPr="005B361E" w:rsidRDefault="00632912" w:rsidP="005B361E">
      <w:pPr>
        <w:spacing w:line="360" w:lineRule="auto"/>
        <w:ind w:left="720"/>
        <w:jc w:val="both"/>
        <w:rPr>
          <w:rFonts w:ascii="Tahoma" w:hAnsi="Tahoma" w:cs="Tahoma"/>
        </w:rPr>
      </w:pPr>
      <w:r w:rsidRPr="005B361E">
        <w:rPr>
          <w:rFonts w:ascii="Tahoma" w:hAnsi="Tahoma" w:cs="Tahoma"/>
        </w:rPr>
        <w:t xml:space="preserve">“ In addition, it is </w:t>
      </w:r>
      <w:r w:rsidR="003D6A63" w:rsidRPr="005B361E">
        <w:rPr>
          <w:rFonts w:ascii="Tahoma" w:hAnsi="Tahoma" w:cs="Tahoma"/>
        </w:rPr>
        <w:t>pertinent</w:t>
      </w:r>
      <w:r w:rsidRPr="005B361E">
        <w:rPr>
          <w:rFonts w:ascii="Tahoma" w:hAnsi="Tahoma" w:cs="Tahoma"/>
        </w:rPr>
        <w:t xml:space="preserve"> to note that it has been stated in a number of cases that a person seeking condonation of the late nothing of an appeal should give a reasonable explanation, not only </w:t>
      </w:r>
      <w:r w:rsidR="008B6D8E" w:rsidRPr="005B361E">
        <w:rPr>
          <w:rFonts w:ascii="Tahoma" w:hAnsi="Tahoma" w:cs="Tahoma"/>
        </w:rPr>
        <w:t xml:space="preserve">for the delay in noting the appeal, but also </w:t>
      </w:r>
      <w:r w:rsidR="003D6A63" w:rsidRPr="005B361E">
        <w:rPr>
          <w:rFonts w:ascii="Tahoma" w:hAnsi="Tahoma" w:cs="Tahoma"/>
        </w:rPr>
        <w:t>for</w:t>
      </w:r>
      <w:r w:rsidR="008B6D8E" w:rsidRPr="005B361E">
        <w:rPr>
          <w:rFonts w:ascii="Tahoma" w:hAnsi="Tahoma" w:cs="Tahoma"/>
        </w:rPr>
        <w:t xml:space="preserve"> the delay in seeking condonation”.</w:t>
      </w:r>
    </w:p>
    <w:p w:rsidR="008B6D8E" w:rsidRDefault="008B6D8E" w:rsidP="00D54100">
      <w:pPr>
        <w:spacing w:line="360" w:lineRule="auto"/>
        <w:jc w:val="both"/>
        <w:rPr>
          <w:rFonts w:ascii="Tahoma" w:hAnsi="Tahoma" w:cs="Tahoma"/>
          <w:sz w:val="24"/>
          <w:szCs w:val="24"/>
        </w:rPr>
      </w:pPr>
    </w:p>
    <w:p w:rsidR="007B10CA" w:rsidRDefault="008B6D8E" w:rsidP="0083088D">
      <w:pPr>
        <w:spacing w:line="360" w:lineRule="auto"/>
        <w:ind w:firstLine="720"/>
        <w:jc w:val="both"/>
        <w:rPr>
          <w:rFonts w:ascii="Tahoma" w:hAnsi="Tahoma" w:cs="Tahoma"/>
          <w:sz w:val="24"/>
          <w:szCs w:val="24"/>
        </w:rPr>
      </w:pPr>
      <w:r w:rsidRPr="008B6D8E">
        <w:rPr>
          <w:rFonts w:ascii="Tahoma" w:hAnsi="Tahoma" w:cs="Tahoma"/>
          <w:i/>
          <w:sz w:val="24"/>
          <w:szCs w:val="24"/>
        </w:rPr>
        <w:t>In casu</w:t>
      </w:r>
      <w:r>
        <w:rPr>
          <w:rFonts w:ascii="Tahoma" w:hAnsi="Tahoma" w:cs="Tahoma"/>
          <w:sz w:val="24"/>
          <w:szCs w:val="24"/>
        </w:rPr>
        <w:t xml:space="preserve">, applicants are </w:t>
      </w:r>
      <w:r w:rsidR="00235948">
        <w:rPr>
          <w:rFonts w:ascii="Tahoma" w:hAnsi="Tahoma" w:cs="Tahoma"/>
          <w:sz w:val="24"/>
          <w:szCs w:val="24"/>
        </w:rPr>
        <w:t xml:space="preserve">applying for the rescission of the default judgment.  Applicants became aware of the default judgment on the day it was granted.  </w:t>
      </w:r>
    </w:p>
    <w:p w:rsidR="007B10CA" w:rsidRDefault="007B10CA" w:rsidP="0083088D">
      <w:pPr>
        <w:spacing w:line="360" w:lineRule="auto"/>
        <w:ind w:firstLine="720"/>
        <w:jc w:val="both"/>
        <w:rPr>
          <w:rFonts w:ascii="Tahoma" w:hAnsi="Tahoma" w:cs="Tahoma"/>
          <w:sz w:val="24"/>
          <w:szCs w:val="24"/>
        </w:rPr>
      </w:pPr>
    </w:p>
    <w:p w:rsidR="008B6D8E" w:rsidRDefault="00235948" w:rsidP="007B10CA">
      <w:pPr>
        <w:spacing w:line="360" w:lineRule="auto"/>
        <w:jc w:val="both"/>
        <w:rPr>
          <w:rFonts w:ascii="Tahoma" w:hAnsi="Tahoma" w:cs="Tahoma"/>
          <w:sz w:val="24"/>
          <w:szCs w:val="24"/>
        </w:rPr>
      </w:pPr>
      <w:r>
        <w:rPr>
          <w:rFonts w:ascii="Tahoma" w:hAnsi="Tahoma" w:cs="Tahoma"/>
          <w:sz w:val="24"/>
          <w:szCs w:val="24"/>
        </w:rPr>
        <w:t>Applicants did not file the present application within the prescribed period of time.  They do not advance any explanation for such failure.  Applicants do not seek condonation of the late filing of the application for rescission.   Respondent brought it to the a</w:t>
      </w:r>
      <w:r w:rsidR="00735F69">
        <w:rPr>
          <w:rFonts w:ascii="Tahoma" w:hAnsi="Tahoma" w:cs="Tahoma"/>
          <w:sz w:val="24"/>
          <w:szCs w:val="24"/>
        </w:rPr>
        <w:t>ttention of the applicants in its</w:t>
      </w:r>
      <w:r>
        <w:rPr>
          <w:rFonts w:ascii="Tahoma" w:hAnsi="Tahoma" w:cs="Tahoma"/>
          <w:sz w:val="24"/>
          <w:szCs w:val="24"/>
        </w:rPr>
        <w:t xml:space="preserve"> Notice of Opposition that there was no compliance with the Rules.  Applicants</w:t>
      </w:r>
      <w:r w:rsidR="007B10CA">
        <w:rPr>
          <w:rFonts w:ascii="Tahoma" w:hAnsi="Tahoma" w:cs="Tahoma"/>
          <w:sz w:val="24"/>
          <w:szCs w:val="24"/>
        </w:rPr>
        <w:t xml:space="preserve"> did not</w:t>
      </w:r>
      <w:r>
        <w:rPr>
          <w:rFonts w:ascii="Tahoma" w:hAnsi="Tahoma" w:cs="Tahoma"/>
          <w:sz w:val="24"/>
          <w:szCs w:val="24"/>
        </w:rPr>
        <w:t xml:space="preserve"> address this issue at </w:t>
      </w:r>
      <w:r w:rsidR="00735F69">
        <w:rPr>
          <w:rFonts w:ascii="Tahoma" w:hAnsi="Tahoma" w:cs="Tahoma"/>
          <w:sz w:val="24"/>
          <w:szCs w:val="24"/>
        </w:rPr>
        <w:t>in all the papers filed of record.  It should be regarded as a</w:t>
      </w:r>
      <w:r w:rsidR="007B10CA">
        <w:rPr>
          <w:rFonts w:ascii="Tahoma" w:hAnsi="Tahoma" w:cs="Tahoma"/>
          <w:sz w:val="24"/>
          <w:szCs w:val="24"/>
        </w:rPr>
        <w:t xml:space="preserve"> flagrant disregard of the Rules</w:t>
      </w:r>
      <w:r w:rsidR="00735F69">
        <w:rPr>
          <w:rFonts w:ascii="Tahoma" w:hAnsi="Tahoma" w:cs="Tahoma"/>
          <w:sz w:val="24"/>
          <w:szCs w:val="24"/>
        </w:rPr>
        <w:t xml:space="preserve"> of Court.</w:t>
      </w:r>
    </w:p>
    <w:p w:rsidR="00235948" w:rsidRDefault="00235948" w:rsidP="00D54100">
      <w:pPr>
        <w:spacing w:line="360" w:lineRule="auto"/>
        <w:jc w:val="both"/>
        <w:rPr>
          <w:rFonts w:ascii="Tahoma" w:hAnsi="Tahoma" w:cs="Tahoma"/>
          <w:sz w:val="24"/>
          <w:szCs w:val="24"/>
        </w:rPr>
      </w:pPr>
    </w:p>
    <w:p w:rsidR="00235948" w:rsidRDefault="003D6A63" w:rsidP="00D54100">
      <w:pPr>
        <w:spacing w:line="360" w:lineRule="auto"/>
        <w:jc w:val="both"/>
        <w:rPr>
          <w:rFonts w:ascii="Tahoma" w:hAnsi="Tahoma" w:cs="Tahoma"/>
          <w:sz w:val="24"/>
          <w:szCs w:val="24"/>
        </w:rPr>
      </w:pPr>
      <w:r>
        <w:rPr>
          <w:rFonts w:ascii="Tahoma" w:hAnsi="Tahoma" w:cs="Tahoma"/>
          <w:sz w:val="24"/>
          <w:szCs w:val="24"/>
        </w:rPr>
        <w:t>In the result, the preliminary point ought to be upheld.</w:t>
      </w:r>
    </w:p>
    <w:p w:rsidR="003D6A63" w:rsidRDefault="003D6A63" w:rsidP="00D54100">
      <w:pPr>
        <w:spacing w:line="360" w:lineRule="auto"/>
        <w:jc w:val="both"/>
        <w:rPr>
          <w:rFonts w:ascii="Tahoma" w:hAnsi="Tahoma" w:cs="Tahoma"/>
          <w:sz w:val="24"/>
          <w:szCs w:val="24"/>
        </w:rPr>
      </w:pPr>
      <w:r>
        <w:rPr>
          <w:rFonts w:ascii="Tahoma" w:hAnsi="Tahoma" w:cs="Tahoma"/>
          <w:sz w:val="24"/>
          <w:szCs w:val="24"/>
        </w:rPr>
        <w:t>The following order is appropriate.</w:t>
      </w:r>
    </w:p>
    <w:p w:rsidR="003D6A63" w:rsidRDefault="003D6A63" w:rsidP="003D6A63">
      <w:pPr>
        <w:pStyle w:val="ListParagraph"/>
        <w:numPr>
          <w:ilvl w:val="0"/>
          <w:numId w:val="17"/>
        </w:numPr>
        <w:spacing w:line="360" w:lineRule="auto"/>
        <w:jc w:val="both"/>
        <w:rPr>
          <w:rFonts w:ascii="Tahoma" w:hAnsi="Tahoma" w:cs="Tahoma"/>
          <w:sz w:val="24"/>
          <w:szCs w:val="24"/>
        </w:rPr>
      </w:pPr>
      <w:r>
        <w:rPr>
          <w:rFonts w:ascii="Tahoma" w:hAnsi="Tahoma" w:cs="Tahoma"/>
          <w:sz w:val="24"/>
          <w:szCs w:val="24"/>
        </w:rPr>
        <w:t>The preliminary point be and is hereby upheld.</w:t>
      </w:r>
    </w:p>
    <w:p w:rsidR="003D6A63" w:rsidRDefault="003D6A63" w:rsidP="003D6A63">
      <w:pPr>
        <w:pStyle w:val="ListParagraph"/>
        <w:numPr>
          <w:ilvl w:val="0"/>
          <w:numId w:val="17"/>
        </w:numPr>
        <w:spacing w:line="360" w:lineRule="auto"/>
        <w:jc w:val="both"/>
        <w:rPr>
          <w:rFonts w:ascii="Tahoma" w:hAnsi="Tahoma" w:cs="Tahoma"/>
          <w:sz w:val="24"/>
          <w:szCs w:val="24"/>
        </w:rPr>
      </w:pPr>
      <w:r>
        <w:rPr>
          <w:rFonts w:ascii="Tahoma" w:hAnsi="Tahoma" w:cs="Tahoma"/>
          <w:sz w:val="24"/>
          <w:szCs w:val="24"/>
        </w:rPr>
        <w:t>The application for rescission be and is hereby struck off the roll for non – compliance with Rule 40 of the Labour Court Rules, 2017.</w:t>
      </w:r>
    </w:p>
    <w:p w:rsidR="003D6A63" w:rsidRDefault="003D6A63" w:rsidP="003D6A63">
      <w:pPr>
        <w:pStyle w:val="ListParagraph"/>
        <w:numPr>
          <w:ilvl w:val="0"/>
          <w:numId w:val="17"/>
        </w:numPr>
        <w:spacing w:line="360" w:lineRule="auto"/>
        <w:jc w:val="both"/>
        <w:rPr>
          <w:rFonts w:ascii="Tahoma" w:hAnsi="Tahoma" w:cs="Tahoma"/>
          <w:sz w:val="24"/>
          <w:szCs w:val="24"/>
        </w:rPr>
      </w:pPr>
      <w:r>
        <w:rPr>
          <w:rFonts w:ascii="Tahoma" w:hAnsi="Tahoma" w:cs="Tahoma"/>
          <w:sz w:val="24"/>
          <w:szCs w:val="24"/>
        </w:rPr>
        <w:t>Each party to meet its own costs.</w:t>
      </w:r>
    </w:p>
    <w:p w:rsidR="003D6A63" w:rsidRDefault="003D6A63" w:rsidP="003D6A63">
      <w:pPr>
        <w:spacing w:line="360" w:lineRule="auto"/>
        <w:jc w:val="both"/>
        <w:rPr>
          <w:rFonts w:ascii="Tahoma" w:hAnsi="Tahoma" w:cs="Tahoma"/>
          <w:sz w:val="24"/>
          <w:szCs w:val="24"/>
        </w:rPr>
      </w:pPr>
    </w:p>
    <w:p w:rsidR="00774A26" w:rsidRDefault="00774A26" w:rsidP="003D6A63">
      <w:pPr>
        <w:spacing w:line="360" w:lineRule="auto"/>
        <w:jc w:val="both"/>
        <w:rPr>
          <w:rFonts w:ascii="Tahoma" w:hAnsi="Tahoma" w:cs="Tahoma"/>
          <w:sz w:val="24"/>
          <w:szCs w:val="24"/>
        </w:rPr>
      </w:pPr>
    </w:p>
    <w:p w:rsidR="003747E0" w:rsidRPr="00774A26" w:rsidRDefault="003D6A63">
      <w:pPr>
        <w:spacing w:line="360" w:lineRule="auto"/>
        <w:jc w:val="both"/>
        <w:rPr>
          <w:rFonts w:ascii="Tahoma" w:hAnsi="Tahoma" w:cs="Tahoma"/>
          <w:b/>
          <w:i/>
          <w:sz w:val="24"/>
          <w:szCs w:val="24"/>
        </w:rPr>
      </w:pPr>
      <w:r w:rsidRPr="003D6A63">
        <w:rPr>
          <w:rFonts w:ascii="Tahoma" w:hAnsi="Tahoma" w:cs="Tahoma"/>
          <w:b/>
          <w:i/>
          <w:sz w:val="24"/>
          <w:szCs w:val="24"/>
        </w:rPr>
        <w:t xml:space="preserve">KANOTI AND PARTNERS   </w:t>
      </w:r>
      <w:r w:rsidRPr="003D6A63">
        <w:rPr>
          <w:rFonts w:ascii="Tahoma" w:hAnsi="Tahoma" w:cs="Tahoma"/>
          <w:b/>
          <w:i/>
          <w:sz w:val="24"/>
          <w:szCs w:val="24"/>
        </w:rPr>
        <w:tab/>
        <w:t xml:space="preserve">-   </w:t>
      </w:r>
      <w:r w:rsidR="00774A26">
        <w:rPr>
          <w:rFonts w:ascii="Tahoma" w:hAnsi="Tahoma" w:cs="Tahoma"/>
          <w:b/>
          <w:i/>
          <w:sz w:val="24"/>
          <w:szCs w:val="24"/>
        </w:rPr>
        <w:t>APPLICANTS’ LEGAL PRACTITIONEERS</w:t>
      </w:r>
    </w:p>
    <w:sectPr w:rsidR="003747E0" w:rsidRPr="00774A26" w:rsidSect="00781B70">
      <w:head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2A7" w:rsidRDefault="00B072A7" w:rsidP="00021CE8">
      <w:pPr>
        <w:spacing w:after="0" w:line="240" w:lineRule="auto"/>
      </w:pPr>
      <w:r>
        <w:separator/>
      </w:r>
    </w:p>
  </w:endnote>
  <w:endnote w:type="continuationSeparator" w:id="0">
    <w:p w:rsidR="00B072A7" w:rsidRDefault="00B072A7" w:rsidP="00021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2A7" w:rsidRDefault="00B072A7" w:rsidP="00021CE8">
      <w:pPr>
        <w:spacing w:after="0" w:line="240" w:lineRule="auto"/>
      </w:pPr>
      <w:r>
        <w:separator/>
      </w:r>
    </w:p>
  </w:footnote>
  <w:footnote w:type="continuationSeparator" w:id="0">
    <w:p w:rsidR="00B072A7" w:rsidRDefault="00B072A7" w:rsidP="00021C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856493"/>
      <w:docPartObj>
        <w:docPartGallery w:val="Page Numbers (Top of Page)"/>
        <w:docPartUnique/>
      </w:docPartObj>
    </w:sdtPr>
    <w:sdtEndPr>
      <w:rPr>
        <w:noProof/>
      </w:rPr>
    </w:sdtEndPr>
    <w:sdtContent>
      <w:p w:rsidR="00781B70" w:rsidRDefault="00781B70">
        <w:pPr>
          <w:pStyle w:val="Header"/>
          <w:jc w:val="right"/>
        </w:pPr>
      </w:p>
      <w:p w:rsidR="00781B70" w:rsidRDefault="00781B70">
        <w:pPr>
          <w:pStyle w:val="Header"/>
          <w:jc w:val="right"/>
          <w:rPr>
            <w:noProof/>
          </w:rPr>
        </w:pPr>
        <w:r>
          <w:fldChar w:fldCharType="begin"/>
        </w:r>
        <w:r>
          <w:instrText xml:space="preserve"> PAGE   \* MERGEFORMAT </w:instrText>
        </w:r>
        <w:r>
          <w:fldChar w:fldCharType="separate"/>
        </w:r>
        <w:r w:rsidR="004833FB">
          <w:rPr>
            <w:noProof/>
          </w:rPr>
          <w:t>6</w:t>
        </w:r>
        <w:r>
          <w:rPr>
            <w:noProof/>
          </w:rPr>
          <w:fldChar w:fldCharType="end"/>
        </w:r>
      </w:p>
      <w:p w:rsidR="000E30D6" w:rsidRDefault="00774A26">
        <w:pPr>
          <w:pStyle w:val="Header"/>
          <w:jc w:val="right"/>
          <w:rPr>
            <w:noProof/>
          </w:rPr>
        </w:pPr>
        <w:r>
          <w:rPr>
            <w:noProof/>
          </w:rPr>
          <w:t>JUDGEMENT NO LC/H/150</w:t>
        </w:r>
        <w:r w:rsidR="00781B70">
          <w:rPr>
            <w:noProof/>
          </w:rPr>
          <w:t>/2020</w:t>
        </w:r>
      </w:p>
      <w:p w:rsidR="00781B70" w:rsidRDefault="0083088D">
        <w:pPr>
          <w:pStyle w:val="Header"/>
          <w:jc w:val="right"/>
        </w:pPr>
        <w:r>
          <w:rPr>
            <w:noProof/>
          </w:rPr>
          <w:t>CASE NO LC/H/APP/144</w:t>
        </w:r>
        <w:r w:rsidR="000E30D6">
          <w:rPr>
            <w:noProof/>
          </w:rPr>
          <w:t>/19</w:t>
        </w:r>
      </w:p>
    </w:sdtContent>
  </w:sdt>
  <w:p w:rsidR="00021CE8" w:rsidRPr="00021CE8" w:rsidRDefault="00021CE8">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2CDB"/>
    <w:multiLevelType w:val="hybridMultilevel"/>
    <w:tmpl w:val="B16C1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C6630"/>
    <w:multiLevelType w:val="hybridMultilevel"/>
    <w:tmpl w:val="79F06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92413"/>
    <w:multiLevelType w:val="hybridMultilevel"/>
    <w:tmpl w:val="534860A8"/>
    <w:lvl w:ilvl="0" w:tplc="3009000F">
      <w:start w:val="1"/>
      <w:numFmt w:val="decimal"/>
      <w:lvlText w:val="%1."/>
      <w:lvlJc w:val="left"/>
      <w:pPr>
        <w:ind w:left="1620" w:hanging="360"/>
      </w:pPr>
      <w:rPr>
        <w:rFonts w:hint="default"/>
      </w:rPr>
    </w:lvl>
    <w:lvl w:ilvl="1" w:tplc="30090019" w:tentative="1">
      <w:start w:val="1"/>
      <w:numFmt w:val="lowerLetter"/>
      <w:lvlText w:val="%2."/>
      <w:lvlJc w:val="left"/>
      <w:pPr>
        <w:ind w:left="2340" w:hanging="360"/>
      </w:pPr>
    </w:lvl>
    <w:lvl w:ilvl="2" w:tplc="3009001B" w:tentative="1">
      <w:start w:val="1"/>
      <w:numFmt w:val="lowerRoman"/>
      <w:lvlText w:val="%3."/>
      <w:lvlJc w:val="right"/>
      <w:pPr>
        <w:ind w:left="3060" w:hanging="180"/>
      </w:pPr>
    </w:lvl>
    <w:lvl w:ilvl="3" w:tplc="3009000F" w:tentative="1">
      <w:start w:val="1"/>
      <w:numFmt w:val="decimal"/>
      <w:lvlText w:val="%4."/>
      <w:lvlJc w:val="left"/>
      <w:pPr>
        <w:ind w:left="3780" w:hanging="360"/>
      </w:pPr>
    </w:lvl>
    <w:lvl w:ilvl="4" w:tplc="30090019" w:tentative="1">
      <w:start w:val="1"/>
      <w:numFmt w:val="lowerLetter"/>
      <w:lvlText w:val="%5."/>
      <w:lvlJc w:val="left"/>
      <w:pPr>
        <w:ind w:left="4500" w:hanging="360"/>
      </w:pPr>
    </w:lvl>
    <w:lvl w:ilvl="5" w:tplc="3009001B" w:tentative="1">
      <w:start w:val="1"/>
      <w:numFmt w:val="lowerRoman"/>
      <w:lvlText w:val="%6."/>
      <w:lvlJc w:val="right"/>
      <w:pPr>
        <w:ind w:left="5220" w:hanging="180"/>
      </w:pPr>
    </w:lvl>
    <w:lvl w:ilvl="6" w:tplc="3009000F" w:tentative="1">
      <w:start w:val="1"/>
      <w:numFmt w:val="decimal"/>
      <w:lvlText w:val="%7."/>
      <w:lvlJc w:val="left"/>
      <w:pPr>
        <w:ind w:left="5940" w:hanging="360"/>
      </w:pPr>
    </w:lvl>
    <w:lvl w:ilvl="7" w:tplc="30090019" w:tentative="1">
      <w:start w:val="1"/>
      <w:numFmt w:val="lowerLetter"/>
      <w:lvlText w:val="%8."/>
      <w:lvlJc w:val="left"/>
      <w:pPr>
        <w:ind w:left="6660" w:hanging="360"/>
      </w:pPr>
    </w:lvl>
    <w:lvl w:ilvl="8" w:tplc="3009001B" w:tentative="1">
      <w:start w:val="1"/>
      <w:numFmt w:val="lowerRoman"/>
      <w:lvlText w:val="%9."/>
      <w:lvlJc w:val="right"/>
      <w:pPr>
        <w:ind w:left="7380" w:hanging="180"/>
      </w:pPr>
    </w:lvl>
  </w:abstractNum>
  <w:abstractNum w:abstractNumId="3">
    <w:nsid w:val="17A12E26"/>
    <w:multiLevelType w:val="hybridMultilevel"/>
    <w:tmpl w:val="264C81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987447"/>
    <w:multiLevelType w:val="hybridMultilevel"/>
    <w:tmpl w:val="2FC27BE2"/>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2102004E"/>
    <w:multiLevelType w:val="hybridMultilevel"/>
    <w:tmpl w:val="1FDED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48022D"/>
    <w:multiLevelType w:val="hybridMultilevel"/>
    <w:tmpl w:val="E2103AFE"/>
    <w:lvl w:ilvl="0" w:tplc="8AC04B7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2862F1"/>
    <w:multiLevelType w:val="hybridMultilevel"/>
    <w:tmpl w:val="3C981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6D08F9"/>
    <w:multiLevelType w:val="hybridMultilevel"/>
    <w:tmpl w:val="AFA61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A80025"/>
    <w:multiLevelType w:val="hybridMultilevel"/>
    <w:tmpl w:val="7B54E38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3E626C90"/>
    <w:multiLevelType w:val="hybridMultilevel"/>
    <w:tmpl w:val="6316BE84"/>
    <w:lvl w:ilvl="0" w:tplc="3DF2BF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9E7B02"/>
    <w:multiLevelType w:val="hybridMultilevel"/>
    <w:tmpl w:val="6952E57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431F3D96"/>
    <w:multiLevelType w:val="hybridMultilevel"/>
    <w:tmpl w:val="DB0610B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496443E1"/>
    <w:multiLevelType w:val="hybridMultilevel"/>
    <w:tmpl w:val="FB905A5A"/>
    <w:lvl w:ilvl="0" w:tplc="29A02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7977FC2"/>
    <w:multiLevelType w:val="hybridMultilevel"/>
    <w:tmpl w:val="03DEB2C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5D501DB3"/>
    <w:multiLevelType w:val="hybridMultilevel"/>
    <w:tmpl w:val="B772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175CED"/>
    <w:multiLevelType w:val="hybridMultilevel"/>
    <w:tmpl w:val="B44A14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6"/>
  </w:num>
  <w:num w:numId="2">
    <w:abstractNumId w:val="11"/>
  </w:num>
  <w:num w:numId="3">
    <w:abstractNumId w:val="2"/>
  </w:num>
  <w:num w:numId="4">
    <w:abstractNumId w:val="12"/>
  </w:num>
  <w:num w:numId="5">
    <w:abstractNumId w:val="4"/>
  </w:num>
  <w:num w:numId="6">
    <w:abstractNumId w:val="14"/>
  </w:num>
  <w:num w:numId="7">
    <w:abstractNumId w:val="9"/>
  </w:num>
  <w:num w:numId="8">
    <w:abstractNumId w:val="10"/>
  </w:num>
  <w:num w:numId="9">
    <w:abstractNumId w:val="15"/>
  </w:num>
  <w:num w:numId="10">
    <w:abstractNumId w:val="0"/>
  </w:num>
  <w:num w:numId="11">
    <w:abstractNumId w:val="1"/>
  </w:num>
  <w:num w:numId="12">
    <w:abstractNumId w:val="3"/>
  </w:num>
  <w:num w:numId="13">
    <w:abstractNumId w:val="5"/>
  </w:num>
  <w:num w:numId="14">
    <w:abstractNumId w:val="6"/>
  </w:num>
  <w:num w:numId="15">
    <w:abstractNumId w:val="8"/>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38"/>
    <w:rsid w:val="00004878"/>
    <w:rsid w:val="000200FC"/>
    <w:rsid w:val="00021CE8"/>
    <w:rsid w:val="00027EEA"/>
    <w:rsid w:val="00030142"/>
    <w:rsid w:val="00031642"/>
    <w:rsid w:val="000343E5"/>
    <w:rsid w:val="00037469"/>
    <w:rsid w:val="00051CB2"/>
    <w:rsid w:val="00053594"/>
    <w:rsid w:val="00095860"/>
    <w:rsid w:val="000A122C"/>
    <w:rsid w:val="000A2215"/>
    <w:rsid w:val="000A7DF3"/>
    <w:rsid w:val="000E30D6"/>
    <w:rsid w:val="000E5DAD"/>
    <w:rsid w:val="0010146E"/>
    <w:rsid w:val="001404B1"/>
    <w:rsid w:val="0014588A"/>
    <w:rsid w:val="00155235"/>
    <w:rsid w:val="00167E2A"/>
    <w:rsid w:val="00174F97"/>
    <w:rsid w:val="001824C9"/>
    <w:rsid w:val="00187F0D"/>
    <w:rsid w:val="001B3270"/>
    <w:rsid w:val="001D24D7"/>
    <w:rsid w:val="00213E31"/>
    <w:rsid w:val="0021595C"/>
    <w:rsid w:val="00217D0C"/>
    <w:rsid w:val="00225CF3"/>
    <w:rsid w:val="00235948"/>
    <w:rsid w:val="00261FA8"/>
    <w:rsid w:val="00262299"/>
    <w:rsid w:val="00274BE3"/>
    <w:rsid w:val="00276791"/>
    <w:rsid w:val="002807A0"/>
    <w:rsid w:val="002A0AB4"/>
    <w:rsid w:val="002D355B"/>
    <w:rsid w:val="002E56FE"/>
    <w:rsid w:val="00300737"/>
    <w:rsid w:val="00315A48"/>
    <w:rsid w:val="00331986"/>
    <w:rsid w:val="00337B96"/>
    <w:rsid w:val="00364B56"/>
    <w:rsid w:val="003747E0"/>
    <w:rsid w:val="00380B88"/>
    <w:rsid w:val="003814CA"/>
    <w:rsid w:val="00395DA4"/>
    <w:rsid w:val="003D2B8F"/>
    <w:rsid w:val="003D6A63"/>
    <w:rsid w:val="003D761F"/>
    <w:rsid w:val="003D7ECE"/>
    <w:rsid w:val="003E281E"/>
    <w:rsid w:val="003E5896"/>
    <w:rsid w:val="003F5DB9"/>
    <w:rsid w:val="00400F9C"/>
    <w:rsid w:val="00401022"/>
    <w:rsid w:val="00407AE0"/>
    <w:rsid w:val="004160B0"/>
    <w:rsid w:val="0042149D"/>
    <w:rsid w:val="004509E2"/>
    <w:rsid w:val="004665D6"/>
    <w:rsid w:val="004833FB"/>
    <w:rsid w:val="004926E5"/>
    <w:rsid w:val="0049338F"/>
    <w:rsid w:val="004A050D"/>
    <w:rsid w:val="004A310A"/>
    <w:rsid w:val="004B1A32"/>
    <w:rsid w:val="004D0F6E"/>
    <w:rsid w:val="004F2D69"/>
    <w:rsid w:val="004F4E35"/>
    <w:rsid w:val="004F668D"/>
    <w:rsid w:val="005024DF"/>
    <w:rsid w:val="00514C71"/>
    <w:rsid w:val="00544A67"/>
    <w:rsid w:val="005658A8"/>
    <w:rsid w:val="0058040F"/>
    <w:rsid w:val="00584552"/>
    <w:rsid w:val="005904DD"/>
    <w:rsid w:val="005A1398"/>
    <w:rsid w:val="005A6DBD"/>
    <w:rsid w:val="005B361E"/>
    <w:rsid w:val="005C38E6"/>
    <w:rsid w:val="005E170D"/>
    <w:rsid w:val="005E5188"/>
    <w:rsid w:val="005F13C4"/>
    <w:rsid w:val="005F5FD6"/>
    <w:rsid w:val="00601597"/>
    <w:rsid w:val="00632912"/>
    <w:rsid w:val="00633921"/>
    <w:rsid w:val="006371C7"/>
    <w:rsid w:val="006437D7"/>
    <w:rsid w:val="0065230E"/>
    <w:rsid w:val="0066643F"/>
    <w:rsid w:val="00670904"/>
    <w:rsid w:val="00672C8A"/>
    <w:rsid w:val="0069116A"/>
    <w:rsid w:val="006B1ABC"/>
    <w:rsid w:val="006C6ECB"/>
    <w:rsid w:val="006D10B1"/>
    <w:rsid w:val="006D115B"/>
    <w:rsid w:val="006D5680"/>
    <w:rsid w:val="006E3DB1"/>
    <w:rsid w:val="00706E61"/>
    <w:rsid w:val="00707F14"/>
    <w:rsid w:val="00734847"/>
    <w:rsid w:val="00735F69"/>
    <w:rsid w:val="007361B6"/>
    <w:rsid w:val="00741DF1"/>
    <w:rsid w:val="00763DFA"/>
    <w:rsid w:val="00770DE7"/>
    <w:rsid w:val="00774A26"/>
    <w:rsid w:val="00781B70"/>
    <w:rsid w:val="00793B94"/>
    <w:rsid w:val="007A134F"/>
    <w:rsid w:val="007B10CA"/>
    <w:rsid w:val="007B500F"/>
    <w:rsid w:val="007D3A00"/>
    <w:rsid w:val="007E5C7F"/>
    <w:rsid w:val="0082099F"/>
    <w:rsid w:val="0082190A"/>
    <w:rsid w:val="00826049"/>
    <w:rsid w:val="0083088D"/>
    <w:rsid w:val="00851A26"/>
    <w:rsid w:val="0086798D"/>
    <w:rsid w:val="00867EC5"/>
    <w:rsid w:val="00887F51"/>
    <w:rsid w:val="008A16C8"/>
    <w:rsid w:val="008B6D8E"/>
    <w:rsid w:val="008C5E80"/>
    <w:rsid w:val="008D5454"/>
    <w:rsid w:val="008F1465"/>
    <w:rsid w:val="008F20FF"/>
    <w:rsid w:val="00901638"/>
    <w:rsid w:val="00910474"/>
    <w:rsid w:val="00910673"/>
    <w:rsid w:val="00943AB7"/>
    <w:rsid w:val="00955263"/>
    <w:rsid w:val="00962862"/>
    <w:rsid w:val="00963A38"/>
    <w:rsid w:val="009B028D"/>
    <w:rsid w:val="009B6A7C"/>
    <w:rsid w:val="00A02CFE"/>
    <w:rsid w:val="00A1261D"/>
    <w:rsid w:val="00A17399"/>
    <w:rsid w:val="00A22356"/>
    <w:rsid w:val="00A278D4"/>
    <w:rsid w:val="00A5605B"/>
    <w:rsid w:val="00A60CE8"/>
    <w:rsid w:val="00A62782"/>
    <w:rsid w:val="00A646BF"/>
    <w:rsid w:val="00A73FB9"/>
    <w:rsid w:val="00A76B0E"/>
    <w:rsid w:val="00A81339"/>
    <w:rsid w:val="00AC04C6"/>
    <w:rsid w:val="00AC6B31"/>
    <w:rsid w:val="00AD44DB"/>
    <w:rsid w:val="00AF2F1C"/>
    <w:rsid w:val="00B00BEB"/>
    <w:rsid w:val="00B072A7"/>
    <w:rsid w:val="00B106D5"/>
    <w:rsid w:val="00B15CB9"/>
    <w:rsid w:val="00B20B15"/>
    <w:rsid w:val="00B247C3"/>
    <w:rsid w:val="00B32709"/>
    <w:rsid w:val="00B33F3F"/>
    <w:rsid w:val="00B348AA"/>
    <w:rsid w:val="00B4125B"/>
    <w:rsid w:val="00B55D0B"/>
    <w:rsid w:val="00B6370D"/>
    <w:rsid w:val="00B83C32"/>
    <w:rsid w:val="00B83EB2"/>
    <w:rsid w:val="00B949B7"/>
    <w:rsid w:val="00BA3B4B"/>
    <w:rsid w:val="00BD1ECC"/>
    <w:rsid w:val="00BE1EDC"/>
    <w:rsid w:val="00C15736"/>
    <w:rsid w:val="00C32639"/>
    <w:rsid w:val="00C51172"/>
    <w:rsid w:val="00C56790"/>
    <w:rsid w:val="00C606E9"/>
    <w:rsid w:val="00C76229"/>
    <w:rsid w:val="00C76418"/>
    <w:rsid w:val="00C7778C"/>
    <w:rsid w:val="00C84EEC"/>
    <w:rsid w:val="00C9355B"/>
    <w:rsid w:val="00CA0D89"/>
    <w:rsid w:val="00CC0CAD"/>
    <w:rsid w:val="00CC7253"/>
    <w:rsid w:val="00CE0F14"/>
    <w:rsid w:val="00CF0F9E"/>
    <w:rsid w:val="00D000BE"/>
    <w:rsid w:val="00D23C6D"/>
    <w:rsid w:val="00D54100"/>
    <w:rsid w:val="00D632CE"/>
    <w:rsid w:val="00D77AF9"/>
    <w:rsid w:val="00D80850"/>
    <w:rsid w:val="00D92220"/>
    <w:rsid w:val="00DA5955"/>
    <w:rsid w:val="00DA76F2"/>
    <w:rsid w:val="00DB7B43"/>
    <w:rsid w:val="00DC7B19"/>
    <w:rsid w:val="00DD7DF9"/>
    <w:rsid w:val="00E17B1D"/>
    <w:rsid w:val="00E20517"/>
    <w:rsid w:val="00E20C8D"/>
    <w:rsid w:val="00E3436D"/>
    <w:rsid w:val="00E55532"/>
    <w:rsid w:val="00E55BBB"/>
    <w:rsid w:val="00E66D48"/>
    <w:rsid w:val="00E73159"/>
    <w:rsid w:val="00E74FC2"/>
    <w:rsid w:val="00E915AE"/>
    <w:rsid w:val="00E94C15"/>
    <w:rsid w:val="00EA2303"/>
    <w:rsid w:val="00EC1169"/>
    <w:rsid w:val="00EC70F1"/>
    <w:rsid w:val="00ED3E7A"/>
    <w:rsid w:val="00EF4D48"/>
    <w:rsid w:val="00F0184B"/>
    <w:rsid w:val="00F05CC6"/>
    <w:rsid w:val="00F20007"/>
    <w:rsid w:val="00F215B0"/>
    <w:rsid w:val="00F35A4D"/>
    <w:rsid w:val="00F66DBE"/>
    <w:rsid w:val="00F72D5F"/>
    <w:rsid w:val="00F77FBE"/>
    <w:rsid w:val="00F81490"/>
    <w:rsid w:val="00F81D2D"/>
    <w:rsid w:val="00F83F05"/>
    <w:rsid w:val="00FA023A"/>
    <w:rsid w:val="00FB2844"/>
    <w:rsid w:val="00FB38A2"/>
    <w:rsid w:val="00FC6A0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638"/>
    <w:pPr>
      <w:ind w:left="720"/>
      <w:contextualSpacing/>
    </w:pPr>
  </w:style>
  <w:style w:type="paragraph" w:styleId="Header">
    <w:name w:val="header"/>
    <w:basedOn w:val="Normal"/>
    <w:link w:val="HeaderChar"/>
    <w:uiPriority w:val="99"/>
    <w:unhideWhenUsed/>
    <w:rsid w:val="00021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CE8"/>
  </w:style>
  <w:style w:type="paragraph" w:styleId="Footer">
    <w:name w:val="footer"/>
    <w:basedOn w:val="Normal"/>
    <w:link w:val="FooterChar"/>
    <w:uiPriority w:val="99"/>
    <w:unhideWhenUsed/>
    <w:rsid w:val="00021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CE8"/>
  </w:style>
  <w:style w:type="paragraph" w:styleId="BalloonText">
    <w:name w:val="Balloon Text"/>
    <w:basedOn w:val="Normal"/>
    <w:link w:val="BalloonTextChar"/>
    <w:uiPriority w:val="99"/>
    <w:semiHidden/>
    <w:unhideWhenUsed/>
    <w:rsid w:val="00021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CE8"/>
    <w:rPr>
      <w:rFonts w:ascii="Tahoma" w:hAnsi="Tahoma" w:cs="Tahoma"/>
      <w:sz w:val="16"/>
      <w:szCs w:val="16"/>
    </w:rPr>
  </w:style>
  <w:style w:type="paragraph" w:styleId="NoSpacing">
    <w:name w:val="No Spacing"/>
    <w:uiPriority w:val="1"/>
    <w:qFormat/>
    <w:rsid w:val="00D5410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638"/>
    <w:pPr>
      <w:ind w:left="720"/>
      <w:contextualSpacing/>
    </w:pPr>
  </w:style>
  <w:style w:type="paragraph" w:styleId="Header">
    <w:name w:val="header"/>
    <w:basedOn w:val="Normal"/>
    <w:link w:val="HeaderChar"/>
    <w:uiPriority w:val="99"/>
    <w:unhideWhenUsed/>
    <w:rsid w:val="00021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CE8"/>
  </w:style>
  <w:style w:type="paragraph" w:styleId="Footer">
    <w:name w:val="footer"/>
    <w:basedOn w:val="Normal"/>
    <w:link w:val="FooterChar"/>
    <w:uiPriority w:val="99"/>
    <w:unhideWhenUsed/>
    <w:rsid w:val="00021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CE8"/>
  </w:style>
  <w:style w:type="paragraph" w:styleId="BalloonText">
    <w:name w:val="Balloon Text"/>
    <w:basedOn w:val="Normal"/>
    <w:link w:val="BalloonTextChar"/>
    <w:uiPriority w:val="99"/>
    <w:semiHidden/>
    <w:unhideWhenUsed/>
    <w:rsid w:val="00021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CE8"/>
    <w:rPr>
      <w:rFonts w:ascii="Tahoma" w:hAnsi="Tahoma" w:cs="Tahoma"/>
      <w:sz w:val="16"/>
      <w:szCs w:val="16"/>
    </w:rPr>
  </w:style>
  <w:style w:type="paragraph" w:styleId="NoSpacing">
    <w:name w:val="No Spacing"/>
    <w:uiPriority w:val="1"/>
    <w:qFormat/>
    <w:rsid w:val="00D541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72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0F43A-3A8D-4BAE-837E-277E02B80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Labour Court</cp:lastModifiedBy>
  <cp:revision>12</cp:revision>
  <cp:lastPrinted>2020-07-01T09:10:00Z</cp:lastPrinted>
  <dcterms:created xsi:type="dcterms:W3CDTF">2020-06-23T09:54:00Z</dcterms:created>
  <dcterms:modified xsi:type="dcterms:W3CDTF">2020-07-01T09:10:00Z</dcterms:modified>
</cp:coreProperties>
</file>