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444" w:rsidRDefault="009857A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OS FAMILY TRUST</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57444" w:rsidRDefault="009857A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EXODUS AND COMPANY (PRIVATE) L</w:t>
      </w:r>
      <w:r>
        <w:rPr>
          <w:rFonts w:ascii="Times New Roman" w:hAnsi="Times New Roman" w:cs="Times New Roman"/>
          <w:sz w:val="24"/>
          <w:szCs w:val="24"/>
          <w:lang w:val="en-US"/>
        </w:rPr>
        <w:t>IMITED</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57444" w:rsidRDefault="009857A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COYANT INVESTMENTS (PRIVATE) </w:t>
      </w:r>
      <w:r>
        <w:rPr>
          <w:rFonts w:ascii="Times New Roman" w:hAnsi="Times New Roman" w:cs="Times New Roman"/>
          <w:sz w:val="24"/>
          <w:szCs w:val="24"/>
          <w:lang w:val="en-US"/>
        </w:rPr>
        <w:t>LIMITED</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 OF ZIMBABWE N.O.</w:t>
      </w:r>
    </w:p>
    <w:p w:rsidR="00357444" w:rsidRDefault="00357444">
      <w:pPr>
        <w:spacing w:after="0" w:line="240" w:lineRule="auto"/>
        <w:jc w:val="both"/>
        <w:rPr>
          <w:rFonts w:ascii="Times New Roman" w:hAnsi="Times New Roman" w:cs="Times New Roman"/>
          <w:sz w:val="24"/>
          <w:szCs w:val="24"/>
        </w:rPr>
      </w:pP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DIVISION</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March </w:t>
      </w:r>
      <w:r>
        <w:rPr>
          <w:rFonts w:ascii="Times New Roman" w:hAnsi="Times New Roman" w:cs="Times New Roman"/>
          <w:sz w:val="24"/>
          <w:szCs w:val="24"/>
          <w:lang w:val="en-US"/>
        </w:rPr>
        <w:t xml:space="preserve">2025 </w:t>
      </w:r>
      <w:r>
        <w:rPr>
          <w:rFonts w:ascii="Times New Roman" w:hAnsi="Times New Roman" w:cs="Times New Roman"/>
          <w:sz w:val="24"/>
          <w:szCs w:val="24"/>
        </w:rPr>
        <w:t>&amp; 9 April 2025</w:t>
      </w:r>
    </w:p>
    <w:p w:rsidR="00357444" w:rsidRDefault="00357444">
      <w:pPr>
        <w:spacing w:after="0" w:line="240" w:lineRule="auto"/>
        <w:jc w:val="both"/>
        <w:rPr>
          <w:rFonts w:ascii="Times New Roman" w:hAnsi="Times New Roman" w:cs="Times New Roman"/>
          <w:b/>
          <w:sz w:val="24"/>
          <w:szCs w:val="24"/>
        </w:rPr>
      </w:pPr>
    </w:p>
    <w:p w:rsidR="00357444" w:rsidRDefault="009857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COURT </w:t>
      </w:r>
      <w:r>
        <w:rPr>
          <w:rFonts w:ascii="Times New Roman" w:hAnsi="Times New Roman" w:cs="Times New Roman"/>
          <w:b/>
          <w:sz w:val="24"/>
          <w:szCs w:val="24"/>
        </w:rPr>
        <w:t>APPLICATION – Preliminary Points</w:t>
      </w:r>
    </w:p>
    <w:p w:rsidR="00357444" w:rsidRDefault="00357444">
      <w:pPr>
        <w:spacing w:after="0" w:line="240" w:lineRule="auto"/>
        <w:jc w:val="both"/>
        <w:rPr>
          <w:rFonts w:ascii="Times New Roman" w:hAnsi="Times New Roman" w:cs="Times New Roman"/>
          <w:sz w:val="24"/>
          <w:szCs w:val="24"/>
        </w:rPr>
      </w:pP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w:t>
      </w:r>
      <w:r>
        <w:rPr>
          <w:rFonts w:ascii="Times New Roman" w:hAnsi="Times New Roman" w:cs="Times New Roman"/>
          <w:i/>
          <w:iCs/>
          <w:sz w:val="24"/>
          <w:szCs w:val="24"/>
        </w:rPr>
        <w:t>. T Magwaliba</w:t>
      </w:r>
      <w:r>
        <w:rPr>
          <w:rFonts w:ascii="Times New Roman" w:hAnsi="Times New Roman" w:cs="Times New Roman"/>
          <w:sz w:val="24"/>
          <w:szCs w:val="24"/>
        </w:rPr>
        <w:t>, for the applicant</w:t>
      </w:r>
    </w:p>
    <w:p w:rsidR="00357444" w:rsidRDefault="00985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w:t>
      </w:r>
      <w:r>
        <w:rPr>
          <w:rFonts w:ascii="Times New Roman" w:hAnsi="Times New Roman" w:cs="Times New Roman"/>
          <w:i/>
          <w:iCs/>
          <w:sz w:val="24"/>
          <w:szCs w:val="24"/>
        </w:rPr>
        <w:t>. E Mubaiwa</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357444" w:rsidRDefault="00357444">
      <w:pPr>
        <w:spacing w:after="0" w:line="360" w:lineRule="auto"/>
        <w:jc w:val="both"/>
        <w:rPr>
          <w:rFonts w:ascii="Times New Roman" w:hAnsi="Times New Roman" w:cs="Times New Roman"/>
          <w:sz w:val="24"/>
          <w:szCs w:val="24"/>
        </w:rPr>
      </w:pPr>
    </w:p>
    <w:p w:rsidR="00357444" w:rsidRDefault="009857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357444" w:rsidRDefault="009857A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INTRODUCTION</w:t>
      </w:r>
      <w:r>
        <w:rPr>
          <w:rFonts w:ascii="Times New Roman" w:hAnsi="Times New Roman" w:cs="Times New Roman"/>
          <w:b/>
          <w:bCs/>
          <w:sz w:val="24"/>
          <w:szCs w:val="24"/>
          <w:lang w:val="en-US"/>
        </w:rPr>
        <w:t>:</w:t>
      </w:r>
    </w:p>
    <w:p w:rsidR="00357444" w:rsidRDefault="009857A9">
      <w:pPr>
        <w:pStyle w:val="ListParagraph"/>
        <w:numPr>
          <w:ilvl w:val="0"/>
          <w:numId w:val="1"/>
        </w:numPr>
        <w:spacing w:line="360" w:lineRule="auto"/>
        <w:jc w:val="both"/>
        <w:rPr>
          <w:rFonts w:ascii="Times New Roman" w:hAnsi="Times New Roman" w:cs="Times New Roman"/>
        </w:rPr>
      </w:pPr>
      <w:r>
        <w:rPr>
          <w:rFonts w:ascii="Times New Roman" w:eastAsia="Arial" w:hAnsi="Times New Roman" w:cs="Times New Roman"/>
          <w:sz w:val="24"/>
          <w:szCs w:val="24"/>
        </w:rPr>
        <w:t xml:space="preserve">This is a court application for a declaratory order brought in terms of s14 of the High Court Act, Chapter </w:t>
      </w:r>
      <w:r>
        <w:rPr>
          <w:rFonts w:ascii="Times New Roman" w:eastAsia="Arial" w:hAnsi="Times New Roman" w:cs="Times New Roman"/>
          <w:sz w:val="24"/>
          <w:szCs w:val="24"/>
          <w:lang w:val="en-US"/>
        </w:rPr>
        <w:t>[</w:t>
      </w:r>
      <w:r>
        <w:rPr>
          <w:rFonts w:ascii="Times New Roman" w:eastAsia="Arial" w:hAnsi="Times New Roman" w:cs="Times New Roman"/>
          <w:sz w:val="24"/>
          <w:szCs w:val="24"/>
        </w:rPr>
        <w:t>7:06</w:t>
      </w:r>
      <w:r>
        <w:rPr>
          <w:rFonts w:ascii="Times New Roman" w:eastAsia="Arial" w:hAnsi="Times New Roman" w:cs="Times New Roman"/>
          <w:sz w:val="24"/>
          <w:szCs w:val="24"/>
          <w:lang w:val="en-US"/>
        </w:rPr>
        <w:t>]</w:t>
      </w:r>
      <w:r>
        <w:rPr>
          <w:rFonts w:ascii="Times New Roman" w:eastAsia="Arial" w:hAnsi="Times New Roman" w:cs="Times New Roman"/>
          <w:sz w:val="24"/>
          <w:szCs w:val="24"/>
        </w:rPr>
        <w:t>. The relief sought is couched in the following terms;</w:t>
      </w:r>
    </w:p>
    <w:p w:rsidR="00357444" w:rsidRDefault="009857A9">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It is hereby declared that the applicant has paid the </w:t>
      </w: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 xml:space="preserve">st </w:t>
      </w:r>
      <w:r>
        <w:rPr>
          <w:rFonts w:ascii="Times New Roman" w:hAnsi="Times New Roman" w:cs="Times New Roman"/>
          <w:sz w:val="24"/>
          <w:szCs w:val="24"/>
        </w:rPr>
        <w:t xml:space="preserve">respondent full purchase price for an undivided share of 0.39% of Coyant Investments (Private) Limited, translating to 0,39% of Stand </w:t>
      </w:r>
      <w:r>
        <w:rPr>
          <w:rFonts w:ascii="Times New Roman" w:hAnsi="Times New Roman" w:cs="Times New Roman"/>
          <w:sz w:val="24"/>
          <w:szCs w:val="24"/>
        </w:rPr>
        <w:t xml:space="preserve">12923 in Madokero Estate coupled with an exclusive right of occupation of Flat 37C on the immovable property. </w:t>
      </w:r>
    </w:p>
    <w:p w:rsidR="00357444" w:rsidRDefault="009857A9">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declared that applicant has paid the </w:t>
      </w: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st</w:t>
      </w:r>
      <w:r>
        <w:rPr>
          <w:rFonts w:ascii="Times New Roman" w:hAnsi="Times New Roman" w:cs="Times New Roman"/>
          <w:sz w:val="24"/>
          <w:szCs w:val="24"/>
        </w:rPr>
        <w:t xml:space="preserve"> respondent the full purchase price for an undivided share of 0.39% of Coyant Investments (Private) Limited, translating to 0,39% of Stand 12923 in Madokero Estate coupled with exclusive right of occupation of Flat 37D on the immovable property. </w:t>
      </w:r>
    </w:p>
    <w:p w:rsidR="00357444" w:rsidRDefault="009857A9">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and </w:t>
      </w: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nd</w:t>
      </w:r>
      <w:r>
        <w:rPr>
          <w:rFonts w:ascii="Times New Roman" w:hAnsi="Times New Roman" w:cs="Times New Roman"/>
          <w:sz w:val="24"/>
          <w:szCs w:val="24"/>
        </w:rPr>
        <w:t xml:space="preserve"> respondents are hereby ordered and directed to cooperate fully by signing all the relevant documents and doing everything necessary whenever required to effect transfer of the Shares to the Applicant in Coyant Investments (Private) Limited which shares</w:t>
      </w:r>
      <w:r>
        <w:rPr>
          <w:rFonts w:ascii="Times New Roman" w:hAnsi="Times New Roman" w:cs="Times New Roman"/>
          <w:sz w:val="24"/>
          <w:szCs w:val="24"/>
        </w:rPr>
        <w:t xml:space="preserve"> represent exclusive right of occupation of Flat 37C and flat 37D of Madokero Estates, failing which the third respondent, or his lawfully authorized representative, is hereby directed, empowered and authorized to stand in the stead of the defaulting party</w:t>
      </w:r>
      <w:r>
        <w:rPr>
          <w:rFonts w:ascii="Times New Roman" w:hAnsi="Times New Roman" w:cs="Times New Roman"/>
          <w:sz w:val="24"/>
          <w:szCs w:val="24"/>
        </w:rPr>
        <w:t xml:space="preserve"> and to do whatever may be required of such party in order to give effect to the transfer of the said shares. </w:t>
      </w:r>
    </w:p>
    <w:p w:rsidR="00357444" w:rsidRDefault="009857A9">
      <w:pPr>
        <w:pStyle w:val="ListParagraph"/>
        <w:numPr>
          <w:ilvl w:val="0"/>
          <w:numId w:val="2"/>
        </w:numPr>
        <w:spacing w:line="360" w:lineRule="auto"/>
        <w:ind w:left="360"/>
        <w:jc w:val="both"/>
        <w:rPr>
          <w:rFonts w:ascii="Times New Roman" w:eastAsia="Arial" w:hAnsi="Times New Roman" w:cs="Times New Roman"/>
          <w:sz w:val="24"/>
          <w:szCs w:val="24"/>
        </w:rPr>
      </w:pPr>
      <w:r>
        <w:rPr>
          <w:rFonts w:ascii="Times New Roman" w:hAnsi="Times New Roman" w:cs="Times New Roman"/>
          <w:sz w:val="24"/>
          <w:szCs w:val="24"/>
        </w:rPr>
        <w:lastRenderedPageBreak/>
        <w:t xml:space="preserv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and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respondents shall pay the applicant’s costs on a legal practitioner and client scale.”</w:t>
      </w:r>
    </w:p>
    <w:p w:rsidR="00357444" w:rsidRDefault="00357444">
      <w:pPr>
        <w:pStyle w:val="ListParagraph"/>
        <w:spacing w:line="360" w:lineRule="auto"/>
        <w:ind w:left="0"/>
        <w:jc w:val="both"/>
        <w:rPr>
          <w:rFonts w:ascii="Times New Roman"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opposed the application and raised certain preliminary </w:t>
      </w:r>
      <w:r>
        <w:rPr>
          <w:rFonts w:ascii="Times New Roman" w:hAnsi="Times New Roman" w:cs="Times New Roman"/>
          <w:sz w:val="24"/>
          <w:szCs w:val="24"/>
          <w:lang w:val="en-US"/>
        </w:rPr>
        <w:tab/>
      </w:r>
      <w:r>
        <w:rPr>
          <w:rFonts w:ascii="Times New Roman" w:hAnsi="Times New Roman" w:cs="Times New Roman"/>
          <w:sz w:val="24"/>
          <w:szCs w:val="24"/>
        </w:rPr>
        <w:t xml:space="preserve">points, which if successful, prayed for the dismissal of the application with costs on a </w:t>
      </w:r>
      <w:r>
        <w:rPr>
          <w:rFonts w:ascii="Times New Roman" w:hAnsi="Times New Roman" w:cs="Times New Roman"/>
          <w:sz w:val="24"/>
          <w:szCs w:val="24"/>
          <w:lang w:val="en-US"/>
        </w:rPr>
        <w:tab/>
      </w:r>
      <w:r>
        <w:rPr>
          <w:rFonts w:ascii="Times New Roman" w:hAnsi="Times New Roman" w:cs="Times New Roman"/>
          <w:sz w:val="24"/>
          <w:szCs w:val="24"/>
        </w:rPr>
        <w:t xml:space="preserve">legal practitioner and client scale. Similarly, the applicant raised a preliminary point </w:t>
      </w:r>
      <w:r>
        <w:rPr>
          <w:rFonts w:ascii="Times New Roman" w:hAnsi="Times New Roman" w:cs="Times New Roman"/>
          <w:sz w:val="24"/>
          <w:szCs w:val="24"/>
          <w:lang w:val="en-US"/>
        </w:rPr>
        <w:tab/>
      </w:r>
      <w:r>
        <w:rPr>
          <w:rFonts w:ascii="Times New Roman" w:hAnsi="Times New Roman" w:cs="Times New Roman"/>
          <w:sz w:val="24"/>
          <w:szCs w:val="24"/>
        </w:rPr>
        <w:t>and pra</w:t>
      </w:r>
      <w:r>
        <w:rPr>
          <w:rFonts w:ascii="Times New Roman" w:hAnsi="Times New Roman" w:cs="Times New Roman"/>
          <w:sz w:val="24"/>
          <w:szCs w:val="24"/>
        </w:rPr>
        <w:t>yed, in the event of its success, for the application to be treated as unopposed.</w:t>
      </w:r>
    </w:p>
    <w:p w:rsidR="00357444" w:rsidRDefault="009857A9">
      <w:pPr>
        <w:spacing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BACKGROUND:</w:t>
      </w:r>
    </w:p>
    <w:p w:rsidR="00357444" w:rsidRDefault="009857A9">
      <w:pPr>
        <w:pStyle w:val="ListParagraph"/>
        <w:spacing w:line="360" w:lineRule="auto"/>
        <w:ind w:left="0" w:firstLine="720"/>
        <w:jc w:val="both"/>
        <w:rPr>
          <w:rFonts w:ascii="Times New Roman" w:eastAsia="Arial" w:hAnsi="Times New Roman" w:cs="Times New Roman"/>
          <w:sz w:val="24"/>
          <w:szCs w:val="24"/>
        </w:rPr>
      </w:pPr>
      <w:bookmarkStart w:id="1" w:name="_heading=h.wsqcb2cko9dr"/>
      <w:bookmarkEnd w:id="1"/>
      <w:r>
        <w:rPr>
          <w:rFonts w:ascii="Times New Roman" w:eastAsia="Arial" w:hAnsi="Times New Roman" w:cs="Times New Roman"/>
          <w:sz w:val="24"/>
          <w:szCs w:val="24"/>
          <w:lang w:val="en-US"/>
        </w:rPr>
        <w:t>(3)</w:t>
      </w:r>
      <w:r>
        <w:rPr>
          <w:rFonts w:ascii="Times New Roman" w:eastAsia="Arial" w:hAnsi="Times New Roman" w:cs="Times New Roman"/>
          <w:sz w:val="24"/>
          <w:szCs w:val="24"/>
        </w:rPr>
        <w:t>The applicant is a duly registered Trust. The 1</w:t>
      </w:r>
      <w:r>
        <w:rPr>
          <w:rFonts w:ascii="Times New Roman" w:eastAsia="Arial" w:hAnsi="Times New Roman" w:cs="Times New Roman"/>
          <w:sz w:val="24"/>
          <w:szCs w:val="24"/>
          <w:vertAlign w:val="superscript"/>
        </w:rPr>
        <w:t>st</w:t>
      </w:r>
      <w:r>
        <w:rPr>
          <w:rFonts w:ascii="Times New Roman" w:eastAsia="Arial" w:hAnsi="Times New Roman" w:cs="Times New Roman"/>
          <w:sz w:val="24"/>
          <w:szCs w:val="24"/>
        </w:rPr>
        <w:t xml:space="preserve"> and 2</w:t>
      </w:r>
      <w:r>
        <w:rPr>
          <w:rFonts w:ascii="Times New Roman" w:eastAsia="Arial" w:hAnsi="Times New Roman" w:cs="Times New Roman"/>
          <w:sz w:val="24"/>
          <w:szCs w:val="24"/>
          <w:vertAlign w:val="superscript"/>
        </w:rPr>
        <w:t>nd</w:t>
      </w:r>
      <w:r>
        <w:rPr>
          <w:rFonts w:ascii="Times New Roman" w:eastAsia="Arial" w:hAnsi="Times New Roman" w:cs="Times New Roman"/>
          <w:sz w:val="24"/>
          <w:szCs w:val="24"/>
        </w:rPr>
        <w:t xml:space="preserve"> respondents (the </w:t>
      </w:r>
      <w:r>
        <w:rPr>
          <w:rFonts w:ascii="Times New Roman" w:eastAsia="Arial" w:hAnsi="Times New Roman" w:cs="Times New Roman"/>
          <w:sz w:val="24"/>
          <w:szCs w:val="24"/>
          <w:lang w:val="en-US"/>
        </w:rPr>
        <w:tab/>
      </w:r>
      <w:r>
        <w:rPr>
          <w:rFonts w:ascii="Times New Roman" w:eastAsia="Arial" w:hAnsi="Times New Roman" w:cs="Times New Roman"/>
          <w:sz w:val="24"/>
          <w:szCs w:val="24"/>
        </w:rPr>
        <w:t>respondents) are companies registered in terms of the laws of Zimbabwe. The 3</w:t>
      </w:r>
      <w:r>
        <w:rPr>
          <w:rFonts w:ascii="Times New Roman" w:eastAsia="Arial" w:hAnsi="Times New Roman" w:cs="Times New Roman"/>
          <w:sz w:val="24"/>
          <w:szCs w:val="24"/>
          <w:vertAlign w:val="superscript"/>
        </w:rPr>
        <w:t>rd</w:t>
      </w:r>
      <w:r>
        <w:rPr>
          <w:rFonts w:ascii="Times New Roman" w:eastAsia="Arial" w:hAnsi="Times New Roman" w:cs="Times New Roman"/>
          <w:sz w:val="24"/>
          <w:szCs w:val="24"/>
        </w:rPr>
        <w:t xml:space="preserve"> </w:t>
      </w:r>
      <w:r>
        <w:rPr>
          <w:rFonts w:ascii="Times New Roman" w:eastAsia="Arial" w:hAnsi="Times New Roman" w:cs="Times New Roman"/>
          <w:sz w:val="24"/>
          <w:szCs w:val="24"/>
          <w:lang w:val="en-US"/>
        </w:rPr>
        <w:tab/>
      </w:r>
      <w:r>
        <w:rPr>
          <w:rFonts w:ascii="Times New Roman" w:eastAsia="Arial" w:hAnsi="Times New Roman" w:cs="Times New Roman"/>
          <w:sz w:val="24"/>
          <w:szCs w:val="24"/>
        </w:rPr>
        <w:t>re</w:t>
      </w:r>
      <w:r>
        <w:rPr>
          <w:rFonts w:ascii="Times New Roman" w:eastAsia="Arial" w:hAnsi="Times New Roman" w:cs="Times New Roman"/>
          <w:sz w:val="24"/>
          <w:szCs w:val="24"/>
        </w:rPr>
        <w:t xml:space="preserve">spondent is the Sheriff of Zimbabwe cited in his official capacity. </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(4)</w:t>
      </w:r>
      <w:r>
        <w:rPr>
          <w:rFonts w:ascii="Times New Roman" w:eastAsia="Arial" w:hAnsi="Times New Roman" w:cs="Times New Roman"/>
          <w:sz w:val="24"/>
          <w:szCs w:val="24"/>
        </w:rPr>
        <w:t>The 2</w:t>
      </w:r>
      <w:r>
        <w:rPr>
          <w:rFonts w:ascii="Times New Roman" w:eastAsia="Arial" w:hAnsi="Times New Roman" w:cs="Times New Roman"/>
          <w:sz w:val="24"/>
          <w:szCs w:val="24"/>
          <w:vertAlign w:val="superscript"/>
        </w:rPr>
        <w:t>nd</w:t>
      </w:r>
      <w:r>
        <w:rPr>
          <w:rFonts w:ascii="Times New Roman" w:eastAsia="Arial" w:hAnsi="Times New Roman" w:cs="Times New Roman"/>
          <w:sz w:val="24"/>
          <w:szCs w:val="24"/>
        </w:rPr>
        <w:t xml:space="preserve"> respondent is the investment vehicle of the 1</w:t>
      </w:r>
      <w:r>
        <w:rPr>
          <w:rFonts w:ascii="Times New Roman" w:eastAsia="Arial" w:hAnsi="Times New Roman" w:cs="Times New Roman"/>
          <w:sz w:val="24"/>
          <w:szCs w:val="24"/>
          <w:vertAlign w:val="superscript"/>
        </w:rPr>
        <w:t>st</w:t>
      </w:r>
      <w:r>
        <w:rPr>
          <w:rFonts w:ascii="Times New Roman" w:eastAsia="Arial" w:hAnsi="Times New Roman" w:cs="Times New Roman"/>
          <w:sz w:val="24"/>
          <w:szCs w:val="24"/>
        </w:rPr>
        <w:t xml:space="preserve"> respondent in whose name is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registered stand 12923 Madokero Estate in Harare. </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(5)</w:t>
      </w:r>
      <w:r>
        <w:rPr>
          <w:rFonts w:ascii="Times New Roman" w:eastAsia="Arial" w:hAnsi="Times New Roman" w:cs="Times New Roman"/>
          <w:sz w:val="24"/>
          <w:szCs w:val="24"/>
        </w:rPr>
        <w:t>The 1</w:t>
      </w:r>
      <w:r>
        <w:rPr>
          <w:rFonts w:ascii="Times New Roman" w:eastAsia="Arial" w:hAnsi="Times New Roman" w:cs="Times New Roman"/>
          <w:sz w:val="24"/>
          <w:szCs w:val="24"/>
          <w:vertAlign w:val="superscript"/>
          <w:lang w:val="en-US"/>
        </w:rPr>
        <w:t>st</w:t>
      </w:r>
      <w:r>
        <w:rPr>
          <w:rFonts w:ascii="Times New Roman" w:eastAsia="Arial" w:hAnsi="Times New Roman" w:cs="Times New Roman"/>
          <w:sz w:val="24"/>
          <w:szCs w:val="24"/>
          <w:lang w:val="en-US"/>
        </w:rPr>
        <w:t xml:space="preserve"> </w:t>
      </w:r>
      <w:r>
        <w:rPr>
          <w:rFonts w:ascii="Times New Roman" w:eastAsia="Arial" w:hAnsi="Times New Roman" w:cs="Times New Roman"/>
          <w:sz w:val="24"/>
          <w:szCs w:val="24"/>
        </w:rPr>
        <w:t xml:space="preserve">respondent sold to the applicant </w:t>
      </w:r>
      <w:r>
        <w:rPr>
          <w:rFonts w:ascii="Times New Roman" w:eastAsia="Arial" w:hAnsi="Times New Roman" w:cs="Times New Roman"/>
          <w:sz w:val="24"/>
          <w:szCs w:val="24"/>
        </w:rPr>
        <w:t>two by 0.39% undivided shares of 2</w:t>
      </w:r>
      <w:r>
        <w:rPr>
          <w:rFonts w:ascii="Times New Roman" w:eastAsia="Arial" w:hAnsi="Times New Roman" w:cs="Times New Roman"/>
          <w:sz w:val="24"/>
          <w:szCs w:val="24"/>
          <w:vertAlign w:val="superscript"/>
        </w:rPr>
        <w:t>nd</w:t>
      </w:r>
      <w:r>
        <w:rPr>
          <w:rFonts w:ascii="Times New Roman" w:eastAsia="Arial" w:hAnsi="Times New Roman" w:cs="Times New Roman"/>
          <w:sz w:val="24"/>
          <w:szCs w:val="24"/>
        </w:rPr>
        <w:t xml:space="preserv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respondent of stand 12923 in Madokero Estate (100 shares) representing ownership of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flats 37C and 37D. </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(6)</w:t>
      </w:r>
      <w:r>
        <w:rPr>
          <w:rFonts w:ascii="Times New Roman" w:eastAsia="Arial" w:hAnsi="Times New Roman" w:cs="Times New Roman"/>
          <w:sz w:val="24"/>
          <w:szCs w:val="24"/>
        </w:rPr>
        <w:t>In terms of the agreement, the 1</w:t>
      </w:r>
      <w:r>
        <w:rPr>
          <w:rFonts w:ascii="Times New Roman" w:eastAsia="Arial" w:hAnsi="Times New Roman" w:cs="Times New Roman"/>
          <w:sz w:val="24"/>
          <w:szCs w:val="24"/>
          <w:vertAlign w:val="superscript"/>
        </w:rPr>
        <w:t>st</w:t>
      </w:r>
      <w:r>
        <w:rPr>
          <w:rFonts w:ascii="Times New Roman" w:eastAsia="Arial" w:hAnsi="Times New Roman" w:cs="Times New Roman"/>
          <w:sz w:val="24"/>
          <w:szCs w:val="24"/>
        </w:rPr>
        <w:t xml:space="preserve"> respondent would register a notarial deed of </w:t>
      </w:r>
      <w:r>
        <w:rPr>
          <w:rFonts w:ascii="Times New Roman" w:eastAsia="Arial" w:hAnsi="Times New Roman" w:cs="Times New Roman"/>
          <w:sz w:val="24"/>
          <w:szCs w:val="24"/>
          <w:lang w:val="en-US"/>
        </w:rPr>
        <w:tab/>
      </w:r>
      <w:r>
        <w:rPr>
          <w:rFonts w:ascii="Times New Roman" w:eastAsia="Arial" w:hAnsi="Times New Roman" w:cs="Times New Roman"/>
          <w:sz w:val="24"/>
          <w:szCs w:val="24"/>
        </w:rPr>
        <w:t>sectional title creating sha</w:t>
      </w:r>
      <w:r>
        <w:rPr>
          <w:rFonts w:ascii="Times New Roman" w:eastAsia="Arial" w:hAnsi="Times New Roman" w:cs="Times New Roman"/>
          <w:sz w:val="24"/>
          <w:szCs w:val="24"/>
        </w:rPr>
        <w:t xml:space="preserve">res in respect of the said flats and the applicant would in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terms of the said Notarial Deed be entitled to an exclusive right of occupation and </w:t>
      </w:r>
      <w:r>
        <w:rPr>
          <w:rFonts w:ascii="Times New Roman" w:eastAsia="Arial" w:hAnsi="Times New Roman" w:cs="Times New Roman"/>
          <w:sz w:val="24"/>
          <w:szCs w:val="24"/>
          <w:lang w:val="en-US"/>
        </w:rPr>
        <w:tab/>
      </w:r>
      <w:r>
        <w:rPr>
          <w:rFonts w:ascii="Times New Roman" w:eastAsia="Arial" w:hAnsi="Times New Roman" w:cs="Times New Roman"/>
          <w:sz w:val="24"/>
          <w:szCs w:val="24"/>
        </w:rPr>
        <w:t>registration of transfer of shares in the 2</w:t>
      </w:r>
      <w:r>
        <w:rPr>
          <w:rFonts w:ascii="Times New Roman" w:eastAsia="Arial" w:hAnsi="Times New Roman" w:cs="Times New Roman"/>
          <w:sz w:val="24"/>
          <w:szCs w:val="24"/>
          <w:vertAlign w:val="superscript"/>
        </w:rPr>
        <w:t>nd</w:t>
      </w:r>
      <w:r>
        <w:rPr>
          <w:rFonts w:ascii="Times New Roman" w:eastAsia="Arial" w:hAnsi="Times New Roman" w:cs="Times New Roman"/>
          <w:sz w:val="24"/>
          <w:szCs w:val="24"/>
        </w:rPr>
        <w:t xml:space="preserve"> respondent. </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(7)</w:t>
      </w:r>
      <w:r>
        <w:rPr>
          <w:rFonts w:ascii="Times New Roman" w:eastAsia="Arial" w:hAnsi="Times New Roman" w:cs="Times New Roman"/>
          <w:sz w:val="24"/>
          <w:szCs w:val="24"/>
        </w:rPr>
        <w:t>The applicant purchased 100 shares for the tota</w:t>
      </w:r>
      <w:r>
        <w:rPr>
          <w:rFonts w:ascii="Times New Roman" w:eastAsia="Arial" w:hAnsi="Times New Roman" w:cs="Times New Roman"/>
          <w:sz w:val="24"/>
          <w:szCs w:val="24"/>
        </w:rPr>
        <w:t xml:space="preserve">l amount of USD 60 000.00 payable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in 120 monthly </w:t>
      </w:r>
      <w:r>
        <w:rPr>
          <w:rFonts w:ascii="Times New Roman" w:eastAsia="Arial" w:hAnsi="Times New Roman" w:cs="Times New Roman"/>
          <w:sz w:val="24"/>
          <w:szCs w:val="24"/>
          <w:lang w:val="en-US"/>
        </w:rPr>
        <w:t>installments</w:t>
      </w:r>
      <w:r>
        <w:rPr>
          <w:rFonts w:ascii="Times New Roman" w:eastAsia="Arial" w:hAnsi="Times New Roman" w:cs="Times New Roman"/>
          <w:sz w:val="24"/>
          <w:szCs w:val="24"/>
        </w:rPr>
        <w:t xml:space="preserve">. The applicant paid certain amounts in US dollars </w:t>
      </w:r>
      <w:r>
        <w:rPr>
          <w:rFonts w:ascii="Times New Roman" w:eastAsia="Arial" w:hAnsi="Times New Roman" w:cs="Times New Roman"/>
          <w:sz w:val="24"/>
          <w:szCs w:val="24"/>
          <w:lang w:val="en-US"/>
        </w:rPr>
        <w:tab/>
      </w:r>
      <w:r>
        <w:rPr>
          <w:rFonts w:ascii="Times New Roman" w:eastAsia="Arial" w:hAnsi="Times New Roman" w:cs="Times New Roman"/>
          <w:sz w:val="24"/>
          <w:szCs w:val="24"/>
        </w:rPr>
        <w:t>towards the purchase price but fell into arrears.</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(8)</w:t>
      </w:r>
      <w:r>
        <w:rPr>
          <w:rFonts w:ascii="Times New Roman" w:eastAsia="Arial" w:hAnsi="Times New Roman" w:cs="Times New Roman"/>
          <w:sz w:val="24"/>
          <w:szCs w:val="24"/>
        </w:rPr>
        <w:t xml:space="preserve"> On 28 June 2024</w:t>
      </w:r>
      <w:r>
        <w:rPr>
          <w:rFonts w:ascii="Times New Roman" w:eastAsia="Arial" w:hAnsi="Times New Roman" w:cs="Times New Roman"/>
          <w:sz w:val="24"/>
          <w:szCs w:val="24"/>
          <w:lang w:val="en-US"/>
        </w:rPr>
        <w:t>,</w:t>
      </w:r>
      <w:r>
        <w:rPr>
          <w:rFonts w:ascii="Times New Roman" w:eastAsia="Arial" w:hAnsi="Times New Roman" w:cs="Times New Roman"/>
          <w:sz w:val="24"/>
          <w:szCs w:val="24"/>
        </w:rPr>
        <w:t xml:space="preserve"> the applicant paid an amount of ZWL22 000 Zimbabwe</w:t>
      </w:r>
      <w:r>
        <w:rPr>
          <w:rFonts w:ascii="Times New Roman" w:eastAsia="Arial" w:hAnsi="Times New Roman" w:cs="Times New Roman"/>
          <w:sz w:val="24"/>
          <w:szCs w:val="24"/>
          <w:lang w:val="en-US"/>
        </w:rPr>
        <w:t>an</w:t>
      </w:r>
      <w:r>
        <w:rPr>
          <w:rFonts w:ascii="Times New Roman" w:eastAsia="Arial" w:hAnsi="Times New Roman" w:cs="Times New Roman"/>
          <w:sz w:val="24"/>
          <w:szCs w:val="24"/>
        </w:rPr>
        <w:t xml:space="preserve"> dollar </w:t>
      </w:r>
      <w:r>
        <w:rPr>
          <w:rFonts w:ascii="Times New Roman" w:eastAsia="Arial" w:hAnsi="Times New Roman" w:cs="Times New Roman"/>
          <w:sz w:val="24"/>
          <w:szCs w:val="24"/>
          <w:lang w:val="en-US"/>
        </w:rPr>
        <w:tab/>
      </w:r>
      <w:r>
        <w:rPr>
          <w:rFonts w:ascii="Times New Roman" w:eastAsia="Arial" w:hAnsi="Times New Roman" w:cs="Times New Roman"/>
          <w:sz w:val="24"/>
          <w:szCs w:val="24"/>
        </w:rPr>
        <w:t>to the 1</w:t>
      </w:r>
      <w:r>
        <w:rPr>
          <w:rFonts w:ascii="Times New Roman" w:eastAsia="Arial" w:hAnsi="Times New Roman" w:cs="Times New Roman"/>
          <w:sz w:val="24"/>
          <w:szCs w:val="24"/>
          <w:vertAlign w:val="superscript"/>
        </w:rPr>
        <w:t>s</w:t>
      </w:r>
      <w:r>
        <w:rPr>
          <w:rFonts w:ascii="Times New Roman" w:eastAsia="Arial" w:hAnsi="Times New Roman" w:cs="Times New Roman"/>
          <w:sz w:val="24"/>
          <w:szCs w:val="24"/>
          <w:vertAlign w:val="superscript"/>
        </w:rPr>
        <w:t>t</w:t>
      </w:r>
      <w:r>
        <w:rPr>
          <w:rFonts w:ascii="Times New Roman" w:eastAsia="Arial" w:hAnsi="Times New Roman" w:cs="Times New Roman"/>
          <w:sz w:val="24"/>
          <w:szCs w:val="24"/>
        </w:rPr>
        <w:t xml:space="preserve"> respondent, which amount it considered to be the last instal</w:t>
      </w:r>
      <w:r>
        <w:rPr>
          <w:rFonts w:ascii="Times New Roman" w:eastAsia="Arial" w:hAnsi="Times New Roman" w:cs="Times New Roman"/>
          <w:sz w:val="24"/>
          <w:szCs w:val="24"/>
          <w:lang w:val="en-US"/>
        </w:rPr>
        <w:t>l</w:t>
      </w:r>
      <w:r>
        <w:rPr>
          <w:rFonts w:ascii="Times New Roman" w:eastAsia="Arial" w:hAnsi="Times New Roman" w:cs="Times New Roman"/>
          <w:sz w:val="24"/>
          <w:szCs w:val="24"/>
        </w:rPr>
        <w:t xml:space="preserve">ment as a full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and final payment in the performance of the agreement in respect of both flats. </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lastRenderedPageBreak/>
        <w:t xml:space="preserve">(9) </w:t>
      </w:r>
      <w:r>
        <w:rPr>
          <w:rFonts w:ascii="Times New Roman" w:eastAsia="Arial" w:hAnsi="Times New Roman" w:cs="Times New Roman"/>
          <w:sz w:val="24"/>
          <w:szCs w:val="24"/>
        </w:rPr>
        <w:t xml:space="preserve">The respondents refused to effect transfer of shares to the applicant claiming </w:t>
      </w:r>
      <w:r>
        <w:rPr>
          <w:rFonts w:ascii="Times New Roman" w:eastAsia="Arial" w:hAnsi="Times New Roman" w:cs="Times New Roman"/>
          <w:sz w:val="24"/>
          <w:szCs w:val="24"/>
          <w:lang w:val="en-US"/>
        </w:rPr>
        <w:tab/>
      </w:r>
      <w:r>
        <w:rPr>
          <w:rFonts w:ascii="Times New Roman" w:eastAsia="Arial" w:hAnsi="Times New Roman" w:cs="Times New Roman"/>
          <w:sz w:val="24"/>
          <w:szCs w:val="24"/>
        </w:rPr>
        <w:t>material br</w:t>
      </w:r>
      <w:r>
        <w:rPr>
          <w:rFonts w:ascii="Times New Roman" w:eastAsia="Arial" w:hAnsi="Times New Roman" w:cs="Times New Roman"/>
          <w:sz w:val="24"/>
          <w:szCs w:val="24"/>
        </w:rPr>
        <w:t xml:space="preserve">eaches of the agreement by the applicant, primarily, that the applicant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failed to pay the full purchase price for the flats; consequence of which the </w:t>
      </w:r>
      <w:r>
        <w:rPr>
          <w:rFonts w:ascii="Times New Roman" w:eastAsia="Arial" w:hAnsi="Times New Roman" w:cs="Times New Roman"/>
          <w:sz w:val="24"/>
          <w:szCs w:val="24"/>
          <w:lang w:val="en-US"/>
        </w:rPr>
        <w:tab/>
      </w:r>
      <w:r>
        <w:rPr>
          <w:rFonts w:ascii="Times New Roman" w:eastAsia="Arial" w:hAnsi="Times New Roman" w:cs="Times New Roman"/>
          <w:sz w:val="24"/>
          <w:szCs w:val="24"/>
        </w:rPr>
        <w:t>respondents said they cancelled the agreement.</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b/>
          <w:sz w:val="24"/>
          <w:szCs w:val="24"/>
          <w:u w:val="single"/>
        </w:rPr>
      </w:pPr>
      <w:r>
        <w:rPr>
          <w:rFonts w:ascii="Times New Roman" w:eastAsia="Arial" w:hAnsi="Times New Roman" w:cs="Times New Roman"/>
          <w:sz w:val="24"/>
          <w:szCs w:val="24"/>
          <w:lang w:val="en-US"/>
        </w:rPr>
        <w:t>(10)</w:t>
      </w:r>
      <w:r>
        <w:rPr>
          <w:rFonts w:ascii="Times New Roman" w:eastAsia="Arial" w:hAnsi="Times New Roman" w:cs="Times New Roman"/>
          <w:sz w:val="24"/>
          <w:szCs w:val="24"/>
        </w:rPr>
        <w:t xml:space="preserve"> Both the applicant and the respondents raised preli</w:t>
      </w:r>
      <w:r>
        <w:rPr>
          <w:rFonts w:ascii="Times New Roman" w:eastAsia="Arial" w:hAnsi="Times New Roman" w:cs="Times New Roman"/>
          <w:sz w:val="24"/>
          <w:szCs w:val="24"/>
        </w:rPr>
        <w:t xml:space="preserve">minary points which are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subject of this judgment. </w:t>
      </w:r>
    </w:p>
    <w:p w:rsidR="00357444" w:rsidRDefault="00357444">
      <w:pPr>
        <w:pStyle w:val="ListParagraph"/>
        <w:spacing w:line="360" w:lineRule="auto"/>
        <w:jc w:val="both"/>
        <w:rPr>
          <w:rFonts w:ascii="Times New Roman" w:eastAsia="Arial" w:hAnsi="Times New Roman" w:cs="Times New Roman"/>
          <w:b/>
          <w:sz w:val="24"/>
          <w:szCs w:val="24"/>
          <w:u w:val="single"/>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(11)</w:t>
      </w:r>
      <w:r>
        <w:rPr>
          <w:rFonts w:ascii="Times New Roman" w:eastAsia="Arial" w:hAnsi="Times New Roman" w:cs="Times New Roman"/>
          <w:sz w:val="24"/>
          <w:szCs w:val="24"/>
        </w:rPr>
        <w:t xml:space="preserve"> The applicant said there was no valid notice of opposition.</w:t>
      </w:r>
    </w:p>
    <w:p w:rsidR="00357444" w:rsidRDefault="00357444">
      <w:pPr>
        <w:pStyle w:val="ListParagraph"/>
        <w:spacing w:line="360" w:lineRule="auto"/>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(12)</w:t>
      </w:r>
      <w:r>
        <w:rPr>
          <w:rFonts w:ascii="Times New Roman" w:eastAsia="Arial" w:hAnsi="Times New Roman" w:cs="Times New Roman"/>
          <w:sz w:val="24"/>
          <w:szCs w:val="24"/>
        </w:rPr>
        <w:t xml:space="preserve"> The respondents said there was no valid agreement upon which the applicant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purports to found its cause of action and in any event </w:t>
      </w:r>
      <w:r>
        <w:rPr>
          <w:rFonts w:ascii="Times New Roman" w:eastAsia="Arial" w:hAnsi="Times New Roman" w:cs="Times New Roman"/>
          <w:sz w:val="24"/>
          <w:szCs w:val="24"/>
        </w:rPr>
        <w:t>the application has prescribed.</w:t>
      </w:r>
    </w:p>
    <w:p w:rsidR="00357444" w:rsidRDefault="00357444">
      <w:pPr>
        <w:pStyle w:val="ListParagraph"/>
        <w:spacing w:line="360" w:lineRule="auto"/>
        <w:jc w:val="both"/>
        <w:rPr>
          <w:rFonts w:ascii="Times New Roman" w:eastAsia="Arial" w:hAnsi="Times New Roman" w:cs="Times New Roman"/>
          <w:b/>
          <w:sz w:val="24"/>
          <w:szCs w:val="24"/>
          <w:u w:val="single"/>
        </w:rPr>
      </w:pPr>
    </w:p>
    <w:p w:rsidR="00357444" w:rsidRDefault="009857A9">
      <w:pPr>
        <w:spacing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ISSUES FOR DETERMINATION:  </w:t>
      </w:r>
    </w:p>
    <w:p w:rsidR="00357444" w:rsidRDefault="009857A9">
      <w:pPr>
        <w:pStyle w:val="ListParagraph"/>
        <w:spacing w:after="0" w:line="360" w:lineRule="auto"/>
        <w:ind w:left="0" w:firstLine="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en-US"/>
        </w:rPr>
        <w:t xml:space="preserve">(13) </w:t>
      </w:r>
      <w:r>
        <w:rPr>
          <w:rFonts w:ascii="Times New Roman" w:eastAsia="Arial" w:hAnsi="Times New Roman" w:cs="Times New Roman"/>
          <w:color w:val="000000"/>
          <w:sz w:val="24"/>
          <w:szCs w:val="24"/>
        </w:rPr>
        <w:t>Whether or not the agreement between the parties is valid.</w:t>
      </w:r>
    </w:p>
    <w:p w:rsidR="00357444" w:rsidRDefault="009857A9">
      <w:pPr>
        <w:spacing w:after="0" w:line="360" w:lineRule="auto"/>
        <w:ind w:firstLine="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en-US"/>
        </w:rPr>
        <w:t>(14)</w:t>
      </w:r>
      <w:r>
        <w:rPr>
          <w:rFonts w:ascii="Times New Roman" w:eastAsia="Arial" w:hAnsi="Times New Roman" w:cs="Times New Roman"/>
          <w:color w:val="000000"/>
          <w:sz w:val="24"/>
          <w:szCs w:val="24"/>
        </w:rPr>
        <w:t xml:space="preserve">Whether or not the claim has prescribed. </w:t>
      </w:r>
    </w:p>
    <w:p w:rsidR="00357444" w:rsidRDefault="009857A9">
      <w:pPr>
        <w:spacing w:after="0" w:line="360" w:lineRule="auto"/>
        <w:ind w:firstLine="720"/>
        <w:jc w:val="both"/>
        <w:rPr>
          <w:rFonts w:ascii="Times New Roman" w:eastAsia="Arial" w:hAnsi="Times New Roman" w:cs="Times New Roman"/>
          <w:color w:val="000000"/>
          <w:sz w:val="24"/>
          <w:szCs w:val="24"/>
        </w:rPr>
      </w:pPr>
      <w:r>
        <w:rPr>
          <w:rFonts w:ascii="Times New Roman" w:eastAsia="Arial" w:hAnsi="Times New Roman" w:cs="Times New Roman"/>
          <w:sz w:val="24"/>
          <w:szCs w:val="24"/>
          <w:lang w:val="en-US"/>
        </w:rPr>
        <w:t>(15)</w:t>
      </w:r>
      <w:r>
        <w:rPr>
          <w:rFonts w:ascii="Times New Roman" w:eastAsia="Arial" w:hAnsi="Times New Roman" w:cs="Times New Roman"/>
          <w:sz w:val="24"/>
          <w:szCs w:val="24"/>
        </w:rPr>
        <w:t xml:space="preserve">Whether or not </w:t>
      </w:r>
      <w:r>
        <w:rPr>
          <w:rFonts w:ascii="Times New Roman" w:eastAsia="Arial" w:hAnsi="Times New Roman" w:cs="Times New Roman"/>
          <w:color w:val="000000"/>
          <w:sz w:val="24"/>
          <w:szCs w:val="24"/>
        </w:rPr>
        <w:t>there is valid opposition.</w:t>
      </w:r>
    </w:p>
    <w:p w:rsidR="00357444" w:rsidRDefault="00357444">
      <w:pPr>
        <w:spacing w:after="0" w:line="360" w:lineRule="auto"/>
        <w:jc w:val="both"/>
        <w:rPr>
          <w:rFonts w:ascii="Times New Roman" w:eastAsia="Arial" w:hAnsi="Times New Roman" w:cs="Times New Roman"/>
          <w:color w:val="000000"/>
          <w:sz w:val="24"/>
          <w:szCs w:val="24"/>
        </w:rPr>
      </w:pPr>
    </w:p>
    <w:p w:rsidR="00357444" w:rsidRDefault="009857A9">
      <w:pPr>
        <w:spacing w:after="0" w:line="360" w:lineRule="auto"/>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WHETHER OR NOT THE AGREEMENT BETWEEN T</w:t>
      </w:r>
      <w:r>
        <w:rPr>
          <w:rFonts w:ascii="Times New Roman" w:eastAsia="Arial" w:hAnsi="Times New Roman" w:cs="Times New Roman"/>
          <w:b/>
          <w:bCs/>
          <w:color w:val="000000"/>
          <w:sz w:val="24"/>
          <w:szCs w:val="24"/>
        </w:rPr>
        <w:t>HE PARTIES IS VALID.</w:t>
      </w: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color w:val="000000" w:themeColor="text1"/>
          <w:sz w:val="24"/>
          <w:szCs w:val="24"/>
          <w:lang w:val="en-US"/>
        </w:rPr>
        <w:t>(16)</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This point was raised for the first time in the heads of argument by the </w:t>
      </w:r>
      <w:r>
        <w:rPr>
          <w:rFonts w:ascii="Times New Roman" w:hAnsi="Times New Roman" w:cs="Times New Roman"/>
          <w:sz w:val="24"/>
          <w:szCs w:val="24"/>
          <w:lang w:val="en-US"/>
        </w:rPr>
        <w:tab/>
      </w:r>
      <w:r>
        <w:rPr>
          <w:rFonts w:ascii="Times New Roman" w:hAnsi="Times New Roman" w:cs="Times New Roman"/>
          <w:sz w:val="24"/>
          <w:szCs w:val="24"/>
        </w:rPr>
        <w:t xml:space="preserve">respondents. There is no explanation why it was not raised earlier in the pleadings so </w:t>
      </w:r>
      <w:r>
        <w:rPr>
          <w:rFonts w:ascii="Times New Roman" w:hAnsi="Times New Roman" w:cs="Times New Roman"/>
          <w:sz w:val="24"/>
          <w:szCs w:val="24"/>
          <w:lang w:val="en-US"/>
        </w:rPr>
        <w:tab/>
      </w:r>
      <w:r>
        <w:rPr>
          <w:rFonts w:ascii="Times New Roman" w:hAnsi="Times New Roman" w:cs="Times New Roman"/>
          <w:sz w:val="24"/>
          <w:szCs w:val="24"/>
        </w:rPr>
        <w:t xml:space="preserve">as to allow the applicant the opportunity to respond in the answering affidavit and </w:t>
      </w:r>
      <w:r>
        <w:rPr>
          <w:rFonts w:ascii="Times New Roman" w:hAnsi="Times New Roman" w:cs="Times New Roman"/>
          <w:sz w:val="24"/>
          <w:szCs w:val="24"/>
          <w:lang w:val="en-US"/>
        </w:rPr>
        <w:tab/>
      </w:r>
      <w:r>
        <w:rPr>
          <w:rFonts w:ascii="Times New Roman" w:hAnsi="Times New Roman" w:cs="Times New Roman"/>
          <w:sz w:val="24"/>
          <w:szCs w:val="24"/>
        </w:rPr>
        <w:t xml:space="preserve">written heads thereby dispensing with the need for the applicant to file supplementary </w:t>
      </w:r>
      <w:r>
        <w:rPr>
          <w:rFonts w:ascii="Times New Roman" w:hAnsi="Times New Roman" w:cs="Times New Roman"/>
          <w:sz w:val="24"/>
          <w:szCs w:val="24"/>
          <w:lang w:val="en-US"/>
        </w:rPr>
        <w:tab/>
      </w:r>
      <w:r>
        <w:rPr>
          <w:rFonts w:ascii="Times New Roman" w:hAnsi="Times New Roman" w:cs="Times New Roman"/>
          <w:sz w:val="24"/>
          <w:szCs w:val="24"/>
        </w:rPr>
        <w:t>heads on the point.</w:t>
      </w:r>
    </w:p>
    <w:p w:rsidR="00357444" w:rsidRDefault="00357444">
      <w:pPr>
        <w:pStyle w:val="ListParagraph"/>
        <w:spacing w:line="360" w:lineRule="auto"/>
        <w:ind w:left="643"/>
        <w:jc w:val="both"/>
        <w:rPr>
          <w:rFonts w:ascii="Times New Roman" w:hAnsi="Times New Roman" w:cs="Times New Roman"/>
          <w:sz w:val="24"/>
          <w:szCs w:val="24"/>
        </w:rPr>
      </w:pP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color w:val="000000" w:themeColor="text1"/>
          <w:sz w:val="24"/>
          <w:szCs w:val="24"/>
          <w:lang w:val="en-US"/>
        </w:rPr>
        <w:t>(17)</w:t>
      </w:r>
      <w:r>
        <w:rPr>
          <w:rFonts w:ascii="Times New Roman" w:hAnsi="Times New Roman" w:cs="Times New Roman"/>
          <w:color w:val="FF0000"/>
          <w:sz w:val="24"/>
          <w:szCs w:val="24"/>
        </w:rPr>
        <w:t xml:space="preserve"> </w:t>
      </w:r>
      <w:r>
        <w:rPr>
          <w:rFonts w:ascii="Times New Roman" w:hAnsi="Times New Roman" w:cs="Times New Roman"/>
          <w:sz w:val="24"/>
          <w:szCs w:val="24"/>
        </w:rPr>
        <w:t>The</w:t>
      </w:r>
      <w:r>
        <w:rPr>
          <w:rFonts w:ascii="Times New Roman" w:hAnsi="Times New Roman" w:cs="Times New Roman"/>
          <w:color w:val="FF0000"/>
          <w:sz w:val="24"/>
          <w:szCs w:val="24"/>
        </w:rPr>
        <w:t xml:space="preserve"> </w:t>
      </w:r>
      <w:r>
        <w:rPr>
          <w:rFonts w:ascii="Times New Roman" w:hAnsi="Times New Roman" w:cs="Times New Roman"/>
          <w:sz w:val="24"/>
          <w:szCs w:val="24"/>
        </w:rPr>
        <w:t>respondents argued that the agreement sought to be en</w:t>
      </w:r>
      <w:r>
        <w:rPr>
          <w:rFonts w:ascii="Times New Roman" w:hAnsi="Times New Roman" w:cs="Times New Roman"/>
          <w:sz w:val="24"/>
          <w:szCs w:val="24"/>
        </w:rPr>
        <w:t xml:space="preserve">forced is actually </w:t>
      </w:r>
      <w:r>
        <w:rPr>
          <w:rFonts w:ascii="Times New Roman" w:hAnsi="Times New Roman" w:cs="Times New Roman"/>
          <w:sz w:val="24"/>
          <w:szCs w:val="24"/>
          <w:lang w:val="en-US"/>
        </w:rPr>
        <w:tab/>
      </w:r>
      <w:r>
        <w:rPr>
          <w:rFonts w:ascii="Times New Roman" w:hAnsi="Times New Roman" w:cs="Times New Roman"/>
          <w:sz w:val="24"/>
          <w:szCs w:val="24"/>
        </w:rPr>
        <w:t xml:space="preserve">invalid and non-existent. This is because at common law a trust is not a person, rather, </w:t>
      </w:r>
      <w:r>
        <w:rPr>
          <w:rFonts w:ascii="Times New Roman" w:hAnsi="Times New Roman" w:cs="Times New Roman"/>
          <w:sz w:val="24"/>
          <w:szCs w:val="24"/>
          <w:lang w:val="en-US"/>
        </w:rPr>
        <w:tab/>
      </w:r>
      <w:r>
        <w:rPr>
          <w:rFonts w:ascii="Times New Roman" w:hAnsi="Times New Roman" w:cs="Times New Roman"/>
          <w:sz w:val="24"/>
          <w:szCs w:val="24"/>
        </w:rPr>
        <w:t xml:space="preserve">a trust is simply an aggregate of assets and liabilities and it, not being a person, has no </w:t>
      </w:r>
      <w:r>
        <w:rPr>
          <w:rFonts w:ascii="Times New Roman" w:hAnsi="Times New Roman" w:cs="Times New Roman"/>
          <w:sz w:val="24"/>
          <w:szCs w:val="24"/>
          <w:lang w:val="en-US"/>
        </w:rPr>
        <w:tab/>
      </w:r>
      <w:r>
        <w:rPr>
          <w:rFonts w:ascii="Times New Roman" w:hAnsi="Times New Roman" w:cs="Times New Roman"/>
          <w:sz w:val="24"/>
          <w:szCs w:val="24"/>
        </w:rPr>
        <w:t>contractual capacity, which is rather vested in the t</w:t>
      </w:r>
      <w:r>
        <w:rPr>
          <w:rFonts w:ascii="Times New Roman" w:hAnsi="Times New Roman" w:cs="Times New Roman"/>
          <w:sz w:val="24"/>
          <w:szCs w:val="24"/>
        </w:rPr>
        <w:t xml:space="preserve">rustees. The respondents relied on </w:t>
      </w:r>
      <w:r>
        <w:rPr>
          <w:rFonts w:ascii="Times New Roman" w:hAnsi="Times New Roman" w:cs="Times New Roman"/>
          <w:sz w:val="24"/>
          <w:szCs w:val="24"/>
          <w:lang w:val="en-US"/>
        </w:rPr>
        <w:tab/>
      </w:r>
      <w:r>
        <w:rPr>
          <w:rFonts w:ascii="Times New Roman" w:hAnsi="Times New Roman" w:cs="Times New Roman"/>
          <w:sz w:val="24"/>
          <w:szCs w:val="24"/>
        </w:rPr>
        <w:t xml:space="preserve">the authorities of – </w:t>
      </w:r>
      <w:r>
        <w:rPr>
          <w:rFonts w:ascii="Times New Roman" w:hAnsi="Times New Roman" w:cs="Times New Roman"/>
          <w:i/>
          <w:iCs/>
          <w:sz w:val="24"/>
          <w:szCs w:val="24"/>
        </w:rPr>
        <w:t xml:space="preserve">Crundal Brothers </w:t>
      </w:r>
      <w:r>
        <w:rPr>
          <w:rFonts w:ascii="Times New Roman" w:hAnsi="Times New Roman" w:cs="Times New Roman"/>
          <w:sz w:val="24"/>
          <w:szCs w:val="24"/>
        </w:rPr>
        <w:t>v</w:t>
      </w:r>
      <w:r>
        <w:rPr>
          <w:rFonts w:ascii="Times New Roman" w:hAnsi="Times New Roman" w:cs="Times New Roman"/>
          <w:i/>
          <w:iCs/>
          <w:sz w:val="24"/>
          <w:szCs w:val="24"/>
        </w:rPr>
        <w:t xml:space="preserve"> Lazarus</w:t>
      </w:r>
      <w:r>
        <w:rPr>
          <w:rFonts w:ascii="Times New Roman" w:hAnsi="Times New Roman" w:cs="Times New Roman"/>
          <w:sz w:val="24"/>
          <w:szCs w:val="24"/>
        </w:rPr>
        <w:t xml:space="preserve"> 1990 (2) ZLR 290 (S) at 298B; </w:t>
      </w:r>
      <w:r>
        <w:rPr>
          <w:rFonts w:ascii="Times New Roman" w:hAnsi="Times New Roman" w:cs="Times New Roman"/>
          <w:sz w:val="24"/>
          <w:szCs w:val="24"/>
          <w:lang w:val="en-US"/>
        </w:rPr>
        <w:tab/>
      </w:r>
      <w:r>
        <w:rPr>
          <w:rFonts w:ascii="Times New Roman" w:hAnsi="Times New Roman" w:cs="Times New Roman"/>
          <w:i/>
          <w:iCs/>
          <w:sz w:val="24"/>
          <w:szCs w:val="24"/>
        </w:rPr>
        <w:t>Musem</w:t>
      </w:r>
      <w:r>
        <w:rPr>
          <w:rFonts w:ascii="Times New Roman" w:hAnsi="Times New Roman" w:cs="Times New Roman"/>
          <w:i/>
          <w:iCs/>
          <w:sz w:val="24"/>
          <w:szCs w:val="24"/>
          <w:lang w:val="en-US"/>
        </w:rPr>
        <w:t>wa</w:t>
      </w:r>
      <w:r>
        <w:rPr>
          <w:rFonts w:ascii="Times New Roman" w:hAnsi="Times New Roman" w:cs="Times New Roman"/>
          <w:i/>
          <w:iCs/>
          <w:sz w:val="24"/>
          <w:szCs w:val="24"/>
        </w:rPr>
        <w:t xml:space="preserve"> &amp; Ors </w:t>
      </w:r>
      <w:r>
        <w:rPr>
          <w:rFonts w:ascii="Times New Roman" w:hAnsi="Times New Roman" w:cs="Times New Roman"/>
          <w:sz w:val="24"/>
          <w:szCs w:val="24"/>
        </w:rPr>
        <w:t>v</w:t>
      </w:r>
      <w:r>
        <w:rPr>
          <w:rFonts w:ascii="Times New Roman" w:hAnsi="Times New Roman" w:cs="Times New Roman"/>
          <w:i/>
          <w:iCs/>
          <w:sz w:val="24"/>
          <w:szCs w:val="24"/>
        </w:rPr>
        <w:t xml:space="preserve"> Estate Late Tapombwa &amp; Pondent &amp; Others </w:t>
      </w:r>
      <w:r>
        <w:rPr>
          <w:rFonts w:ascii="Times New Roman" w:hAnsi="Times New Roman" w:cs="Times New Roman"/>
          <w:sz w:val="24"/>
          <w:szCs w:val="24"/>
        </w:rPr>
        <w:t xml:space="preserve">HH-136-16; </w:t>
      </w:r>
      <w:r>
        <w:rPr>
          <w:rFonts w:ascii="Times New Roman" w:hAnsi="Times New Roman" w:cs="Times New Roman"/>
          <w:i/>
          <w:iCs/>
          <w:sz w:val="24"/>
          <w:szCs w:val="24"/>
        </w:rPr>
        <w:t xml:space="preserve">Gold </w:t>
      </w:r>
      <w:r>
        <w:rPr>
          <w:rFonts w:ascii="Times New Roman" w:hAnsi="Times New Roman" w:cs="Times New Roman"/>
          <w:i/>
          <w:iCs/>
          <w:sz w:val="24"/>
          <w:szCs w:val="24"/>
          <w:lang w:val="en-US"/>
        </w:rPr>
        <w:lastRenderedPageBreak/>
        <w:tab/>
      </w:r>
      <w:r>
        <w:rPr>
          <w:rFonts w:ascii="Times New Roman" w:hAnsi="Times New Roman" w:cs="Times New Roman"/>
          <w:i/>
          <w:iCs/>
          <w:sz w:val="24"/>
          <w:szCs w:val="24"/>
        </w:rPr>
        <w:t xml:space="preserve">Mining and Minerals Development Trust </w:t>
      </w:r>
      <w:r>
        <w:rPr>
          <w:rFonts w:ascii="Times New Roman" w:hAnsi="Times New Roman" w:cs="Times New Roman"/>
          <w:sz w:val="24"/>
          <w:szCs w:val="24"/>
        </w:rPr>
        <w:t xml:space="preserve">v </w:t>
      </w:r>
      <w:r>
        <w:rPr>
          <w:rFonts w:ascii="Times New Roman" w:hAnsi="Times New Roman" w:cs="Times New Roman"/>
          <w:i/>
          <w:iCs/>
          <w:sz w:val="24"/>
          <w:szCs w:val="24"/>
        </w:rPr>
        <w:t>Zimbabwe Miners Federation</w:t>
      </w:r>
      <w:r>
        <w:rPr>
          <w:rFonts w:ascii="Times New Roman" w:hAnsi="Times New Roman" w:cs="Times New Roman"/>
          <w:sz w:val="24"/>
          <w:szCs w:val="24"/>
        </w:rPr>
        <w:t xml:space="preserve"> HH-24-06</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and</w:t>
      </w:r>
      <w:r>
        <w:rPr>
          <w:rFonts w:ascii="Times New Roman" w:hAnsi="Times New Roman" w:cs="Times New Roman"/>
          <w:sz w:val="24"/>
          <w:szCs w:val="24"/>
        </w:rPr>
        <w:t xml:space="preserve"> </w:t>
      </w:r>
      <w:r>
        <w:rPr>
          <w:rFonts w:ascii="Times New Roman" w:hAnsi="Times New Roman" w:cs="Times New Roman"/>
          <w:i/>
          <w:iCs/>
          <w:sz w:val="24"/>
          <w:szCs w:val="24"/>
        </w:rPr>
        <w:t xml:space="preserve">Greenberg </w:t>
      </w:r>
      <w:r>
        <w:rPr>
          <w:rFonts w:ascii="Times New Roman" w:hAnsi="Times New Roman" w:cs="Times New Roman"/>
          <w:sz w:val="24"/>
          <w:szCs w:val="24"/>
        </w:rPr>
        <w:t>v</w:t>
      </w:r>
      <w:r>
        <w:rPr>
          <w:rFonts w:ascii="Times New Roman" w:hAnsi="Times New Roman" w:cs="Times New Roman"/>
          <w:i/>
          <w:iCs/>
          <w:sz w:val="24"/>
          <w:szCs w:val="24"/>
        </w:rPr>
        <w:t xml:space="preserve"> Greenberg's Estate</w:t>
      </w:r>
      <w:r>
        <w:rPr>
          <w:rFonts w:ascii="Times New Roman" w:hAnsi="Times New Roman" w:cs="Times New Roman"/>
          <w:sz w:val="24"/>
          <w:szCs w:val="24"/>
        </w:rPr>
        <w:t xml:space="preserve"> 1955 (3) SA 361 (AD). </w:t>
      </w:r>
    </w:p>
    <w:p w:rsidR="00357444" w:rsidRDefault="00357444">
      <w:pPr>
        <w:pStyle w:val="ListParagraph"/>
        <w:spacing w:line="360" w:lineRule="auto"/>
        <w:jc w:val="both"/>
        <w:rPr>
          <w:rFonts w:ascii="Times New Roman" w:hAnsi="Times New Roman" w:cs="Times New Roman"/>
          <w:sz w:val="24"/>
          <w:szCs w:val="24"/>
        </w:rPr>
      </w:pP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(18) </w:t>
      </w:r>
      <w:r>
        <w:rPr>
          <w:rFonts w:ascii="Times New Roman" w:hAnsi="Times New Roman" w:cs="Times New Roman"/>
          <w:sz w:val="24"/>
          <w:szCs w:val="24"/>
        </w:rPr>
        <w:t xml:space="preserve">The respondents further argued that the principle derived from case law is that, a </w:t>
      </w:r>
      <w:r>
        <w:rPr>
          <w:rFonts w:ascii="Times New Roman" w:hAnsi="Times New Roman" w:cs="Times New Roman"/>
          <w:sz w:val="24"/>
          <w:szCs w:val="24"/>
          <w:lang w:val="en-US"/>
        </w:rPr>
        <w:tab/>
      </w:r>
      <w:r>
        <w:rPr>
          <w:rFonts w:ascii="Times New Roman" w:hAnsi="Times New Roman" w:cs="Times New Roman"/>
          <w:sz w:val="24"/>
          <w:szCs w:val="24"/>
        </w:rPr>
        <w:t xml:space="preserve">trust cannot in its own name and stead be a party to a contract or acquire rights or </w:t>
      </w:r>
      <w:r>
        <w:rPr>
          <w:rFonts w:ascii="Times New Roman" w:hAnsi="Times New Roman" w:cs="Times New Roman"/>
          <w:sz w:val="24"/>
          <w:szCs w:val="24"/>
          <w:lang w:val="en-US"/>
        </w:rPr>
        <w:tab/>
      </w:r>
      <w:r>
        <w:rPr>
          <w:rFonts w:ascii="Times New Roman" w:hAnsi="Times New Roman" w:cs="Times New Roman"/>
          <w:sz w:val="24"/>
          <w:szCs w:val="24"/>
        </w:rPr>
        <w:t>obligations</w:t>
      </w:r>
      <w:r>
        <w:rPr>
          <w:rFonts w:ascii="Times New Roman" w:hAnsi="Times New Roman" w:cs="Times New Roman"/>
          <w:sz w:val="24"/>
          <w:szCs w:val="24"/>
        </w:rPr>
        <w:t xml:space="preserve"> enforceable at law and has no legal personality or capacity to contract. </w:t>
      </w:r>
      <w:r>
        <w:rPr>
          <w:rFonts w:ascii="Times New Roman" w:hAnsi="Times New Roman" w:cs="Times New Roman"/>
          <w:sz w:val="24"/>
          <w:szCs w:val="24"/>
          <w:lang w:val="en-US"/>
        </w:rPr>
        <w:tab/>
      </w:r>
      <w:r>
        <w:rPr>
          <w:rFonts w:ascii="Times New Roman" w:hAnsi="Times New Roman" w:cs="Times New Roman"/>
          <w:sz w:val="24"/>
          <w:szCs w:val="24"/>
        </w:rPr>
        <w:t xml:space="preserve">The court’s attention was drawn to </w:t>
      </w:r>
      <w:r>
        <w:rPr>
          <w:rFonts w:ascii="Times New Roman" w:hAnsi="Times New Roman" w:cs="Times New Roman"/>
          <w:i/>
          <w:iCs/>
          <w:sz w:val="24"/>
          <w:szCs w:val="24"/>
        </w:rPr>
        <w:t>Trustees of The Mukono Family Trust &amp; Anor</w:t>
      </w:r>
      <w:r>
        <w:rPr>
          <w:rFonts w:ascii="Times New Roman" w:hAnsi="Times New Roman" w:cs="Times New Roman"/>
          <w:sz w:val="24"/>
          <w:szCs w:val="24"/>
        </w:rPr>
        <w:t xml:space="preserve"> v </w:t>
      </w:r>
      <w:r>
        <w:rPr>
          <w:rFonts w:ascii="Times New Roman" w:hAnsi="Times New Roman" w:cs="Times New Roman"/>
          <w:sz w:val="24"/>
          <w:szCs w:val="24"/>
          <w:lang w:val="en-US"/>
        </w:rPr>
        <w:tab/>
      </w:r>
      <w:r>
        <w:rPr>
          <w:rFonts w:ascii="Times New Roman" w:hAnsi="Times New Roman" w:cs="Times New Roman"/>
          <w:i/>
          <w:iCs/>
          <w:sz w:val="24"/>
          <w:szCs w:val="24"/>
        </w:rPr>
        <w:t>Karpe</w:t>
      </w:r>
      <w:r>
        <w:rPr>
          <w:rFonts w:ascii="Times New Roman" w:hAnsi="Times New Roman" w:cs="Times New Roman"/>
          <w:i/>
          <w:iCs/>
          <w:sz w:val="24"/>
          <w:szCs w:val="24"/>
          <w:lang w:val="en-US"/>
        </w:rPr>
        <w:t>g</w:t>
      </w:r>
      <w:r>
        <w:rPr>
          <w:rFonts w:ascii="Times New Roman" w:hAnsi="Times New Roman" w:cs="Times New Roman"/>
          <w:i/>
          <w:iCs/>
          <w:sz w:val="24"/>
          <w:szCs w:val="24"/>
        </w:rPr>
        <w:t xml:space="preserve"> Investments (P</w:t>
      </w:r>
      <w:r>
        <w:rPr>
          <w:rFonts w:ascii="Times New Roman" w:hAnsi="Times New Roman" w:cs="Times New Roman"/>
          <w:i/>
          <w:iCs/>
          <w:sz w:val="24"/>
          <w:szCs w:val="24"/>
          <w:lang w:val="en-US"/>
        </w:rPr>
        <w:t>ri</w:t>
      </w:r>
      <w:r>
        <w:rPr>
          <w:rFonts w:ascii="Times New Roman" w:hAnsi="Times New Roman" w:cs="Times New Roman"/>
          <w:i/>
          <w:iCs/>
          <w:sz w:val="24"/>
          <w:szCs w:val="24"/>
        </w:rPr>
        <w:t>v</w:t>
      </w:r>
      <w:r>
        <w:rPr>
          <w:rFonts w:ascii="Times New Roman" w:hAnsi="Times New Roman" w:cs="Times New Roman"/>
          <w:i/>
          <w:iCs/>
          <w:sz w:val="24"/>
          <w:szCs w:val="24"/>
          <w:lang w:val="en-US"/>
        </w:rPr>
        <w:t>a</w:t>
      </w:r>
      <w:r>
        <w:rPr>
          <w:rFonts w:ascii="Times New Roman" w:hAnsi="Times New Roman" w:cs="Times New Roman"/>
          <w:i/>
          <w:iCs/>
          <w:sz w:val="24"/>
          <w:szCs w:val="24"/>
        </w:rPr>
        <w:t>t</w:t>
      </w:r>
      <w:r>
        <w:rPr>
          <w:rFonts w:ascii="Times New Roman" w:hAnsi="Times New Roman" w:cs="Times New Roman"/>
          <w:i/>
          <w:iCs/>
          <w:sz w:val="24"/>
          <w:szCs w:val="24"/>
          <w:lang w:val="en-US"/>
        </w:rPr>
        <w:t>e</w:t>
      </w:r>
      <w:r>
        <w:rPr>
          <w:rFonts w:ascii="Times New Roman" w:hAnsi="Times New Roman" w:cs="Times New Roman"/>
          <w:i/>
          <w:iCs/>
          <w:sz w:val="24"/>
          <w:szCs w:val="24"/>
        </w:rPr>
        <w:t>) L</w:t>
      </w:r>
      <w:r>
        <w:rPr>
          <w:rFonts w:ascii="Times New Roman" w:hAnsi="Times New Roman" w:cs="Times New Roman"/>
          <w:i/>
          <w:iCs/>
          <w:sz w:val="24"/>
          <w:szCs w:val="24"/>
          <w:lang w:val="en-US"/>
        </w:rPr>
        <w:t>imi</w:t>
      </w:r>
      <w:r>
        <w:rPr>
          <w:rFonts w:ascii="Times New Roman" w:hAnsi="Times New Roman" w:cs="Times New Roman"/>
          <w:i/>
          <w:iCs/>
          <w:sz w:val="24"/>
          <w:szCs w:val="24"/>
        </w:rPr>
        <w:t>t</w:t>
      </w:r>
      <w:r>
        <w:rPr>
          <w:rFonts w:ascii="Times New Roman" w:hAnsi="Times New Roman" w:cs="Times New Roman"/>
          <w:i/>
          <w:iCs/>
          <w:sz w:val="24"/>
          <w:szCs w:val="24"/>
          <w:lang w:val="en-US"/>
        </w:rPr>
        <w:t>e</w:t>
      </w:r>
      <w:r>
        <w:rPr>
          <w:rFonts w:ascii="Times New Roman" w:hAnsi="Times New Roman" w:cs="Times New Roman"/>
          <w:i/>
          <w:iCs/>
          <w:sz w:val="24"/>
          <w:szCs w:val="24"/>
        </w:rPr>
        <w:t>d</w:t>
      </w:r>
      <w:r>
        <w:rPr>
          <w:rFonts w:ascii="Times New Roman" w:hAnsi="Times New Roman" w:cs="Times New Roman"/>
          <w:sz w:val="24"/>
          <w:szCs w:val="24"/>
        </w:rPr>
        <w:t xml:space="preserve"> </w:t>
      </w:r>
      <w:r>
        <w:rPr>
          <w:rFonts w:ascii="Times New Roman" w:hAnsi="Times New Roman" w:cs="Times New Roman"/>
          <w:i/>
          <w:iCs/>
          <w:sz w:val="24"/>
          <w:szCs w:val="24"/>
        </w:rPr>
        <w:t>T/A Kadir &amp; Sons &amp; Ors</w:t>
      </w:r>
      <w:r>
        <w:rPr>
          <w:rFonts w:ascii="Times New Roman" w:hAnsi="Times New Roman" w:cs="Times New Roman"/>
          <w:sz w:val="24"/>
          <w:szCs w:val="24"/>
        </w:rPr>
        <w:t xml:space="preserve"> HH 30-18 (upheld in </w:t>
      </w:r>
      <w:r>
        <w:rPr>
          <w:rFonts w:ascii="Times New Roman" w:hAnsi="Times New Roman" w:cs="Times New Roman"/>
          <w:sz w:val="24"/>
          <w:szCs w:val="24"/>
          <w:lang w:val="en-US"/>
        </w:rPr>
        <w:tab/>
      </w:r>
      <w:r>
        <w:rPr>
          <w:rFonts w:ascii="Times New Roman" w:hAnsi="Times New Roman" w:cs="Times New Roman"/>
          <w:sz w:val="24"/>
          <w:szCs w:val="24"/>
        </w:rPr>
        <w:t>Trustees of the Muk</w:t>
      </w:r>
      <w:r>
        <w:rPr>
          <w:rFonts w:ascii="Times New Roman" w:hAnsi="Times New Roman" w:cs="Times New Roman"/>
          <w:sz w:val="24"/>
          <w:szCs w:val="24"/>
        </w:rPr>
        <w:t xml:space="preserve">ono Family Trust </w:t>
      </w:r>
      <w:r>
        <w:rPr>
          <w:rFonts w:ascii="Times New Roman" w:hAnsi="Times New Roman" w:cs="Times New Roman"/>
          <w:i/>
          <w:iCs/>
          <w:sz w:val="24"/>
          <w:szCs w:val="24"/>
        </w:rPr>
        <w:t>&amp; Anor</w:t>
      </w:r>
      <w:r>
        <w:rPr>
          <w:rFonts w:ascii="Times New Roman" w:hAnsi="Times New Roman" w:cs="Times New Roman"/>
          <w:sz w:val="24"/>
          <w:szCs w:val="24"/>
        </w:rPr>
        <w:t xml:space="preserve"> v </w:t>
      </w:r>
      <w:r>
        <w:rPr>
          <w:rFonts w:ascii="Times New Roman" w:hAnsi="Times New Roman" w:cs="Times New Roman"/>
          <w:i/>
          <w:iCs/>
          <w:sz w:val="24"/>
          <w:szCs w:val="24"/>
        </w:rPr>
        <w:t>Karpeg Investments</w:t>
      </w:r>
      <w:r>
        <w:rPr>
          <w:rFonts w:ascii="Times New Roman" w:hAnsi="Times New Roman" w:cs="Times New Roman"/>
          <w:sz w:val="24"/>
          <w:szCs w:val="24"/>
        </w:rPr>
        <w:t xml:space="preserve"> </w:t>
      </w:r>
      <w:r>
        <w:rPr>
          <w:rFonts w:ascii="Times New Roman" w:hAnsi="Times New Roman" w:cs="Times New Roman"/>
          <w:i/>
          <w:iCs/>
          <w:sz w:val="24"/>
          <w:szCs w:val="24"/>
        </w:rPr>
        <w:t>(P</w:t>
      </w:r>
      <w:r>
        <w:rPr>
          <w:rFonts w:ascii="Times New Roman" w:hAnsi="Times New Roman" w:cs="Times New Roman"/>
          <w:i/>
          <w:iCs/>
          <w:sz w:val="24"/>
          <w:szCs w:val="24"/>
          <w:lang w:val="en-US"/>
        </w:rPr>
        <w:t>ri</w:t>
      </w:r>
      <w:r>
        <w:rPr>
          <w:rFonts w:ascii="Times New Roman" w:hAnsi="Times New Roman" w:cs="Times New Roman"/>
          <w:i/>
          <w:iCs/>
          <w:sz w:val="24"/>
          <w:szCs w:val="24"/>
        </w:rPr>
        <w:t>v</w:t>
      </w:r>
      <w:r>
        <w:rPr>
          <w:rFonts w:ascii="Times New Roman" w:hAnsi="Times New Roman" w:cs="Times New Roman"/>
          <w:i/>
          <w:iCs/>
          <w:sz w:val="24"/>
          <w:szCs w:val="24"/>
          <w:lang w:val="en-US"/>
        </w:rPr>
        <w:t>a</w:t>
      </w:r>
      <w:r>
        <w:rPr>
          <w:rFonts w:ascii="Times New Roman" w:hAnsi="Times New Roman" w:cs="Times New Roman"/>
          <w:i/>
          <w:iCs/>
          <w:sz w:val="24"/>
          <w:szCs w:val="24"/>
        </w:rPr>
        <w:t>t</w:t>
      </w:r>
      <w:r>
        <w:rPr>
          <w:rFonts w:ascii="Times New Roman" w:hAnsi="Times New Roman" w:cs="Times New Roman"/>
          <w:i/>
          <w:iCs/>
          <w:sz w:val="24"/>
          <w:szCs w:val="24"/>
          <w:lang w:val="en-US"/>
        </w:rPr>
        <w:t>e</w:t>
      </w:r>
      <w:r>
        <w:rPr>
          <w:rFonts w:ascii="Times New Roman" w:hAnsi="Times New Roman" w:cs="Times New Roman"/>
          <w:i/>
          <w:iCs/>
          <w:sz w:val="24"/>
          <w:szCs w:val="24"/>
        </w:rPr>
        <w:t>) L</w:t>
      </w:r>
      <w:r>
        <w:rPr>
          <w:rFonts w:ascii="Times New Roman" w:hAnsi="Times New Roman" w:cs="Times New Roman"/>
          <w:i/>
          <w:iCs/>
          <w:sz w:val="24"/>
          <w:szCs w:val="24"/>
          <w:lang w:val="en-US"/>
        </w:rPr>
        <w:t>imi</w:t>
      </w:r>
      <w:r>
        <w:rPr>
          <w:rFonts w:ascii="Times New Roman" w:hAnsi="Times New Roman" w:cs="Times New Roman"/>
          <w:i/>
          <w:iCs/>
          <w:sz w:val="24"/>
          <w:szCs w:val="24"/>
        </w:rPr>
        <w:t>t</w:t>
      </w:r>
      <w:r>
        <w:rPr>
          <w:rFonts w:ascii="Times New Roman" w:hAnsi="Times New Roman" w:cs="Times New Roman"/>
          <w:i/>
          <w:iCs/>
          <w:sz w:val="24"/>
          <w:szCs w:val="24"/>
          <w:lang w:val="en-US"/>
        </w:rPr>
        <w:t>e</w:t>
      </w:r>
      <w:r>
        <w:rPr>
          <w:rFonts w:ascii="Times New Roman" w:hAnsi="Times New Roman" w:cs="Times New Roman"/>
          <w:i/>
          <w:iCs/>
          <w:sz w:val="24"/>
          <w:szCs w:val="24"/>
        </w:rPr>
        <w:t>d</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i/>
          <w:iCs/>
          <w:sz w:val="24"/>
          <w:szCs w:val="24"/>
        </w:rPr>
        <w:t>&amp; Ors</w:t>
      </w:r>
      <w:r>
        <w:rPr>
          <w:rFonts w:ascii="Times New Roman" w:hAnsi="Times New Roman" w:cs="Times New Roman"/>
          <w:sz w:val="24"/>
          <w:szCs w:val="24"/>
        </w:rPr>
        <w:t xml:space="preserve"> SC-45-21) where the court stated: </w:t>
      </w:r>
    </w:p>
    <w:p w:rsidR="00357444" w:rsidRDefault="009857A9">
      <w:pPr>
        <w:pStyle w:val="ListParagraph"/>
        <w:spacing w:line="240" w:lineRule="auto"/>
        <w:ind w:firstLine="720"/>
        <w:jc w:val="both"/>
        <w:rPr>
          <w:rFonts w:ascii="Times New Roman" w:hAnsi="Times New Roman" w:cs="Times New Roman"/>
          <w:i/>
          <w:iCs/>
        </w:rPr>
      </w:pPr>
      <w:r>
        <w:rPr>
          <w:rFonts w:ascii="Times New Roman" w:hAnsi="Times New Roman" w:cs="Times New Roman"/>
          <w:i/>
          <w:iCs/>
        </w:rPr>
        <w:t xml:space="preserve">“As a matter of law therefore a trust not being a juristic person or legal persona cannot own property corporeal or incorporeal neither can it have property registered in its name … The </w:t>
      </w:r>
      <w:r>
        <w:rPr>
          <w:rFonts w:ascii="Times New Roman" w:hAnsi="Times New Roman" w:cs="Times New Roman"/>
          <w:i/>
          <w:iCs/>
          <w:lang w:val="en-US"/>
        </w:rPr>
        <w:tab/>
      </w:r>
      <w:r>
        <w:rPr>
          <w:rFonts w:ascii="Times New Roman" w:hAnsi="Times New Roman" w:cs="Times New Roman"/>
          <w:i/>
          <w:iCs/>
        </w:rPr>
        <w:t>point was forcefully made that designs registered in the name of a tr</w:t>
      </w:r>
      <w:r>
        <w:rPr>
          <w:rFonts w:ascii="Times New Roman" w:hAnsi="Times New Roman" w:cs="Times New Roman"/>
          <w:i/>
          <w:iCs/>
        </w:rPr>
        <w:t xml:space="preserve">ust make the registration </w:t>
      </w:r>
      <w:r>
        <w:rPr>
          <w:rFonts w:ascii="Times New Roman" w:hAnsi="Times New Roman" w:cs="Times New Roman"/>
          <w:i/>
          <w:iCs/>
          <w:lang w:val="en-US"/>
        </w:rPr>
        <w:tab/>
      </w:r>
      <w:r>
        <w:rPr>
          <w:rFonts w:ascii="Times New Roman" w:hAnsi="Times New Roman" w:cs="Times New Roman"/>
          <w:i/>
          <w:iCs/>
        </w:rPr>
        <w:t>a legal nullity – Crundall Bros P</w:t>
      </w:r>
      <w:r>
        <w:rPr>
          <w:rFonts w:ascii="Times New Roman" w:hAnsi="Times New Roman" w:cs="Times New Roman"/>
          <w:i/>
          <w:iCs/>
          <w:lang w:val="en-US"/>
        </w:rPr>
        <w:t xml:space="preserve">rivate </w:t>
      </w:r>
      <w:r>
        <w:rPr>
          <w:rFonts w:ascii="Times New Roman" w:hAnsi="Times New Roman" w:cs="Times New Roman"/>
          <w:i/>
          <w:iCs/>
        </w:rPr>
        <w:t>L</w:t>
      </w:r>
      <w:r>
        <w:rPr>
          <w:rFonts w:ascii="Times New Roman" w:hAnsi="Times New Roman" w:cs="Times New Roman"/>
          <w:i/>
          <w:iCs/>
          <w:lang w:val="en-US"/>
        </w:rPr>
        <w:t>imited</w:t>
      </w:r>
      <w:r>
        <w:rPr>
          <w:rFonts w:ascii="Times New Roman" w:hAnsi="Times New Roman" w:cs="Times New Roman"/>
          <w:i/>
          <w:iCs/>
        </w:rPr>
        <w:t xml:space="preserve"> v Lazarus N.O and Anor 1990 (1) RLR 290 H </w:t>
      </w:r>
      <w:r>
        <w:rPr>
          <w:rFonts w:ascii="Times New Roman" w:hAnsi="Times New Roman" w:cs="Times New Roman"/>
          <w:i/>
          <w:iCs/>
          <w:lang w:val="en-US"/>
        </w:rPr>
        <w:tab/>
      </w:r>
      <w:r>
        <w:rPr>
          <w:rFonts w:ascii="Times New Roman" w:hAnsi="Times New Roman" w:cs="Times New Roman"/>
          <w:i/>
          <w:iCs/>
        </w:rPr>
        <w:t xml:space="preserve">at 298 E and F. In the circumstances plaintiffs’ non rebuttal can well be understood. The legal </w:t>
      </w:r>
      <w:r>
        <w:rPr>
          <w:rFonts w:ascii="Times New Roman" w:hAnsi="Times New Roman" w:cs="Times New Roman"/>
          <w:i/>
          <w:iCs/>
          <w:lang w:val="en-US"/>
        </w:rPr>
        <w:tab/>
      </w:r>
      <w:r>
        <w:rPr>
          <w:rFonts w:ascii="Times New Roman" w:hAnsi="Times New Roman" w:cs="Times New Roman"/>
          <w:i/>
          <w:iCs/>
        </w:rPr>
        <w:t>point made on behalf of defendant is beyo</w:t>
      </w:r>
      <w:r>
        <w:rPr>
          <w:rFonts w:ascii="Times New Roman" w:hAnsi="Times New Roman" w:cs="Times New Roman"/>
          <w:i/>
          <w:iCs/>
        </w:rPr>
        <w:t xml:space="preserve">nd reproach. It follows therefore that the registration of the designs which are the basis of plaintiff’s claim is a nullity and confers no rights on plaintiffs against any alleged infringement of the alleged rights by defendant.” </w:t>
      </w:r>
    </w:p>
    <w:p w:rsidR="00357444" w:rsidRDefault="00357444">
      <w:pPr>
        <w:pStyle w:val="ListParagraph"/>
        <w:spacing w:line="360" w:lineRule="auto"/>
        <w:ind w:left="0"/>
        <w:jc w:val="both"/>
        <w:rPr>
          <w:rFonts w:ascii="Times New Roman" w:hAnsi="Times New Roman" w:cs="Times New Roman"/>
          <w:sz w:val="24"/>
          <w:szCs w:val="24"/>
        </w:rPr>
      </w:pP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(19)</w:t>
      </w:r>
      <w:r>
        <w:rPr>
          <w:rFonts w:ascii="Times New Roman" w:hAnsi="Times New Roman" w:cs="Times New Roman"/>
          <w:sz w:val="24"/>
          <w:szCs w:val="24"/>
        </w:rPr>
        <w:t xml:space="preserve"> An argument in the written heads by the respondents, which is incidental to the </w:t>
      </w:r>
      <w:r>
        <w:rPr>
          <w:rFonts w:ascii="Times New Roman" w:hAnsi="Times New Roman" w:cs="Times New Roman"/>
          <w:sz w:val="24"/>
          <w:szCs w:val="24"/>
          <w:lang w:val="en-US"/>
        </w:rPr>
        <w:tab/>
      </w:r>
      <w:r>
        <w:rPr>
          <w:rFonts w:ascii="Times New Roman" w:hAnsi="Times New Roman" w:cs="Times New Roman"/>
          <w:sz w:val="24"/>
          <w:szCs w:val="24"/>
        </w:rPr>
        <w:t xml:space="preserve">above, that the applicant cannot purport to enforce an agreement which was cancelled, </w:t>
      </w:r>
      <w:r>
        <w:rPr>
          <w:rFonts w:ascii="Times New Roman" w:hAnsi="Times New Roman" w:cs="Times New Roman"/>
          <w:sz w:val="24"/>
          <w:szCs w:val="24"/>
          <w:lang w:val="en-US"/>
        </w:rPr>
        <w:tab/>
      </w:r>
      <w:r>
        <w:rPr>
          <w:rFonts w:ascii="Times New Roman" w:hAnsi="Times New Roman" w:cs="Times New Roman"/>
          <w:sz w:val="24"/>
          <w:szCs w:val="24"/>
        </w:rPr>
        <w:t>was not further argued at the hearing. I take it that the point was abandoned as it doe</w:t>
      </w:r>
      <w:r>
        <w:rPr>
          <w:rFonts w:ascii="Times New Roman" w:hAnsi="Times New Roman" w:cs="Times New Roman"/>
          <w:sz w:val="24"/>
          <w:szCs w:val="24"/>
        </w:rPr>
        <w:t xml:space="preserve">s </w:t>
      </w:r>
      <w:r>
        <w:rPr>
          <w:rFonts w:ascii="Times New Roman" w:hAnsi="Times New Roman" w:cs="Times New Roman"/>
          <w:sz w:val="24"/>
          <w:szCs w:val="24"/>
          <w:lang w:val="en-US"/>
        </w:rPr>
        <w:tab/>
      </w:r>
      <w:r>
        <w:rPr>
          <w:rFonts w:ascii="Times New Roman" w:hAnsi="Times New Roman" w:cs="Times New Roman"/>
          <w:sz w:val="24"/>
          <w:szCs w:val="24"/>
        </w:rPr>
        <w:t>not advance the point of invalidity of the agreement.</w:t>
      </w:r>
    </w:p>
    <w:p w:rsidR="00357444" w:rsidRDefault="00357444">
      <w:pPr>
        <w:pStyle w:val="ListParagraph"/>
        <w:spacing w:line="360" w:lineRule="auto"/>
        <w:ind w:left="0"/>
        <w:jc w:val="both"/>
        <w:rPr>
          <w:rFonts w:ascii="Times New Roman" w:hAnsi="Times New Roman" w:cs="Times New Roman"/>
          <w:sz w:val="24"/>
          <w:szCs w:val="24"/>
        </w:rPr>
      </w:pP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(20) </w:t>
      </w:r>
      <w:r>
        <w:rPr>
          <w:rFonts w:ascii="Times New Roman" w:hAnsi="Times New Roman" w:cs="Times New Roman"/>
          <w:sz w:val="24"/>
          <w:szCs w:val="24"/>
        </w:rPr>
        <w:t xml:space="preserve">The applicant expressed the respondents’ argument in support of the invalidity of </w:t>
      </w:r>
      <w:r>
        <w:rPr>
          <w:rFonts w:ascii="Times New Roman" w:hAnsi="Times New Roman" w:cs="Times New Roman"/>
          <w:sz w:val="24"/>
          <w:szCs w:val="24"/>
          <w:lang w:val="en-US"/>
        </w:rPr>
        <w:tab/>
      </w:r>
      <w:r>
        <w:rPr>
          <w:rFonts w:ascii="Times New Roman" w:hAnsi="Times New Roman" w:cs="Times New Roman"/>
          <w:sz w:val="24"/>
          <w:szCs w:val="24"/>
        </w:rPr>
        <w:t xml:space="preserve">the agreement as dishonest and disingenuous. This is because the respondents have all </w:t>
      </w:r>
      <w:r>
        <w:rPr>
          <w:rFonts w:ascii="Times New Roman" w:hAnsi="Times New Roman" w:cs="Times New Roman"/>
          <w:sz w:val="24"/>
          <w:szCs w:val="24"/>
          <w:lang w:val="en-US"/>
        </w:rPr>
        <w:tab/>
      </w:r>
      <w:r>
        <w:rPr>
          <w:rFonts w:ascii="Times New Roman" w:hAnsi="Times New Roman" w:cs="Times New Roman"/>
          <w:sz w:val="24"/>
          <w:szCs w:val="24"/>
        </w:rPr>
        <w:t>along treated the agree</w:t>
      </w:r>
      <w:r>
        <w:rPr>
          <w:rFonts w:ascii="Times New Roman" w:hAnsi="Times New Roman" w:cs="Times New Roman"/>
          <w:sz w:val="24"/>
          <w:szCs w:val="24"/>
        </w:rPr>
        <w:t xml:space="preserve">ment as valid when they signed it and received the purchase </w:t>
      </w:r>
      <w:r>
        <w:rPr>
          <w:rFonts w:ascii="Times New Roman" w:hAnsi="Times New Roman" w:cs="Times New Roman"/>
          <w:sz w:val="24"/>
          <w:szCs w:val="24"/>
          <w:lang w:val="en-US"/>
        </w:rPr>
        <w:tab/>
      </w:r>
      <w:r>
        <w:rPr>
          <w:rFonts w:ascii="Times New Roman" w:hAnsi="Times New Roman" w:cs="Times New Roman"/>
          <w:sz w:val="24"/>
          <w:szCs w:val="24"/>
        </w:rPr>
        <w:t xml:space="preserve">price, when they purported to cancel the agreement, when they took no steps to apply </w:t>
      </w:r>
      <w:r>
        <w:rPr>
          <w:rFonts w:ascii="Times New Roman" w:hAnsi="Times New Roman" w:cs="Times New Roman"/>
          <w:sz w:val="24"/>
          <w:szCs w:val="24"/>
          <w:lang w:val="en-US"/>
        </w:rPr>
        <w:tab/>
      </w:r>
      <w:r>
        <w:rPr>
          <w:rFonts w:ascii="Times New Roman" w:hAnsi="Times New Roman" w:cs="Times New Roman"/>
          <w:sz w:val="24"/>
          <w:szCs w:val="24"/>
        </w:rPr>
        <w:t xml:space="preserve">for an order declaring the agreement invalid and  raised the issue of invalidity for the </w:t>
      </w:r>
      <w:r>
        <w:rPr>
          <w:rFonts w:ascii="Times New Roman" w:hAnsi="Times New Roman" w:cs="Times New Roman"/>
          <w:sz w:val="24"/>
          <w:szCs w:val="24"/>
          <w:lang w:val="en-US"/>
        </w:rPr>
        <w:tab/>
      </w:r>
      <w:r>
        <w:rPr>
          <w:rFonts w:ascii="Times New Roman" w:hAnsi="Times New Roman" w:cs="Times New Roman"/>
          <w:sz w:val="24"/>
          <w:szCs w:val="24"/>
        </w:rPr>
        <w:t>first time in the h</w:t>
      </w:r>
      <w:r>
        <w:rPr>
          <w:rFonts w:ascii="Times New Roman" w:hAnsi="Times New Roman" w:cs="Times New Roman"/>
          <w:sz w:val="24"/>
          <w:szCs w:val="24"/>
        </w:rPr>
        <w:t xml:space="preserve">eads of argument. The 1st respondent cannot adopt two mutually </w:t>
      </w:r>
      <w:r>
        <w:rPr>
          <w:rFonts w:ascii="Times New Roman" w:hAnsi="Times New Roman" w:cs="Times New Roman"/>
          <w:sz w:val="24"/>
          <w:szCs w:val="24"/>
          <w:lang w:val="en-US"/>
        </w:rPr>
        <w:tab/>
      </w:r>
      <w:r>
        <w:rPr>
          <w:rFonts w:ascii="Times New Roman" w:hAnsi="Times New Roman" w:cs="Times New Roman"/>
          <w:sz w:val="24"/>
          <w:szCs w:val="24"/>
        </w:rPr>
        <w:t>inconsistent positions, it was decried.</w:t>
      </w:r>
    </w:p>
    <w:p w:rsidR="00357444" w:rsidRDefault="00357444">
      <w:pPr>
        <w:pStyle w:val="ListParagraph"/>
        <w:spacing w:line="360" w:lineRule="auto"/>
        <w:ind w:left="643"/>
        <w:jc w:val="both"/>
        <w:rPr>
          <w:rFonts w:ascii="Times New Roman" w:hAnsi="Times New Roman" w:cs="Times New Roman"/>
          <w:sz w:val="24"/>
          <w:szCs w:val="24"/>
        </w:rPr>
      </w:pP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(21) </w:t>
      </w:r>
      <w:r>
        <w:rPr>
          <w:rFonts w:ascii="Times New Roman" w:hAnsi="Times New Roman" w:cs="Times New Roman"/>
          <w:sz w:val="24"/>
          <w:szCs w:val="24"/>
        </w:rPr>
        <w:t xml:space="preserve">The applicant further bemoaned that the respondents were raising a defence </w:t>
      </w:r>
      <w:r>
        <w:rPr>
          <w:rFonts w:ascii="Times New Roman" w:hAnsi="Times New Roman" w:cs="Times New Roman"/>
          <w:sz w:val="24"/>
          <w:szCs w:val="24"/>
          <w:lang w:val="en-US"/>
        </w:rPr>
        <w:tab/>
      </w:r>
      <w:r>
        <w:rPr>
          <w:rFonts w:ascii="Times New Roman" w:hAnsi="Times New Roman" w:cs="Times New Roman"/>
          <w:sz w:val="24"/>
          <w:szCs w:val="24"/>
        </w:rPr>
        <w:t xml:space="preserve">based </w:t>
      </w:r>
      <w:r>
        <w:rPr>
          <w:rFonts w:ascii="Times New Roman" w:hAnsi="Times New Roman" w:cs="Times New Roman"/>
          <w:sz w:val="24"/>
          <w:szCs w:val="24"/>
          <w:lang w:val="en-US"/>
        </w:rPr>
        <w:tab/>
      </w:r>
      <w:r>
        <w:rPr>
          <w:rFonts w:ascii="Times New Roman" w:hAnsi="Times New Roman" w:cs="Times New Roman"/>
          <w:sz w:val="24"/>
          <w:szCs w:val="24"/>
        </w:rPr>
        <w:t>on their wrong doing. This is despite their failure to challeng</w:t>
      </w:r>
      <w:r>
        <w:rPr>
          <w:rFonts w:ascii="Times New Roman" w:hAnsi="Times New Roman" w:cs="Times New Roman"/>
          <w:sz w:val="24"/>
          <w:szCs w:val="24"/>
        </w:rPr>
        <w:t xml:space="preserve">e the present legal </w:t>
      </w:r>
      <w:r>
        <w:rPr>
          <w:rFonts w:ascii="Times New Roman" w:hAnsi="Times New Roman" w:cs="Times New Roman"/>
          <w:sz w:val="24"/>
          <w:szCs w:val="24"/>
          <w:lang w:val="en-US"/>
        </w:rPr>
        <w:lastRenderedPageBreak/>
        <w:tab/>
      </w:r>
      <w:r>
        <w:rPr>
          <w:rFonts w:ascii="Times New Roman" w:hAnsi="Times New Roman" w:cs="Times New Roman"/>
          <w:sz w:val="24"/>
          <w:szCs w:val="24"/>
        </w:rPr>
        <w:t xml:space="preserve">proceedings as a nullity on the basis that a trust is not a legal persona and has </w:t>
      </w:r>
      <w:r>
        <w:rPr>
          <w:rFonts w:ascii="Times New Roman" w:hAnsi="Times New Roman" w:cs="Times New Roman"/>
          <w:i/>
          <w:sz w:val="24"/>
          <w:szCs w:val="24"/>
        </w:rPr>
        <w:t xml:space="preserve">no locus </w:t>
      </w:r>
      <w:r>
        <w:rPr>
          <w:rFonts w:ascii="Times New Roman" w:hAnsi="Times New Roman" w:cs="Times New Roman"/>
          <w:i/>
          <w:sz w:val="24"/>
          <w:szCs w:val="24"/>
          <w:lang w:val="en-US"/>
        </w:rPr>
        <w:tab/>
      </w:r>
      <w:r>
        <w:rPr>
          <w:rFonts w:ascii="Times New Roman" w:hAnsi="Times New Roman" w:cs="Times New Roman"/>
          <w:i/>
          <w:sz w:val="24"/>
          <w:szCs w:val="24"/>
        </w:rPr>
        <w:t>stand</w:t>
      </w:r>
      <w:r>
        <w:rPr>
          <w:rFonts w:ascii="Times New Roman" w:hAnsi="Times New Roman" w:cs="Times New Roman"/>
          <w:i/>
          <w:sz w:val="24"/>
          <w:szCs w:val="24"/>
          <w:lang w:val="en-US"/>
        </w:rPr>
        <w:t>i.</w:t>
      </w:r>
      <w:r>
        <w:rPr>
          <w:rFonts w:ascii="Times New Roman" w:hAnsi="Times New Roman" w:cs="Times New Roman"/>
          <w:sz w:val="24"/>
          <w:szCs w:val="24"/>
        </w:rPr>
        <w:t xml:space="preserve"> </w:t>
      </w:r>
    </w:p>
    <w:p w:rsidR="00357444" w:rsidRDefault="00357444">
      <w:pPr>
        <w:pStyle w:val="ListParagraph"/>
        <w:spacing w:line="360" w:lineRule="auto"/>
        <w:jc w:val="both"/>
        <w:rPr>
          <w:rFonts w:ascii="Times New Roman" w:hAnsi="Times New Roman" w:cs="Times New Roman"/>
          <w:sz w:val="24"/>
          <w:szCs w:val="24"/>
        </w:rPr>
      </w:pP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(22)</w:t>
      </w:r>
      <w:r>
        <w:rPr>
          <w:rFonts w:ascii="Times New Roman" w:hAnsi="Times New Roman" w:cs="Times New Roman"/>
          <w:sz w:val="24"/>
          <w:szCs w:val="24"/>
        </w:rPr>
        <w:t xml:space="preserve"> The applicant argued that it is a legally settled position of the law that a trust has </w:t>
      </w:r>
      <w:r>
        <w:rPr>
          <w:rFonts w:ascii="Times New Roman" w:hAnsi="Times New Roman" w:cs="Times New Roman"/>
          <w:sz w:val="24"/>
          <w:szCs w:val="24"/>
          <w:lang w:val="en-US"/>
        </w:rPr>
        <w:tab/>
      </w:r>
      <w:r>
        <w:rPr>
          <w:rFonts w:ascii="Times New Roman" w:hAnsi="Times New Roman" w:cs="Times New Roman"/>
          <w:sz w:val="24"/>
          <w:szCs w:val="24"/>
        </w:rPr>
        <w:t xml:space="preserve">the legal capacity to sue and be sued in its own name. see </w:t>
      </w:r>
      <w:r>
        <w:rPr>
          <w:rFonts w:ascii="Times New Roman" w:hAnsi="Times New Roman" w:cs="Times New Roman"/>
          <w:i/>
          <w:iCs/>
          <w:sz w:val="24"/>
          <w:szCs w:val="24"/>
        </w:rPr>
        <w:t xml:space="preserve">R Chiite &amp; Ors v Trustees </w:t>
      </w:r>
      <w:r>
        <w:rPr>
          <w:rFonts w:ascii="Times New Roman" w:hAnsi="Times New Roman" w:cs="Times New Roman"/>
          <w:i/>
          <w:iCs/>
          <w:sz w:val="24"/>
          <w:szCs w:val="24"/>
          <w:lang w:val="en-US"/>
        </w:rPr>
        <w:tab/>
      </w:r>
      <w:r>
        <w:rPr>
          <w:rFonts w:ascii="Times New Roman" w:hAnsi="Times New Roman" w:cs="Times New Roman"/>
          <w:i/>
          <w:iCs/>
          <w:sz w:val="24"/>
          <w:szCs w:val="24"/>
        </w:rPr>
        <w:t>of Leonard Cheshire Homes Central Trust</w:t>
      </w:r>
      <w:r>
        <w:rPr>
          <w:rFonts w:ascii="Times New Roman" w:hAnsi="Times New Roman" w:cs="Times New Roman"/>
          <w:sz w:val="24"/>
          <w:szCs w:val="24"/>
        </w:rPr>
        <w:t xml:space="preserve"> CCZ10/17; </w:t>
      </w:r>
      <w:r>
        <w:rPr>
          <w:rFonts w:ascii="Times New Roman" w:hAnsi="Times New Roman" w:cs="Times New Roman"/>
          <w:i/>
          <w:iCs/>
          <w:sz w:val="24"/>
          <w:szCs w:val="24"/>
        </w:rPr>
        <w:t>Veritas &amp; Ors v ZEC &amp; Ors</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SC103/20.</w:t>
      </w:r>
    </w:p>
    <w:p w:rsidR="00357444" w:rsidRDefault="00357444">
      <w:pPr>
        <w:pStyle w:val="ListParagraph"/>
        <w:spacing w:line="360" w:lineRule="auto"/>
        <w:jc w:val="both"/>
        <w:rPr>
          <w:rFonts w:ascii="Times New Roman" w:hAnsi="Times New Roman" w:cs="Times New Roman"/>
          <w:b/>
          <w:sz w:val="24"/>
          <w:szCs w:val="24"/>
        </w:rPr>
      </w:pPr>
    </w:p>
    <w:p w:rsidR="00357444" w:rsidRDefault="009857A9">
      <w:pPr>
        <w:pStyle w:val="ListParagraph"/>
        <w:spacing w:line="360" w:lineRule="auto"/>
        <w:ind w:left="0"/>
        <w:jc w:val="both"/>
        <w:rPr>
          <w:rFonts w:ascii="Times New Roman" w:hAnsi="Times New Roman" w:cs="Times New Roman"/>
          <w:b/>
          <w:bCs/>
          <w:i/>
          <w:sz w:val="24"/>
          <w:szCs w:val="24"/>
        </w:rPr>
      </w:pPr>
      <w:r>
        <w:rPr>
          <w:rFonts w:ascii="Times New Roman" w:hAnsi="Times New Roman" w:cs="Times New Roman"/>
          <w:b/>
          <w:bCs/>
          <w:i/>
          <w:sz w:val="24"/>
          <w:szCs w:val="24"/>
        </w:rPr>
        <w:t>ANALYSIS</w:t>
      </w: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(23)</w:t>
      </w:r>
      <w:r>
        <w:rPr>
          <w:rFonts w:ascii="Times New Roman" w:hAnsi="Times New Roman" w:cs="Times New Roman"/>
          <w:sz w:val="24"/>
          <w:szCs w:val="24"/>
        </w:rPr>
        <w:t xml:space="preserve">The basis upon which the respondents say the agreement is invalid is </w:t>
      </w:r>
      <w:r>
        <w:rPr>
          <w:rFonts w:ascii="Times New Roman" w:hAnsi="Times New Roman" w:cs="Times New Roman"/>
          <w:sz w:val="24"/>
          <w:szCs w:val="24"/>
        </w:rPr>
        <w:t xml:space="preserve">on account </w:t>
      </w:r>
      <w:r>
        <w:rPr>
          <w:rFonts w:ascii="Times New Roman" w:hAnsi="Times New Roman" w:cs="Times New Roman"/>
          <w:sz w:val="24"/>
          <w:szCs w:val="24"/>
          <w:lang w:val="en-US"/>
        </w:rPr>
        <w:tab/>
      </w:r>
      <w:r>
        <w:rPr>
          <w:rFonts w:ascii="Times New Roman" w:hAnsi="Times New Roman" w:cs="Times New Roman"/>
          <w:sz w:val="24"/>
          <w:szCs w:val="24"/>
        </w:rPr>
        <w:t xml:space="preserve">that a Trust has no contractual capacity. I did not hear the respondents say a Trust </w:t>
      </w:r>
      <w:r>
        <w:rPr>
          <w:rFonts w:ascii="Times New Roman" w:hAnsi="Times New Roman" w:cs="Times New Roman"/>
          <w:sz w:val="24"/>
          <w:szCs w:val="24"/>
          <w:lang w:val="en-US"/>
        </w:rPr>
        <w:tab/>
      </w:r>
      <w:r>
        <w:rPr>
          <w:rFonts w:ascii="Times New Roman" w:hAnsi="Times New Roman" w:cs="Times New Roman"/>
          <w:sz w:val="24"/>
          <w:szCs w:val="24"/>
        </w:rPr>
        <w:t xml:space="preserve">cannot sue or be sued, otherwise they would have challenged the </w:t>
      </w:r>
      <w:r>
        <w:rPr>
          <w:rFonts w:ascii="Times New Roman" w:hAnsi="Times New Roman" w:cs="Times New Roman"/>
          <w:i/>
          <w:sz w:val="24"/>
          <w:szCs w:val="24"/>
        </w:rPr>
        <w:t xml:space="preserve">locus standi in </w:t>
      </w:r>
      <w:r>
        <w:rPr>
          <w:rFonts w:ascii="Times New Roman" w:hAnsi="Times New Roman" w:cs="Times New Roman"/>
          <w:i/>
          <w:sz w:val="24"/>
          <w:szCs w:val="24"/>
          <w:lang w:val="en-US"/>
        </w:rPr>
        <w:tab/>
      </w:r>
      <w:r>
        <w:rPr>
          <w:rFonts w:ascii="Times New Roman" w:hAnsi="Times New Roman" w:cs="Times New Roman"/>
          <w:i/>
          <w:sz w:val="24"/>
          <w:szCs w:val="24"/>
        </w:rPr>
        <w:t>judici</w:t>
      </w:r>
      <w:r>
        <w:rPr>
          <w:rFonts w:ascii="Times New Roman" w:hAnsi="Times New Roman" w:cs="Times New Roman"/>
          <w:i/>
          <w:sz w:val="24"/>
          <w:szCs w:val="24"/>
          <w:lang w:val="en-US"/>
        </w:rPr>
        <w:t xml:space="preserve">o </w:t>
      </w:r>
      <w:r>
        <w:rPr>
          <w:rFonts w:ascii="Times New Roman" w:hAnsi="Times New Roman" w:cs="Times New Roman"/>
          <w:sz w:val="24"/>
          <w:szCs w:val="24"/>
        </w:rPr>
        <w:t>of the applicant to bring these proceedings.</w:t>
      </w:r>
    </w:p>
    <w:p w:rsidR="00357444" w:rsidRDefault="009857A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(24) </w:t>
      </w:r>
      <w:r>
        <w:rPr>
          <w:rFonts w:ascii="Times New Roman" w:hAnsi="Times New Roman" w:cs="Times New Roman"/>
          <w:sz w:val="24"/>
          <w:szCs w:val="24"/>
        </w:rPr>
        <w:t>Rule 11 clarifies t</w:t>
      </w:r>
      <w:r>
        <w:rPr>
          <w:rFonts w:ascii="Times New Roman" w:hAnsi="Times New Roman" w:cs="Times New Roman"/>
          <w:sz w:val="24"/>
          <w:szCs w:val="24"/>
        </w:rPr>
        <w:t xml:space="preserve">he position of the law in Zimbabwe as regards the   right to sue </w:t>
      </w:r>
      <w:r>
        <w:rPr>
          <w:rFonts w:ascii="Times New Roman" w:hAnsi="Times New Roman" w:cs="Times New Roman"/>
          <w:sz w:val="24"/>
          <w:szCs w:val="24"/>
          <w:lang w:val="en-US"/>
        </w:rPr>
        <w:tab/>
      </w:r>
      <w:r>
        <w:rPr>
          <w:rFonts w:ascii="Times New Roman" w:hAnsi="Times New Roman" w:cs="Times New Roman"/>
          <w:sz w:val="24"/>
          <w:szCs w:val="24"/>
        </w:rPr>
        <w:t xml:space="preserve">or be sued by a Trust. It states; </w:t>
      </w:r>
    </w:p>
    <w:p w:rsidR="00357444" w:rsidRDefault="009857A9">
      <w:pPr>
        <w:pStyle w:val="ListParagraph"/>
        <w:spacing w:line="240" w:lineRule="auto"/>
        <w:ind w:firstLine="720"/>
        <w:jc w:val="both"/>
        <w:rPr>
          <w:rFonts w:ascii="Times New Roman" w:hAnsi="Times New Roman" w:cs="Times New Roman"/>
          <w:b/>
          <w:bCs/>
          <w:i/>
          <w:iCs/>
          <w:sz w:val="24"/>
          <w:szCs w:val="24"/>
        </w:rPr>
      </w:pPr>
      <w:r>
        <w:rPr>
          <w:rFonts w:ascii="Times New Roman" w:hAnsi="Times New Roman" w:cs="Times New Roman"/>
          <w:sz w:val="24"/>
          <w:szCs w:val="24"/>
        </w:rPr>
        <w:t>“</w:t>
      </w:r>
      <w:r>
        <w:rPr>
          <w:rFonts w:ascii="Times New Roman" w:hAnsi="Times New Roman" w:cs="Times New Roman"/>
          <w:b/>
          <w:bCs/>
          <w:i/>
          <w:iCs/>
          <w:sz w:val="24"/>
          <w:szCs w:val="24"/>
        </w:rPr>
        <w:t>11. Proceedings by or against firms and associations</w:t>
      </w:r>
    </w:p>
    <w:p w:rsidR="00357444" w:rsidRDefault="009857A9">
      <w:pPr>
        <w:pStyle w:val="ListParagraph"/>
        <w:numPr>
          <w:ilvl w:val="0"/>
          <w:numId w:val="3"/>
        </w:numPr>
        <w:spacing w:line="240" w:lineRule="auto"/>
        <w:ind w:firstLine="720"/>
        <w:jc w:val="both"/>
        <w:rPr>
          <w:rFonts w:ascii="Times New Roman" w:hAnsi="Times New Roman" w:cs="Times New Roman"/>
          <w:i/>
          <w:iCs/>
        </w:rPr>
      </w:pPr>
      <w:r>
        <w:rPr>
          <w:rFonts w:ascii="Times New Roman" w:hAnsi="Times New Roman" w:cs="Times New Roman"/>
          <w:i/>
          <w:iCs/>
        </w:rPr>
        <w:t>In this rule— “associate” in relation to—</w:t>
      </w:r>
    </w:p>
    <w:p w:rsidR="00357444" w:rsidRDefault="009857A9">
      <w:pPr>
        <w:pStyle w:val="ListParagraph"/>
        <w:numPr>
          <w:ilvl w:val="0"/>
          <w:numId w:val="3"/>
        </w:numPr>
        <w:spacing w:line="240" w:lineRule="auto"/>
        <w:ind w:firstLine="720"/>
        <w:jc w:val="both"/>
        <w:rPr>
          <w:rFonts w:ascii="Times New Roman" w:hAnsi="Times New Roman" w:cs="Times New Roman"/>
          <w:i/>
          <w:iCs/>
        </w:rPr>
      </w:pPr>
      <w:r>
        <w:rPr>
          <w:rFonts w:ascii="Times New Roman" w:hAnsi="Times New Roman" w:cs="Times New Roman"/>
          <w:i/>
          <w:iCs/>
        </w:rPr>
        <w:t>(a) a trust, means a trustee;</w:t>
      </w:r>
    </w:p>
    <w:p w:rsidR="00357444" w:rsidRDefault="009857A9">
      <w:pPr>
        <w:pStyle w:val="NormalWeb"/>
        <w:spacing w:before="0" w:beforeAutospacing="0" w:after="0" w:afterAutospacing="0"/>
        <w:ind w:left="720" w:firstLine="720"/>
        <w:jc w:val="both"/>
        <w:rPr>
          <w:i/>
          <w:iCs/>
          <w:sz w:val="22"/>
          <w:szCs w:val="22"/>
        </w:rPr>
      </w:pPr>
      <w:r>
        <w:rPr>
          <w:i/>
          <w:iCs/>
          <w:sz w:val="22"/>
          <w:szCs w:val="22"/>
        </w:rPr>
        <w:t>(b) an association other than</w:t>
      </w:r>
      <w:r>
        <w:rPr>
          <w:i/>
          <w:iCs/>
          <w:sz w:val="22"/>
          <w:szCs w:val="22"/>
        </w:rPr>
        <w:t xml:space="preserve"> a trust, means a member of the association;</w:t>
      </w:r>
    </w:p>
    <w:p w:rsidR="00357444" w:rsidRDefault="009857A9">
      <w:pPr>
        <w:pStyle w:val="NormalWeb"/>
        <w:spacing w:before="0" w:beforeAutospacing="0" w:after="0" w:afterAutospacing="0"/>
        <w:ind w:left="1440"/>
        <w:jc w:val="both"/>
        <w:rPr>
          <w:i/>
          <w:iCs/>
          <w:sz w:val="22"/>
          <w:szCs w:val="22"/>
        </w:rPr>
      </w:pPr>
      <w:r>
        <w:rPr>
          <w:i/>
          <w:iCs/>
          <w:sz w:val="22"/>
          <w:szCs w:val="22"/>
        </w:rPr>
        <w:t>“association” means any unincorporated body of persons, and includes a partnership, a syndicate, a club or any other association of persons;</w:t>
      </w:r>
    </w:p>
    <w:p w:rsidR="00357444" w:rsidRDefault="009857A9">
      <w:pPr>
        <w:pStyle w:val="NormalWeb"/>
        <w:spacing w:before="0" w:beforeAutospacing="0" w:after="0" w:afterAutospacing="0"/>
        <w:ind w:left="1440"/>
        <w:jc w:val="both"/>
        <w:rPr>
          <w:i/>
          <w:iCs/>
          <w:sz w:val="22"/>
          <w:szCs w:val="22"/>
        </w:rPr>
      </w:pPr>
      <w:r>
        <w:rPr>
          <w:i/>
          <w:iCs/>
          <w:sz w:val="22"/>
          <w:szCs w:val="22"/>
        </w:rPr>
        <w:t xml:space="preserve">“firm” means a business including a business carried on by a body </w:t>
      </w:r>
      <w:r>
        <w:rPr>
          <w:i/>
          <w:iCs/>
          <w:sz w:val="22"/>
          <w:szCs w:val="22"/>
        </w:rPr>
        <w:t>corporate, carried on by the sole proprietor under a name other than his or her own;</w:t>
      </w:r>
    </w:p>
    <w:p w:rsidR="00357444" w:rsidRDefault="009857A9">
      <w:pPr>
        <w:pStyle w:val="NormalWeb"/>
        <w:spacing w:before="0" w:beforeAutospacing="0" w:after="0" w:afterAutospacing="0"/>
        <w:ind w:left="1440"/>
        <w:jc w:val="both"/>
        <w:rPr>
          <w:i/>
          <w:iCs/>
          <w:sz w:val="22"/>
          <w:szCs w:val="22"/>
        </w:rPr>
      </w:pPr>
      <w:r>
        <w:rPr>
          <w:i/>
          <w:iCs/>
          <w:sz w:val="22"/>
          <w:szCs w:val="22"/>
        </w:rPr>
        <w:t>“plaintiff” and “defendant” include applicant and respondent; “sue” and “sued” are used in relation to actions and applications;</w:t>
      </w:r>
    </w:p>
    <w:p w:rsidR="00357444" w:rsidRDefault="009857A9">
      <w:pPr>
        <w:pStyle w:val="NormalWeb"/>
        <w:spacing w:before="0" w:beforeAutospacing="0" w:after="0" w:afterAutospacing="0"/>
        <w:ind w:left="720" w:firstLine="720"/>
        <w:jc w:val="both"/>
        <w:rPr>
          <w:i/>
          <w:iCs/>
          <w:sz w:val="22"/>
          <w:szCs w:val="22"/>
        </w:rPr>
      </w:pPr>
      <w:r>
        <w:rPr>
          <w:i/>
          <w:iCs/>
          <w:sz w:val="22"/>
          <w:szCs w:val="22"/>
        </w:rPr>
        <w:t>“summons” includes a combined summons.</w:t>
      </w:r>
    </w:p>
    <w:p w:rsidR="00357444" w:rsidRDefault="009857A9">
      <w:pPr>
        <w:pStyle w:val="NormalWeb"/>
        <w:spacing w:before="0" w:beforeAutospacing="0" w:after="0" w:afterAutospacing="0"/>
        <w:ind w:left="720" w:firstLine="720"/>
        <w:jc w:val="both"/>
        <w:rPr>
          <w:i/>
          <w:iCs/>
          <w:sz w:val="22"/>
          <w:szCs w:val="22"/>
        </w:rPr>
      </w:pPr>
      <w:r>
        <w:rPr>
          <w:i/>
          <w:iCs/>
          <w:sz w:val="22"/>
          <w:szCs w:val="22"/>
        </w:rPr>
        <w:t>(2)</w:t>
      </w:r>
      <w:r>
        <w:rPr>
          <w:i/>
          <w:iCs/>
          <w:sz w:val="22"/>
          <w:szCs w:val="22"/>
        </w:rPr>
        <w:t xml:space="preserve"> A firm or an association may sue or be sued in its name.</w:t>
      </w:r>
    </w:p>
    <w:p w:rsidR="00357444" w:rsidRDefault="009857A9">
      <w:pPr>
        <w:pStyle w:val="NormalWeb"/>
        <w:spacing w:before="0" w:beforeAutospacing="0" w:after="0" w:afterAutospacing="0"/>
        <w:ind w:left="1440"/>
        <w:jc w:val="both"/>
        <w:rPr>
          <w:i/>
          <w:iCs/>
          <w:sz w:val="22"/>
          <w:szCs w:val="22"/>
        </w:rPr>
      </w:pPr>
      <w:r>
        <w:rPr>
          <w:i/>
          <w:iCs/>
          <w:sz w:val="22"/>
          <w:szCs w:val="22"/>
        </w:rPr>
        <w:t>(3) A plaintiff suing a firm or association needs not allege the names of the proprietor or associates. If he or she does, any error of omission or inclusion shall not afford a defence to the associ</w:t>
      </w:r>
      <w:r>
        <w:rPr>
          <w:i/>
          <w:iCs/>
          <w:sz w:val="22"/>
          <w:szCs w:val="22"/>
        </w:rPr>
        <w:t>ation.</w:t>
      </w:r>
    </w:p>
    <w:p w:rsidR="00357444" w:rsidRDefault="009857A9">
      <w:pPr>
        <w:pStyle w:val="NormalWeb"/>
        <w:spacing w:before="0" w:beforeAutospacing="0" w:after="0" w:afterAutospacing="0"/>
        <w:ind w:left="720" w:firstLine="720"/>
        <w:jc w:val="both"/>
        <w:rPr>
          <w:i/>
          <w:iCs/>
          <w:sz w:val="22"/>
          <w:szCs w:val="22"/>
        </w:rPr>
      </w:pPr>
      <w:r>
        <w:rPr>
          <w:i/>
          <w:iCs/>
          <w:sz w:val="22"/>
          <w:szCs w:val="22"/>
        </w:rPr>
        <w:t>(4) Subrule (3) shall apply with the necessary changes to a plaintiff suing a firm.”</w:t>
      </w:r>
    </w:p>
    <w:p w:rsidR="00357444" w:rsidRDefault="00357444">
      <w:pPr>
        <w:spacing w:line="240" w:lineRule="auto"/>
        <w:jc w:val="both"/>
        <w:rPr>
          <w:rFonts w:ascii="Times New Roman" w:hAnsi="Times New Roman" w:cs="Times New Roman"/>
          <w:sz w:val="24"/>
          <w:szCs w:val="24"/>
        </w:rPr>
      </w:pPr>
    </w:p>
    <w:p w:rsidR="00357444" w:rsidRDefault="009857A9">
      <w:pPr>
        <w:spacing w:line="360" w:lineRule="auto"/>
        <w:ind w:firstLine="720"/>
        <w:jc w:val="both"/>
        <w:rPr>
          <w:rFonts w:ascii="Times New Roman" w:eastAsia="Arial" w:hAnsi="Times New Roman" w:cs="Times New Roman"/>
          <w:sz w:val="24"/>
          <w:szCs w:val="24"/>
        </w:rPr>
      </w:pPr>
      <w:r>
        <w:rPr>
          <w:rFonts w:ascii="Times New Roman" w:hAnsi="Times New Roman" w:cs="Times New Roman"/>
          <w:sz w:val="24"/>
          <w:szCs w:val="24"/>
        </w:rPr>
        <w:t xml:space="preserve">(25)  </w:t>
      </w:r>
      <w:r>
        <w:rPr>
          <w:rFonts w:ascii="Times New Roman" w:eastAsia="Arial" w:hAnsi="Times New Roman" w:cs="Times New Roman"/>
          <w:sz w:val="24"/>
          <w:szCs w:val="24"/>
        </w:rPr>
        <w:t xml:space="preserve">A trust is included in the definition of an association. An associate may either be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a natural person or a corporate entity like a company. A trustee on the </w:t>
      </w:r>
      <w:r>
        <w:rPr>
          <w:rFonts w:ascii="Times New Roman" w:eastAsia="Arial" w:hAnsi="Times New Roman" w:cs="Times New Roman"/>
          <w:sz w:val="24"/>
          <w:szCs w:val="24"/>
        </w:rPr>
        <w:t xml:space="preserve">other hand is a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natural person. An associate may sue and be sued in the name of the association. This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means that a trustee can sue and be sued in the name of the trust. Rule 11 (2) clothes a </w:t>
      </w:r>
      <w:r>
        <w:rPr>
          <w:rFonts w:ascii="Times New Roman" w:eastAsia="Arial" w:hAnsi="Times New Roman" w:cs="Times New Roman"/>
          <w:sz w:val="24"/>
          <w:szCs w:val="24"/>
          <w:lang w:val="en-US"/>
        </w:rPr>
        <w:tab/>
      </w:r>
      <w:r>
        <w:rPr>
          <w:rFonts w:ascii="Times New Roman" w:eastAsia="Arial" w:hAnsi="Times New Roman" w:cs="Times New Roman"/>
          <w:sz w:val="24"/>
          <w:szCs w:val="24"/>
        </w:rPr>
        <w:t>trust with power to sue and be sued in its own name</w:t>
      </w:r>
    </w:p>
    <w:p w:rsidR="00357444" w:rsidRDefault="009857A9">
      <w:pPr>
        <w:pStyle w:val="NormalWeb"/>
        <w:spacing w:before="0" w:beforeAutospacing="0" w:after="0" w:afterAutospacing="0" w:line="360" w:lineRule="auto"/>
        <w:ind w:firstLine="720"/>
        <w:jc w:val="both"/>
      </w:pPr>
      <w:r>
        <w:rPr>
          <w:lang w:val="en-US"/>
        </w:rPr>
        <w:lastRenderedPageBreak/>
        <w:t xml:space="preserve">(26) </w:t>
      </w:r>
      <w:r>
        <w:t>The q</w:t>
      </w:r>
      <w:r>
        <w:t xml:space="preserve">uestion then is, if a trust can sue and be sued, can it not enter into contracts, </w:t>
      </w:r>
      <w:r>
        <w:rPr>
          <w:lang w:val="en-US"/>
        </w:rPr>
        <w:tab/>
      </w:r>
      <w:r>
        <w:t>what will it be suing for? The court in</w:t>
      </w:r>
      <w:r>
        <w:rPr>
          <w:b/>
        </w:rPr>
        <w:t xml:space="preserve"> </w:t>
      </w:r>
      <w:r>
        <w:rPr>
          <w:i/>
          <w:iCs/>
        </w:rPr>
        <w:t xml:space="preserve">Nashe Family Trust </w:t>
      </w:r>
      <w:r>
        <w:t>v</w:t>
      </w:r>
      <w:r>
        <w:rPr>
          <w:i/>
          <w:iCs/>
        </w:rPr>
        <w:t xml:space="preserve"> Charles Chiwara and </w:t>
      </w:r>
      <w:r>
        <w:rPr>
          <w:i/>
          <w:iCs/>
          <w:lang w:val="en-US"/>
        </w:rPr>
        <w:tab/>
      </w:r>
      <w:r>
        <w:rPr>
          <w:i/>
          <w:iCs/>
        </w:rPr>
        <w:t>Others</w:t>
      </w:r>
      <w:r>
        <w:t xml:space="preserve"> HH 476/18 dealt with the question: </w:t>
      </w:r>
    </w:p>
    <w:p w:rsidR="00357444" w:rsidRDefault="009857A9">
      <w:pPr>
        <w:pStyle w:val="NormalWeb"/>
        <w:spacing w:before="0" w:beforeAutospacing="0" w:after="0" w:afterAutospacing="0"/>
        <w:ind w:left="720" w:firstLine="720"/>
        <w:jc w:val="both"/>
      </w:pPr>
      <w:r>
        <w:rPr>
          <w:i/>
          <w:iCs/>
          <w:sz w:val="22"/>
          <w:szCs w:val="22"/>
        </w:rPr>
        <w:t xml:space="preserve">“Does the locus standi however equate to contractual capacity?”  The court remarked; “Mr </w:t>
      </w:r>
      <w:r>
        <w:rPr>
          <w:i/>
          <w:iCs/>
          <w:sz w:val="22"/>
          <w:szCs w:val="22"/>
          <w:lang w:val="en-US"/>
        </w:rPr>
        <w:tab/>
      </w:r>
      <w:r>
        <w:rPr>
          <w:i/>
          <w:iCs/>
          <w:sz w:val="22"/>
          <w:szCs w:val="22"/>
        </w:rPr>
        <w:t>Mubaiw</w:t>
      </w:r>
      <w:r>
        <w:rPr>
          <w:i/>
          <w:iCs/>
          <w:sz w:val="22"/>
          <w:szCs w:val="22"/>
          <w:lang w:val="en-US"/>
        </w:rPr>
        <w:t>a,</w:t>
      </w:r>
      <w:r>
        <w:rPr>
          <w:i/>
          <w:iCs/>
          <w:sz w:val="22"/>
          <w:szCs w:val="22"/>
        </w:rPr>
        <w:t xml:space="preserve"> asserted that whilst he accepted that a trust does have locus standi to sue and be </w:t>
      </w:r>
      <w:r>
        <w:rPr>
          <w:i/>
          <w:iCs/>
          <w:sz w:val="22"/>
          <w:szCs w:val="22"/>
          <w:lang w:val="en-US"/>
        </w:rPr>
        <w:tab/>
      </w:r>
      <w:r>
        <w:rPr>
          <w:i/>
          <w:iCs/>
          <w:sz w:val="22"/>
          <w:szCs w:val="22"/>
        </w:rPr>
        <w:t>sued, this did not equate to contractual capacity. In the Musemwa case wh</w:t>
      </w:r>
      <w:r>
        <w:rPr>
          <w:i/>
          <w:iCs/>
          <w:sz w:val="22"/>
          <w:szCs w:val="22"/>
        </w:rPr>
        <w:t xml:space="preserve">ich was a </w:t>
      </w:r>
      <w:r>
        <w:rPr>
          <w:i/>
          <w:iCs/>
          <w:sz w:val="22"/>
          <w:szCs w:val="22"/>
          <w:lang w:val="en-US"/>
        </w:rPr>
        <w:tab/>
      </w:r>
      <w:r>
        <w:rPr>
          <w:i/>
          <w:iCs/>
          <w:sz w:val="22"/>
          <w:szCs w:val="22"/>
        </w:rPr>
        <w:t xml:space="preserve">consolidation of many cases, trusts were recognised as being able to enter into contracts relating to acquisition of immovable property. </w:t>
      </w:r>
      <w:r>
        <w:rPr>
          <w:i/>
          <w:iCs/>
          <w:sz w:val="22"/>
          <w:szCs w:val="22"/>
          <w:u w:val="single"/>
        </w:rPr>
        <w:t>It would be absurd to cloth a trust with locus stand</w:t>
      </w:r>
      <w:r>
        <w:rPr>
          <w:i/>
          <w:iCs/>
          <w:sz w:val="22"/>
          <w:szCs w:val="22"/>
          <w:u w:val="single"/>
          <w:lang w:val="en-US"/>
        </w:rPr>
        <w:t>i</w:t>
      </w:r>
      <w:r>
        <w:rPr>
          <w:i/>
          <w:iCs/>
          <w:sz w:val="22"/>
          <w:szCs w:val="22"/>
          <w:u w:val="single"/>
        </w:rPr>
        <w:t xml:space="preserve"> to sue and be sued and then aver that it has no contra</w:t>
      </w:r>
      <w:r>
        <w:rPr>
          <w:i/>
          <w:iCs/>
          <w:sz w:val="22"/>
          <w:szCs w:val="22"/>
          <w:u w:val="single"/>
        </w:rPr>
        <w:t>ctual capacity</w:t>
      </w:r>
      <w:r>
        <w:rPr>
          <w:i/>
          <w:iCs/>
          <w:sz w:val="22"/>
          <w:szCs w:val="22"/>
        </w:rPr>
        <w:t>.”</w:t>
      </w:r>
      <w:r>
        <w:t xml:space="preserve"> (emphasis is </w:t>
      </w:r>
      <w:r>
        <w:rPr>
          <w:lang w:val="en-US"/>
        </w:rPr>
        <w:tab/>
      </w:r>
      <w:r>
        <w:t>mine).</w:t>
      </w:r>
    </w:p>
    <w:p w:rsidR="00357444" w:rsidRDefault="00357444">
      <w:pPr>
        <w:pStyle w:val="NormalWeb"/>
        <w:spacing w:before="0" w:beforeAutospacing="0" w:after="0" w:afterAutospacing="0" w:line="360" w:lineRule="auto"/>
        <w:jc w:val="both"/>
      </w:pPr>
    </w:p>
    <w:p w:rsidR="00357444" w:rsidRDefault="009857A9">
      <w:pPr>
        <w:pStyle w:val="NormalWeb"/>
        <w:numPr>
          <w:ilvl w:val="0"/>
          <w:numId w:val="4"/>
        </w:numPr>
        <w:spacing w:before="0" w:beforeAutospacing="0" w:after="0" w:afterAutospacing="0" w:line="360" w:lineRule="auto"/>
        <w:ind w:firstLine="720"/>
        <w:jc w:val="both"/>
      </w:pPr>
      <w:r>
        <w:t xml:space="preserve">The argument by the respondents that the Rules of this court cannot amend the </w:t>
      </w:r>
      <w:r>
        <w:rPr>
          <w:lang w:val="en-US"/>
        </w:rPr>
        <w:tab/>
      </w:r>
      <w:r>
        <w:t xml:space="preserve">common law position on the </w:t>
      </w:r>
      <w:r>
        <w:rPr>
          <w:i/>
        </w:rPr>
        <w:t>locus standi</w:t>
      </w:r>
      <w:r>
        <w:t xml:space="preserve"> of a Trust has no merit.</w:t>
      </w:r>
      <w:r>
        <w:rPr>
          <w:color w:val="212529"/>
          <w:shd w:val="clear" w:color="auto" w:fill="FFFFFF"/>
        </w:rPr>
        <w:t xml:space="preserve"> the Supreme Court </w:t>
      </w:r>
      <w:r>
        <w:rPr>
          <w:color w:val="212529"/>
          <w:shd w:val="clear" w:color="auto" w:fill="FFFFFF"/>
          <w:lang w:val="en-US"/>
        </w:rPr>
        <w:tab/>
      </w:r>
      <w:r>
        <w:rPr>
          <w:color w:val="212529"/>
          <w:shd w:val="clear" w:color="auto" w:fill="FFFFFF"/>
        </w:rPr>
        <w:t>decision in </w:t>
      </w:r>
      <w:r>
        <w:rPr>
          <w:i/>
          <w:iCs/>
          <w:color w:val="212529"/>
          <w:shd w:val="clear" w:color="auto" w:fill="FFFFFF"/>
        </w:rPr>
        <w:t>Sharadkumah Patel &amp; Anor </w:t>
      </w:r>
      <w:r>
        <w:rPr>
          <w:color w:val="212529"/>
          <w:shd w:val="clear" w:color="auto" w:fill="FFFFFF"/>
        </w:rPr>
        <w:t>v</w:t>
      </w:r>
      <w:r>
        <w:rPr>
          <w:i/>
          <w:iCs/>
          <w:color w:val="212529"/>
          <w:shd w:val="clear" w:color="auto" w:fill="FFFFFF"/>
        </w:rPr>
        <w:t xml:space="preserve"> The Cosm Trust </w:t>
      </w:r>
      <w:r>
        <w:rPr>
          <w:i/>
          <w:iCs/>
          <w:color w:val="212529"/>
          <w:shd w:val="clear" w:color="auto" w:fill="FFFFFF"/>
        </w:rPr>
        <w:t>&amp; Ors, SC 163/21 </w:t>
      </w:r>
      <w:r>
        <w:rPr>
          <w:color w:val="212529"/>
          <w:shd w:val="clear" w:color="auto" w:fill="FFFFFF"/>
        </w:rPr>
        <w:t xml:space="preserve">held that </w:t>
      </w:r>
      <w:r>
        <w:rPr>
          <w:color w:val="212529"/>
          <w:shd w:val="clear" w:color="auto" w:fill="FFFFFF"/>
          <w:lang w:val="en-US"/>
        </w:rPr>
        <w:tab/>
      </w:r>
      <w:r>
        <w:rPr>
          <w:color w:val="212529"/>
          <w:shd w:val="clear" w:color="auto" w:fill="FFFFFF"/>
        </w:rPr>
        <w:t>the High Court rules had modified the common law in order to create </w:t>
      </w:r>
      <w:r>
        <w:rPr>
          <w:i/>
          <w:iCs/>
          <w:color w:val="212529"/>
          <w:shd w:val="clear" w:color="auto" w:fill="FFFFFF"/>
        </w:rPr>
        <w:t>locus standi</w:t>
      </w:r>
      <w:r>
        <w:rPr>
          <w:color w:val="212529"/>
          <w:shd w:val="clear" w:color="auto" w:fill="FFFFFF"/>
        </w:rPr>
        <w:t xml:space="preserve"> for </w:t>
      </w:r>
      <w:r>
        <w:rPr>
          <w:color w:val="212529"/>
          <w:shd w:val="clear" w:color="auto" w:fill="FFFFFF"/>
          <w:lang w:val="en-US"/>
        </w:rPr>
        <w:tab/>
      </w:r>
      <w:r>
        <w:rPr>
          <w:color w:val="212529"/>
          <w:shd w:val="clear" w:color="auto" w:fill="FFFFFF"/>
        </w:rPr>
        <w:t>a trust.</w:t>
      </w:r>
    </w:p>
    <w:p w:rsidR="00357444" w:rsidRDefault="009857A9">
      <w:pPr>
        <w:pStyle w:val="NormalWeb"/>
        <w:spacing w:before="0" w:beforeAutospacing="0" w:after="0" w:afterAutospacing="0" w:line="360" w:lineRule="auto"/>
        <w:ind w:firstLine="720"/>
        <w:jc w:val="both"/>
      </w:pPr>
      <w:r>
        <w:rPr>
          <w:lang w:val="en-US"/>
        </w:rPr>
        <w:t xml:space="preserve">(28) </w:t>
      </w:r>
      <w:r>
        <w:t xml:space="preserve">In my considered view, it will be absurd for a Trust to have </w:t>
      </w:r>
      <w:r>
        <w:rPr>
          <w:i/>
        </w:rPr>
        <w:t>locus standi</w:t>
      </w:r>
      <w:r>
        <w:t xml:space="preserve"> and yet </w:t>
      </w:r>
      <w:r>
        <w:rPr>
          <w:lang w:val="en-US"/>
        </w:rPr>
        <w:tab/>
      </w:r>
      <w:r>
        <w:t xml:space="preserve">lack contractual capacity. It only stands to </w:t>
      </w:r>
      <w:r>
        <w:t xml:space="preserve">reason that an entity which can sue or be </w:t>
      </w:r>
      <w:r>
        <w:rPr>
          <w:lang w:val="en-US"/>
        </w:rPr>
        <w:tab/>
      </w:r>
      <w:r>
        <w:t xml:space="preserve">sued means it is a legal persona with the capacity to run affairs in its own name and </w:t>
      </w:r>
      <w:r>
        <w:rPr>
          <w:lang w:val="en-US"/>
        </w:rPr>
        <w:tab/>
      </w:r>
      <w:r>
        <w:t>can enter into agreements.</w:t>
      </w:r>
    </w:p>
    <w:p w:rsidR="00357444" w:rsidRDefault="009857A9">
      <w:pPr>
        <w:pStyle w:val="NormalWeb"/>
        <w:spacing w:before="0" w:beforeAutospacing="0" w:after="0" w:afterAutospacing="0" w:line="360" w:lineRule="auto"/>
        <w:ind w:firstLine="720"/>
        <w:jc w:val="both"/>
      </w:pPr>
      <w:r>
        <w:rPr>
          <w:lang w:val="en-US"/>
        </w:rPr>
        <w:t>(29)</w:t>
      </w:r>
      <w:r>
        <w:t xml:space="preserve">The preliminary point attacking the contractual capacity of the applicant and the </w:t>
      </w:r>
      <w:r>
        <w:rPr>
          <w:lang w:val="en-US"/>
        </w:rPr>
        <w:tab/>
      </w:r>
      <w:r>
        <w:t xml:space="preserve">validity of </w:t>
      </w:r>
      <w:r>
        <w:t xml:space="preserve">the contract must fail. </w:t>
      </w:r>
    </w:p>
    <w:p w:rsidR="00357444" w:rsidRDefault="00357444">
      <w:pPr>
        <w:pStyle w:val="NormalWeb"/>
        <w:spacing w:before="0" w:beforeAutospacing="0" w:after="0" w:afterAutospacing="0" w:line="360" w:lineRule="auto"/>
        <w:jc w:val="both"/>
      </w:pPr>
    </w:p>
    <w:p w:rsidR="00357444" w:rsidRDefault="009857A9">
      <w:pPr>
        <w:pStyle w:val="NormalWeb"/>
        <w:spacing w:before="0" w:beforeAutospacing="0" w:after="0" w:afterAutospacing="0" w:line="360" w:lineRule="auto"/>
        <w:jc w:val="both"/>
        <w:rPr>
          <w:rFonts w:eastAsia="Arial"/>
          <w:b/>
          <w:bCs/>
          <w:color w:val="000000"/>
        </w:rPr>
      </w:pPr>
      <w:r>
        <w:rPr>
          <w:rFonts w:eastAsia="Arial"/>
          <w:b/>
          <w:bCs/>
          <w:color w:val="000000"/>
        </w:rPr>
        <w:t>WHETHER OR NOT THE CLAIM HAS PRESCRIBED:</w:t>
      </w: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 xml:space="preserve">(30) </w:t>
      </w:r>
      <w:r>
        <w:rPr>
          <w:rFonts w:ascii="Times New Roman" w:eastAsia="Arial" w:hAnsi="Times New Roman" w:cs="Times New Roman"/>
          <w:sz w:val="24"/>
          <w:szCs w:val="24"/>
        </w:rPr>
        <w:t xml:space="preserve">The respondents allege that the claim has prescribed because the application is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built on the allegation that the applicant extinguished its obligations in May 2019 and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immediately acquired the right to take transfer. The right to effect transfer is said to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have lapsed in three years, that is, in April 2022. </w:t>
      </w: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 xml:space="preserve">(31) </w:t>
      </w:r>
      <w:r>
        <w:rPr>
          <w:rFonts w:ascii="Times New Roman" w:eastAsia="Arial" w:hAnsi="Times New Roman" w:cs="Times New Roman"/>
          <w:sz w:val="24"/>
          <w:szCs w:val="24"/>
        </w:rPr>
        <w:t xml:space="preserve">In terms of the Prescription Act </w:t>
      </w:r>
      <w:r>
        <w:rPr>
          <w:rFonts w:ascii="Times New Roman" w:eastAsia="Arial" w:hAnsi="Times New Roman" w:cs="Times New Roman"/>
          <w:sz w:val="24"/>
          <w:szCs w:val="24"/>
          <w:lang w:val="en-US"/>
        </w:rPr>
        <w:t>[</w:t>
      </w:r>
      <w:r>
        <w:rPr>
          <w:rFonts w:ascii="Times New Roman" w:eastAsia="Arial" w:hAnsi="Times New Roman" w:cs="Times New Roman"/>
          <w:sz w:val="24"/>
          <w:szCs w:val="24"/>
        </w:rPr>
        <w:t>Chapter 8:11</w:t>
      </w:r>
      <w:r>
        <w:rPr>
          <w:rFonts w:ascii="Times New Roman" w:eastAsia="Arial" w:hAnsi="Times New Roman" w:cs="Times New Roman"/>
          <w:sz w:val="24"/>
          <w:szCs w:val="24"/>
          <w:lang w:val="en-US"/>
        </w:rPr>
        <w:t>]</w:t>
      </w:r>
      <w:r>
        <w:rPr>
          <w:rFonts w:ascii="Times New Roman" w:eastAsia="Arial" w:hAnsi="Times New Roman" w:cs="Times New Roman"/>
          <w:sz w:val="24"/>
          <w:szCs w:val="24"/>
        </w:rPr>
        <w:t xml:space="preserve"> the period of prescription shall be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three years and </w:t>
      </w:r>
      <w:r>
        <w:rPr>
          <w:rFonts w:ascii="Times New Roman" w:eastAsia="Arial" w:hAnsi="Times New Roman" w:cs="Times New Roman"/>
          <w:sz w:val="24"/>
          <w:szCs w:val="24"/>
        </w:rPr>
        <w:t>prescription shall commence to run as soon as a debt is due</w:t>
      </w:r>
      <w:r>
        <w:rPr>
          <w:rFonts w:ascii="Times New Roman" w:hAnsi="Times New Roman" w:cs="Times New Roman"/>
          <w:sz w:val="24"/>
          <w:szCs w:val="24"/>
          <w:vertAlign w:val="superscript"/>
        </w:rPr>
        <w:t>.</w:t>
      </w:r>
      <w:r>
        <w:rPr>
          <w:rFonts w:ascii="Times New Roman" w:eastAsia="Arial" w:hAnsi="Times New Roman" w:cs="Times New Roman"/>
          <w:sz w:val="24"/>
          <w:szCs w:val="24"/>
        </w:rPr>
        <w:t xml:space="preserve"> Section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16 (3) of the Prescription Act provides that the running of prescription can only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commence upon the creditor becoming aware of the debtor’s identity and all factors </w:t>
      </w:r>
      <w:r>
        <w:rPr>
          <w:rFonts w:ascii="Times New Roman" w:eastAsia="Arial" w:hAnsi="Times New Roman" w:cs="Times New Roman"/>
          <w:sz w:val="24"/>
          <w:szCs w:val="24"/>
          <w:lang w:val="en-US"/>
        </w:rPr>
        <w:tab/>
      </w:r>
      <w:r>
        <w:rPr>
          <w:rFonts w:ascii="Times New Roman" w:eastAsia="Arial" w:hAnsi="Times New Roman" w:cs="Times New Roman"/>
          <w:sz w:val="24"/>
          <w:szCs w:val="24"/>
        </w:rPr>
        <w:t>surrounding the cla</w:t>
      </w:r>
      <w:r>
        <w:rPr>
          <w:rFonts w:ascii="Times New Roman" w:eastAsia="Arial" w:hAnsi="Times New Roman" w:cs="Times New Roman"/>
          <w:sz w:val="24"/>
          <w:szCs w:val="24"/>
        </w:rPr>
        <w:t>im.</w:t>
      </w: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(32)</w:t>
      </w:r>
      <w:r>
        <w:rPr>
          <w:rFonts w:ascii="Times New Roman" w:eastAsia="Arial" w:hAnsi="Times New Roman" w:cs="Times New Roman"/>
          <w:sz w:val="24"/>
          <w:szCs w:val="24"/>
        </w:rPr>
        <w:t xml:space="preserve"> In </w:t>
      </w:r>
      <w:r>
        <w:rPr>
          <w:rFonts w:ascii="Times New Roman" w:eastAsia="Arial" w:hAnsi="Times New Roman" w:cs="Times New Roman"/>
          <w:i/>
          <w:sz w:val="24"/>
          <w:szCs w:val="24"/>
        </w:rPr>
        <w:t xml:space="preserve">Chiwawa </w:t>
      </w:r>
      <w:r>
        <w:rPr>
          <w:rFonts w:ascii="Times New Roman" w:eastAsia="Arial" w:hAnsi="Times New Roman" w:cs="Times New Roman"/>
          <w:iCs/>
          <w:sz w:val="24"/>
          <w:szCs w:val="24"/>
        </w:rPr>
        <w:t>v</w:t>
      </w:r>
      <w:r>
        <w:rPr>
          <w:rFonts w:ascii="Times New Roman" w:eastAsia="Arial" w:hAnsi="Times New Roman" w:cs="Times New Roman"/>
          <w:i/>
          <w:sz w:val="24"/>
          <w:szCs w:val="24"/>
        </w:rPr>
        <w:t xml:space="preserve"> Mtzuris &amp; Ors</w:t>
      </w:r>
      <w:r>
        <w:rPr>
          <w:rFonts w:ascii="Times New Roman" w:eastAsia="Arial" w:hAnsi="Times New Roman" w:cs="Times New Roman"/>
          <w:sz w:val="24"/>
          <w:szCs w:val="24"/>
        </w:rPr>
        <w:t xml:space="preserve"> 2009 (1) ZLR 72 it was held that: </w:t>
      </w:r>
    </w:p>
    <w:p w:rsidR="00357444" w:rsidRDefault="009857A9">
      <w:pPr>
        <w:spacing w:line="240" w:lineRule="auto"/>
        <w:ind w:left="1440"/>
        <w:jc w:val="both"/>
        <w:rPr>
          <w:rFonts w:ascii="Times New Roman" w:eastAsia="Arial" w:hAnsi="Times New Roman" w:cs="Times New Roman"/>
          <w:i/>
          <w:sz w:val="24"/>
          <w:szCs w:val="24"/>
        </w:rPr>
      </w:pPr>
      <w:r>
        <w:rPr>
          <w:rFonts w:ascii="Times New Roman" w:eastAsia="Arial" w:hAnsi="Times New Roman" w:cs="Times New Roman"/>
          <w:i/>
        </w:rPr>
        <w:lastRenderedPageBreak/>
        <w:t xml:space="preserve">“The period stipulated in the Act for the extinction of debts is peremptory. It cannot be waived. It is neither fixed in the discretion of the court nor can the court extend the period </w:t>
      </w:r>
      <w:r>
        <w:rPr>
          <w:rFonts w:ascii="Times New Roman" w:eastAsia="Arial" w:hAnsi="Times New Roman" w:cs="Times New Roman"/>
          <w:i/>
        </w:rPr>
        <w:t xml:space="preserve">for good cause shown. Like the sword of Democles, it falls on all uncollected debts and falls on a predetermined date.” </w:t>
      </w:r>
    </w:p>
    <w:p w:rsidR="00357444" w:rsidRDefault="009857A9">
      <w:pPr>
        <w:spacing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In </w:t>
      </w:r>
      <w:r>
        <w:rPr>
          <w:rFonts w:ascii="Times New Roman" w:eastAsia="Arial" w:hAnsi="Times New Roman" w:cs="Times New Roman"/>
          <w:i/>
          <w:iCs/>
          <w:sz w:val="24"/>
          <w:szCs w:val="24"/>
        </w:rPr>
        <w:t>Chirinda</w:t>
      </w:r>
      <w:r>
        <w:rPr>
          <w:rFonts w:ascii="Times New Roman" w:eastAsia="Arial" w:hAnsi="Times New Roman" w:cs="Times New Roman"/>
          <w:i/>
          <w:sz w:val="24"/>
          <w:szCs w:val="24"/>
        </w:rPr>
        <w:t xml:space="preserve"> </w:t>
      </w:r>
      <w:r>
        <w:rPr>
          <w:rFonts w:ascii="Times New Roman" w:eastAsia="Arial" w:hAnsi="Times New Roman" w:cs="Times New Roman"/>
          <w:sz w:val="24"/>
          <w:szCs w:val="24"/>
        </w:rPr>
        <w:t>v</w:t>
      </w:r>
      <w:r>
        <w:rPr>
          <w:rFonts w:ascii="Times New Roman" w:eastAsia="Arial" w:hAnsi="Times New Roman" w:cs="Times New Roman"/>
          <w:i/>
          <w:sz w:val="24"/>
          <w:szCs w:val="24"/>
        </w:rPr>
        <w:t xml:space="preserve"> Van der Merwe &amp; Anor</w:t>
      </w:r>
      <w:r>
        <w:rPr>
          <w:rFonts w:ascii="Times New Roman" w:eastAsia="Arial" w:hAnsi="Times New Roman" w:cs="Times New Roman"/>
          <w:i/>
          <w:sz w:val="24"/>
          <w:szCs w:val="24"/>
          <w:vertAlign w:val="superscript"/>
        </w:rPr>
        <w:t xml:space="preserve"> </w:t>
      </w:r>
      <w:r>
        <w:rPr>
          <w:rFonts w:ascii="Times New Roman" w:hAnsi="Times New Roman" w:cs="Times New Roman"/>
          <w:i/>
          <w:color w:val="000000"/>
          <w:sz w:val="24"/>
          <w:szCs w:val="24"/>
        </w:rPr>
        <w:t>HH</w:t>
      </w:r>
      <w:r>
        <w:rPr>
          <w:rFonts w:ascii="Times New Roman" w:hAnsi="Times New Roman" w:cs="Times New Roman"/>
          <w:color w:val="000000"/>
          <w:sz w:val="24"/>
          <w:szCs w:val="24"/>
        </w:rPr>
        <w:t xml:space="preserve"> 51/13</w:t>
      </w:r>
      <w:r>
        <w:rPr>
          <w:rFonts w:ascii="Times New Roman" w:hAnsi="Times New Roman" w:cs="Times New Roman"/>
          <w:i/>
          <w:color w:val="000000"/>
          <w:sz w:val="24"/>
          <w:szCs w:val="24"/>
        </w:rPr>
        <w:t xml:space="preserve"> </w:t>
      </w:r>
      <w:r>
        <w:rPr>
          <w:rFonts w:ascii="Times New Roman" w:eastAsia="Arial" w:hAnsi="Times New Roman" w:cs="Times New Roman"/>
          <w:sz w:val="24"/>
          <w:szCs w:val="24"/>
        </w:rPr>
        <w:t>the court stated as follows:</w:t>
      </w:r>
    </w:p>
    <w:p w:rsidR="00357444" w:rsidRDefault="009857A9">
      <w:pPr>
        <w:spacing w:line="240" w:lineRule="auto"/>
        <w:ind w:left="1440" w:firstLine="720"/>
        <w:jc w:val="both"/>
        <w:rPr>
          <w:rFonts w:ascii="Times New Roman" w:eastAsia="Arial" w:hAnsi="Times New Roman" w:cs="Times New Roman"/>
          <w:i/>
          <w:iCs/>
        </w:rPr>
      </w:pPr>
      <w:r>
        <w:rPr>
          <w:rFonts w:ascii="Times New Roman" w:eastAsia="Arial" w:hAnsi="Times New Roman" w:cs="Times New Roman"/>
          <w:i/>
          <w:iCs/>
          <w:lang w:val="en-US"/>
        </w:rPr>
        <w:t>“</w:t>
      </w:r>
      <w:r>
        <w:rPr>
          <w:rFonts w:ascii="Times New Roman" w:eastAsia="Arial" w:hAnsi="Times New Roman" w:cs="Times New Roman"/>
          <w:i/>
          <w:iCs/>
        </w:rPr>
        <w:t xml:space="preserve">It is therefore trite that prescription runs from the date </w:t>
      </w:r>
      <w:r>
        <w:rPr>
          <w:rFonts w:ascii="Times New Roman" w:eastAsia="Arial" w:hAnsi="Times New Roman" w:cs="Times New Roman"/>
          <w:i/>
          <w:iCs/>
        </w:rPr>
        <w:t>that a debt becomes due. A debt becomes due when the creditor becomes aware of the identity of the debtor and the facts giving rise to the cause of action. The cause of action in any action or claim is the entire set of facts which give rise to an enforcea</w:t>
      </w:r>
      <w:r>
        <w:rPr>
          <w:rFonts w:ascii="Times New Roman" w:eastAsia="Arial" w:hAnsi="Times New Roman" w:cs="Times New Roman"/>
          <w:i/>
          <w:iCs/>
        </w:rPr>
        <w:t>ble claim and includes every act which is material to be proved to entitle a plaintiff to succeed in his claim.”</w:t>
      </w: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(33)</w:t>
      </w:r>
      <w:r>
        <w:rPr>
          <w:rFonts w:ascii="Times New Roman" w:eastAsia="Arial" w:hAnsi="Times New Roman" w:cs="Times New Roman"/>
          <w:sz w:val="24"/>
          <w:szCs w:val="24"/>
        </w:rPr>
        <w:t xml:space="preserve">The applicant argued that </w:t>
      </w:r>
      <w:r>
        <w:rPr>
          <w:rFonts w:ascii="Times New Roman" w:hAnsi="Times New Roman" w:cs="Times New Roman"/>
          <w:sz w:val="24"/>
          <w:szCs w:val="24"/>
        </w:rPr>
        <w:t xml:space="preserve">the transfer of shares to the purchaser (Applicant) will </w:t>
      </w:r>
      <w:r>
        <w:rPr>
          <w:rFonts w:ascii="Times New Roman" w:hAnsi="Times New Roman" w:cs="Times New Roman"/>
          <w:sz w:val="24"/>
          <w:szCs w:val="24"/>
          <w:lang w:val="en-US"/>
        </w:rPr>
        <w:tab/>
      </w:r>
      <w:r>
        <w:rPr>
          <w:rFonts w:ascii="Times New Roman" w:hAnsi="Times New Roman" w:cs="Times New Roman"/>
          <w:sz w:val="24"/>
          <w:szCs w:val="24"/>
        </w:rPr>
        <w:t>be delayed pending preparation and approval of survey d</w:t>
      </w:r>
      <w:r>
        <w:rPr>
          <w:rFonts w:ascii="Times New Roman" w:hAnsi="Times New Roman" w:cs="Times New Roman"/>
          <w:sz w:val="24"/>
          <w:szCs w:val="24"/>
        </w:rPr>
        <w:t xml:space="preserve">iagrams by Land Surveyor </w:t>
      </w:r>
      <w:r>
        <w:rPr>
          <w:rFonts w:ascii="Times New Roman" w:hAnsi="Times New Roman" w:cs="Times New Roman"/>
          <w:sz w:val="24"/>
          <w:szCs w:val="24"/>
          <w:lang w:val="en-US"/>
        </w:rPr>
        <w:tab/>
      </w:r>
      <w:r>
        <w:rPr>
          <w:rFonts w:ascii="Times New Roman" w:hAnsi="Times New Roman" w:cs="Times New Roman"/>
          <w:sz w:val="24"/>
          <w:szCs w:val="24"/>
        </w:rPr>
        <w:t xml:space="preserve">for the undivided share scheme and registration of the said Notarial Deed. </w:t>
      </w:r>
      <w:r>
        <w:rPr>
          <w:rFonts w:ascii="Times New Roman" w:eastAsia="Arial" w:hAnsi="Times New Roman" w:cs="Times New Roman"/>
          <w:sz w:val="24"/>
          <w:szCs w:val="24"/>
        </w:rPr>
        <w:t xml:space="preserve">It was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never a term of the agreement that transfer would be effected upon payment of the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purchase price. </w:t>
      </w:r>
      <w:r>
        <w:rPr>
          <w:rFonts w:ascii="Times New Roman" w:hAnsi="Times New Roman" w:cs="Times New Roman"/>
          <w:sz w:val="24"/>
          <w:szCs w:val="24"/>
        </w:rPr>
        <w:t xml:space="preserve">The respondents’ defence of prescription relies </w:t>
      </w:r>
      <w:r>
        <w:rPr>
          <w:rFonts w:ascii="Times New Roman" w:hAnsi="Times New Roman" w:cs="Times New Roman"/>
          <w:sz w:val="24"/>
          <w:szCs w:val="24"/>
        </w:rPr>
        <w:t xml:space="preserve">on an allegation that </w:t>
      </w:r>
      <w:r>
        <w:rPr>
          <w:rFonts w:ascii="Times New Roman" w:hAnsi="Times New Roman" w:cs="Times New Roman"/>
          <w:sz w:val="24"/>
          <w:szCs w:val="24"/>
          <w:lang w:val="en-US"/>
        </w:rPr>
        <w:tab/>
      </w:r>
      <w:r>
        <w:rPr>
          <w:rFonts w:ascii="Times New Roman" w:hAnsi="Times New Roman" w:cs="Times New Roman"/>
          <w:sz w:val="24"/>
          <w:szCs w:val="24"/>
        </w:rPr>
        <w:t>was not contemplated in the contract between the parties.</w:t>
      </w: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hAnsi="Times New Roman" w:cs="Times New Roman"/>
          <w:sz w:val="24"/>
          <w:szCs w:val="24"/>
          <w:lang w:val="en-US"/>
        </w:rPr>
        <w:t xml:space="preserve">(34) </w:t>
      </w:r>
      <w:r>
        <w:rPr>
          <w:rFonts w:ascii="Times New Roman" w:hAnsi="Times New Roman" w:cs="Times New Roman"/>
          <w:sz w:val="24"/>
          <w:szCs w:val="24"/>
        </w:rPr>
        <w:t xml:space="preserve">In </w:t>
      </w:r>
      <w:r>
        <w:rPr>
          <w:rFonts w:ascii="Times New Roman" w:hAnsi="Times New Roman" w:cs="Times New Roman"/>
          <w:i/>
          <w:iCs/>
          <w:sz w:val="24"/>
          <w:szCs w:val="24"/>
        </w:rPr>
        <w:t>Nguluwe &amp; Anor</w:t>
      </w:r>
      <w:r>
        <w:rPr>
          <w:rFonts w:ascii="Times New Roman" w:hAnsi="Times New Roman" w:cs="Times New Roman"/>
          <w:sz w:val="24"/>
          <w:szCs w:val="24"/>
        </w:rPr>
        <w:t xml:space="preserve"> v </w:t>
      </w:r>
      <w:r>
        <w:rPr>
          <w:rFonts w:ascii="Times New Roman" w:hAnsi="Times New Roman" w:cs="Times New Roman"/>
          <w:i/>
          <w:iCs/>
          <w:sz w:val="24"/>
          <w:szCs w:val="24"/>
        </w:rPr>
        <w:t>Dewa (Nee Nguluwe) &amp; Ors</w:t>
      </w:r>
      <w:r>
        <w:rPr>
          <w:rFonts w:ascii="Times New Roman" w:hAnsi="Times New Roman" w:cs="Times New Roman"/>
          <w:sz w:val="24"/>
          <w:szCs w:val="24"/>
        </w:rPr>
        <w:t xml:space="preserve"> HH-387-23 the court held that </w:t>
      </w:r>
      <w:r>
        <w:rPr>
          <w:rFonts w:ascii="Times New Roman" w:hAnsi="Times New Roman" w:cs="Times New Roman"/>
          <w:sz w:val="24"/>
          <w:szCs w:val="24"/>
          <w:lang w:val="en-US"/>
        </w:rPr>
        <w:tab/>
      </w:r>
      <w:r>
        <w:rPr>
          <w:rFonts w:ascii="Times New Roman" w:hAnsi="Times New Roman" w:cs="Times New Roman"/>
          <w:sz w:val="24"/>
          <w:szCs w:val="24"/>
        </w:rPr>
        <w:t>a claim for a declarator prescribes.</w:t>
      </w: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(35)</w:t>
      </w:r>
      <w:r>
        <w:rPr>
          <w:rFonts w:ascii="Times New Roman" w:eastAsia="Arial" w:hAnsi="Times New Roman" w:cs="Times New Roman"/>
          <w:sz w:val="24"/>
          <w:szCs w:val="24"/>
        </w:rPr>
        <w:t xml:space="preserve">The onus is upon the respondents to prove when </w:t>
      </w:r>
      <w:r>
        <w:rPr>
          <w:rFonts w:ascii="Times New Roman" w:eastAsia="Arial" w:hAnsi="Times New Roman" w:cs="Times New Roman"/>
          <w:sz w:val="24"/>
          <w:szCs w:val="24"/>
        </w:rPr>
        <w:t>prescription began to run</w:t>
      </w:r>
      <w:r>
        <w:rPr>
          <w:rFonts w:ascii="Times New Roman" w:eastAsia="Arial"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There </w:t>
      </w:r>
      <w:r>
        <w:rPr>
          <w:rFonts w:ascii="Times New Roman" w:hAnsi="Times New Roman" w:cs="Times New Roman"/>
          <w:sz w:val="24"/>
          <w:szCs w:val="24"/>
          <w:lang w:val="en-US"/>
        </w:rPr>
        <w:tab/>
      </w:r>
      <w:r>
        <w:rPr>
          <w:rFonts w:ascii="Times New Roman" w:hAnsi="Times New Roman" w:cs="Times New Roman"/>
          <w:sz w:val="24"/>
          <w:szCs w:val="24"/>
        </w:rPr>
        <w:t>is no evidence of when the alleged prescription began to run</w:t>
      </w:r>
      <w:r>
        <w:rPr>
          <w:rFonts w:ascii="Times New Roman" w:hAnsi="Times New Roman" w:cs="Times New Roman"/>
          <w:b/>
          <w:sz w:val="24"/>
          <w:szCs w:val="24"/>
        </w:rPr>
        <w:t xml:space="preserve">. </w:t>
      </w:r>
      <w:r>
        <w:rPr>
          <w:rFonts w:ascii="Times New Roman" w:eastAsia="Arial" w:hAnsi="Times New Roman" w:cs="Times New Roman"/>
          <w:sz w:val="24"/>
          <w:szCs w:val="24"/>
        </w:rPr>
        <w:t xml:space="preserve"> It is an evidentiary </w:t>
      </w:r>
      <w:r>
        <w:rPr>
          <w:rFonts w:ascii="Times New Roman" w:eastAsia="Arial" w:hAnsi="Times New Roman" w:cs="Times New Roman"/>
          <w:sz w:val="24"/>
          <w:szCs w:val="24"/>
          <w:lang w:val="en-US"/>
        </w:rPr>
        <w:tab/>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burden which the respondents have failed to discharge. The preliminary point raised </w:t>
      </w:r>
      <w:r>
        <w:rPr>
          <w:rFonts w:ascii="Times New Roman" w:eastAsia="Arial" w:hAnsi="Times New Roman" w:cs="Times New Roman"/>
          <w:sz w:val="24"/>
          <w:szCs w:val="24"/>
          <w:lang w:val="en-US"/>
        </w:rPr>
        <w:tab/>
      </w:r>
      <w:r>
        <w:rPr>
          <w:rFonts w:ascii="Times New Roman" w:eastAsia="Arial" w:hAnsi="Times New Roman" w:cs="Times New Roman"/>
          <w:sz w:val="24"/>
          <w:szCs w:val="24"/>
        </w:rPr>
        <w:t>by the respondents ought to be dismissed.</w:t>
      </w:r>
    </w:p>
    <w:p w:rsidR="00357444" w:rsidRDefault="009857A9">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b/>
          <w:bCs/>
          <w:sz w:val="24"/>
          <w:szCs w:val="24"/>
        </w:rPr>
        <w:t>WHETHER O</w:t>
      </w:r>
      <w:r>
        <w:rPr>
          <w:rFonts w:ascii="Times New Roman" w:eastAsia="Arial" w:hAnsi="Times New Roman" w:cs="Times New Roman"/>
          <w:b/>
          <w:bCs/>
          <w:sz w:val="24"/>
          <w:szCs w:val="24"/>
        </w:rPr>
        <w:t xml:space="preserve">R NOT </w:t>
      </w:r>
      <w:r>
        <w:rPr>
          <w:rFonts w:ascii="Times New Roman" w:eastAsia="Arial" w:hAnsi="Times New Roman" w:cs="Times New Roman"/>
          <w:b/>
          <w:bCs/>
          <w:color w:val="000000"/>
          <w:sz w:val="24"/>
          <w:szCs w:val="24"/>
        </w:rPr>
        <w:t>THERE IS VALID OPPOSITION</w:t>
      </w:r>
      <w:r>
        <w:rPr>
          <w:rFonts w:ascii="Times New Roman" w:eastAsia="Arial" w:hAnsi="Times New Roman" w:cs="Times New Roman"/>
          <w:color w:val="000000"/>
          <w:sz w:val="24"/>
          <w:szCs w:val="24"/>
        </w:rPr>
        <w:t>.</w:t>
      </w:r>
    </w:p>
    <w:p w:rsidR="00357444" w:rsidRDefault="009857A9">
      <w:pPr>
        <w:pStyle w:val="ListParagraph"/>
        <w:numPr>
          <w:ilvl w:val="0"/>
          <w:numId w:val="5"/>
        </w:numPr>
        <w:spacing w:after="0" w:line="36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The applicant raises a preliminary point that the deponent has not been duly </w:t>
      </w:r>
      <w:r>
        <w:rPr>
          <w:rFonts w:ascii="Times New Roman" w:eastAsia="Arial" w:hAnsi="Times New Roman" w:cs="Times New Roman"/>
          <w:sz w:val="24"/>
          <w:szCs w:val="24"/>
          <w:lang w:val="en-US"/>
        </w:rPr>
        <w:t>authorized</w:t>
      </w:r>
      <w:r>
        <w:rPr>
          <w:rFonts w:ascii="Times New Roman" w:eastAsia="Arial" w:hAnsi="Times New Roman" w:cs="Times New Roman"/>
          <w:sz w:val="24"/>
          <w:szCs w:val="24"/>
        </w:rPr>
        <w:t xml:space="preserve"> to represent the company as there is no board resolution. This was raised in the answering affidavit thus;</w:t>
      </w:r>
      <w:r>
        <w:rPr>
          <w:rFonts w:ascii="Times New Roman" w:hAnsi="Times New Roman" w:cs="Times New Roman"/>
          <w:sz w:val="24"/>
          <w:szCs w:val="24"/>
        </w:rPr>
        <w:t xml:space="preserve"> </w:t>
      </w:r>
    </w:p>
    <w:p w:rsidR="00357444" w:rsidRDefault="009857A9">
      <w:pPr>
        <w:pStyle w:val="ListParagraph"/>
        <w:spacing w:after="0" w:line="240" w:lineRule="auto"/>
        <w:ind w:left="1440"/>
        <w:jc w:val="both"/>
        <w:rPr>
          <w:rFonts w:ascii="Times New Roman" w:hAnsi="Times New Roman" w:cs="Times New Roman"/>
          <w:i/>
          <w:iCs/>
        </w:rPr>
      </w:pPr>
      <w:r>
        <w:rPr>
          <w:rFonts w:ascii="Times New Roman" w:hAnsi="Times New Roman" w:cs="Times New Roman"/>
          <w:i/>
          <w:iCs/>
        </w:rPr>
        <w:t>There is no valid notice of</w:t>
      </w:r>
      <w:r>
        <w:rPr>
          <w:rFonts w:ascii="Times New Roman" w:hAnsi="Times New Roman" w:cs="Times New Roman"/>
          <w:i/>
          <w:iCs/>
        </w:rPr>
        <w:t xml:space="preserve"> opposition before the court. The deponent has no authority to act on behalf of the 1</w:t>
      </w:r>
      <w:r>
        <w:rPr>
          <w:rFonts w:ascii="Times New Roman" w:hAnsi="Times New Roman" w:cs="Times New Roman"/>
          <w:i/>
          <w:iCs/>
          <w:vertAlign w:val="superscript"/>
          <w:lang w:val="en-US"/>
        </w:rPr>
        <w:t>st</w:t>
      </w:r>
      <w:r>
        <w:rPr>
          <w:rFonts w:ascii="Times New Roman" w:hAnsi="Times New Roman" w:cs="Times New Roman"/>
          <w:i/>
          <w:iCs/>
          <w:lang w:val="en-US"/>
        </w:rPr>
        <w:t xml:space="preserve"> </w:t>
      </w:r>
      <w:r>
        <w:rPr>
          <w:rFonts w:ascii="Times New Roman" w:hAnsi="Times New Roman" w:cs="Times New Roman"/>
          <w:i/>
          <w:iCs/>
        </w:rPr>
        <w:t xml:space="preserve"> and 2</w:t>
      </w:r>
      <w:r>
        <w:rPr>
          <w:rFonts w:ascii="Times New Roman" w:hAnsi="Times New Roman" w:cs="Times New Roman"/>
          <w:i/>
          <w:iCs/>
          <w:vertAlign w:val="superscript"/>
          <w:lang w:val="en-US"/>
        </w:rPr>
        <w:t>nd</w:t>
      </w:r>
      <w:r>
        <w:rPr>
          <w:rFonts w:ascii="Times New Roman" w:hAnsi="Times New Roman" w:cs="Times New Roman"/>
          <w:i/>
          <w:iCs/>
          <w:lang w:val="en-US"/>
        </w:rPr>
        <w:t xml:space="preserve"> </w:t>
      </w:r>
      <w:r>
        <w:rPr>
          <w:rFonts w:ascii="Times New Roman" w:hAnsi="Times New Roman" w:cs="Times New Roman"/>
          <w:i/>
          <w:iCs/>
        </w:rPr>
        <w:t xml:space="preserve"> Respondents. Deponent is on a frolic of his own otherwise he would have attached a board resolution as required by law. No valid opposition can be filed on be</w:t>
      </w:r>
      <w:r>
        <w:rPr>
          <w:rFonts w:ascii="Times New Roman" w:hAnsi="Times New Roman" w:cs="Times New Roman"/>
          <w:i/>
          <w:iCs/>
        </w:rPr>
        <w:t>half of a company without proper authority tendered in the form of a board resolution.”</w:t>
      </w:r>
    </w:p>
    <w:p w:rsidR="00357444" w:rsidRDefault="00357444">
      <w:pPr>
        <w:pStyle w:val="ListParagraph"/>
        <w:spacing w:after="0" w:line="360" w:lineRule="auto"/>
        <w:ind w:left="0"/>
        <w:jc w:val="both"/>
        <w:rPr>
          <w:rFonts w:ascii="Times New Roman" w:eastAsia="Arial" w:hAnsi="Times New Roman" w:cs="Times New Roman"/>
          <w:i/>
          <w:iCs/>
          <w:color w:val="000000"/>
          <w:sz w:val="24"/>
          <w:szCs w:val="24"/>
        </w:rPr>
      </w:pPr>
    </w:p>
    <w:p w:rsidR="00357444" w:rsidRDefault="009857A9">
      <w:pPr>
        <w:pStyle w:val="ListParagraph"/>
        <w:spacing w:after="0" w:line="360" w:lineRule="auto"/>
        <w:ind w:left="0" w:firstLine="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en-US"/>
        </w:rPr>
        <w:t xml:space="preserve">(37) In </w:t>
      </w:r>
      <w:r>
        <w:rPr>
          <w:rFonts w:ascii="Times New Roman" w:eastAsia="Arial" w:hAnsi="Times New Roman" w:cs="Times New Roman"/>
          <w:color w:val="000000"/>
          <w:sz w:val="24"/>
          <w:szCs w:val="24"/>
        </w:rPr>
        <w:t xml:space="preserve">his salutation to the opposing affidavit, the deponent had this to say; “I, the </w:t>
      </w:r>
      <w:r>
        <w:rPr>
          <w:rFonts w:ascii="Times New Roman" w:eastAsia="Arial" w:hAnsi="Times New Roman" w:cs="Times New Roman"/>
          <w:color w:val="000000"/>
          <w:sz w:val="24"/>
          <w:szCs w:val="24"/>
          <w:lang w:val="en-US"/>
        </w:rPr>
        <w:tab/>
      </w:r>
      <w:r>
        <w:rPr>
          <w:rFonts w:ascii="Times New Roman" w:eastAsia="Arial" w:hAnsi="Times New Roman" w:cs="Times New Roman"/>
          <w:color w:val="000000"/>
          <w:sz w:val="24"/>
          <w:szCs w:val="24"/>
        </w:rPr>
        <w:t xml:space="preserve">undersigned Progress Mambo, in my capacity as the Chief Executive Officer of </w:t>
      </w:r>
      <w:r>
        <w:rPr>
          <w:rFonts w:ascii="Times New Roman" w:eastAsia="Arial" w:hAnsi="Times New Roman" w:cs="Times New Roman"/>
          <w:color w:val="000000"/>
          <w:sz w:val="24"/>
          <w:szCs w:val="24"/>
        </w:rPr>
        <w:t>the 1</w:t>
      </w:r>
      <w:r>
        <w:rPr>
          <w:rFonts w:ascii="Times New Roman" w:eastAsia="Arial" w:hAnsi="Times New Roman" w:cs="Times New Roman"/>
          <w:color w:val="000000"/>
          <w:sz w:val="24"/>
          <w:szCs w:val="24"/>
          <w:vertAlign w:val="superscript"/>
        </w:rPr>
        <w:t>st</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lang w:val="en-US"/>
        </w:rPr>
        <w:tab/>
      </w:r>
      <w:r>
        <w:rPr>
          <w:rFonts w:ascii="Times New Roman" w:eastAsia="Arial" w:hAnsi="Times New Roman" w:cs="Times New Roman"/>
          <w:color w:val="000000"/>
          <w:sz w:val="24"/>
          <w:szCs w:val="24"/>
        </w:rPr>
        <w:t>respondent and director of the 2</w:t>
      </w:r>
      <w:r>
        <w:rPr>
          <w:rFonts w:ascii="Times New Roman" w:eastAsia="Arial" w:hAnsi="Times New Roman" w:cs="Times New Roman"/>
          <w:color w:val="000000"/>
          <w:sz w:val="24"/>
          <w:szCs w:val="24"/>
          <w:vertAlign w:val="superscript"/>
        </w:rPr>
        <w:t>nd</w:t>
      </w:r>
      <w:r>
        <w:rPr>
          <w:rFonts w:ascii="Times New Roman" w:eastAsia="Arial" w:hAnsi="Times New Roman" w:cs="Times New Roman"/>
          <w:color w:val="000000"/>
          <w:sz w:val="24"/>
          <w:szCs w:val="24"/>
        </w:rPr>
        <w:t xml:space="preserve"> respondent and as such duly authorized do hereby </w:t>
      </w:r>
      <w:r>
        <w:rPr>
          <w:rFonts w:ascii="Times New Roman" w:eastAsia="Arial" w:hAnsi="Times New Roman" w:cs="Times New Roman"/>
          <w:color w:val="000000"/>
          <w:sz w:val="24"/>
          <w:szCs w:val="24"/>
          <w:lang w:val="en-US"/>
        </w:rPr>
        <w:tab/>
      </w:r>
      <w:r>
        <w:rPr>
          <w:rFonts w:ascii="Times New Roman" w:eastAsia="Arial" w:hAnsi="Times New Roman" w:cs="Times New Roman"/>
          <w:color w:val="000000"/>
          <w:sz w:val="24"/>
          <w:szCs w:val="24"/>
        </w:rPr>
        <w:t xml:space="preserve">make oath and state that the facts I depose to herein are within my personal </w:t>
      </w:r>
      <w:r>
        <w:rPr>
          <w:rFonts w:ascii="Times New Roman" w:eastAsia="Arial" w:hAnsi="Times New Roman" w:cs="Times New Roman"/>
          <w:color w:val="000000"/>
          <w:sz w:val="24"/>
          <w:szCs w:val="24"/>
          <w:lang w:val="en-US"/>
        </w:rPr>
        <w:tab/>
      </w:r>
      <w:r>
        <w:rPr>
          <w:rFonts w:ascii="Times New Roman" w:eastAsia="Arial" w:hAnsi="Times New Roman" w:cs="Times New Roman"/>
          <w:color w:val="000000"/>
          <w:sz w:val="24"/>
          <w:szCs w:val="24"/>
        </w:rPr>
        <w:t>knowledge and unless stated otherwise true and correct in every material respect.”</w:t>
      </w:r>
    </w:p>
    <w:p w:rsidR="00357444" w:rsidRDefault="009857A9">
      <w:pPr>
        <w:pStyle w:val="ListParagraph"/>
        <w:spacing w:after="0" w:line="360" w:lineRule="auto"/>
        <w:ind w:left="0" w:firstLine="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lang w:val="en-US"/>
        </w:rPr>
        <w:lastRenderedPageBreak/>
        <w:t>(</w:t>
      </w:r>
      <w:r>
        <w:rPr>
          <w:rFonts w:ascii="Times New Roman" w:eastAsia="Arial" w:hAnsi="Times New Roman" w:cs="Times New Roman"/>
          <w:color w:val="000000"/>
          <w:sz w:val="24"/>
          <w:szCs w:val="24"/>
          <w:lang w:val="en-US"/>
        </w:rPr>
        <w:t xml:space="preserve">38) </w:t>
      </w:r>
      <w:r>
        <w:rPr>
          <w:rFonts w:ascii="Times New Roman" w:eastAsia="Arial" w:hAnsi="Times New Roman" w:cs="Times New Roman"/>
          <w:color w:val="000000"/>
          <w:sz w:val="24"/>
          <w:szCs w:val="24"/>
        </w:rPr>
        <w:t xml:space="preserve">Mr Magwaliba argued that the applicant having challenged the authority of the </w:t>
      </w:r>
      <w:r>
        <w:rPr>
          <w:rFonts w:ascii="Times New Roman" w:eastAsia="Arial" w:hAnsi="Times New Roman" w:cs="Times New Roman"/>
          <w:color w:val="000000"/>
          <w:sz w:val="24"/>
          <w:szCs w:val="24"/>
          <w:lang w:val="en-US"/>
        </w:rPr>
        <w:tab/>
      </w:r>
      <w:r>
        <w:rPr>
          <w:rFonts w:ascii="Times New Roman" w:eastAsia="Arial" w:hAnsi="Times New Roman" w:cs="Times New Roman"/>
          <w:color w:val="000000"/>
          <w:sz w:val="24"/>
          <w:szCs w:val="24"/>
        </w:rPr>
        <w:t xml:space="preserve">deponent, the respondents did not produce the necessary resolution. He urged the </w:t>
      </w:r>
      <w:r>
        <w:rPr>
          <w:rFonts w:ascii="Times New Roman" w:eastAsia="Arial" w:hAnsi="Times New Roman" w:cs="Times New Roman"/>
          <w:color w:val="000000"/>
          <w:sz w:val="24"/>
          <w:szCs w:val="24"/>
          <w:lang w:val="en-US"/>
        </w:rPr>
        <w:tab/>
      </w:r>
      <w:r>
        <w:rPr>
          <w:rFonts w:ascii="Times New Roman" w:eastAsia="Arial" w:hAnsi="Times New Roman" w:cs="Times New Roman"/>
          <w:color w:val="000000"/>
          <w:sz w:val="24"/>
          <w:szCs w:val="24"/>
        </w:rPr>
        <w:t>court to strike off the opposition and treat the application as unopposed.</w:t>
      </w: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(39)</w:t>
      </w:r>
      <w:r>
        <w:rPr>
          <w:rFonts w:ascii="Times New Roman" w:eastAsia="Arial" w:hAnsi="Times New Roman" w:cs="Times New Roman"/>
          <w:sz w:val="24"/>
          <w:szCs w:val="24"/>
        </w:rPr>
        <w:t xml:space="preserve"> In the </w:t>
      </w:r>
      <w:r>
        <w:rPr>
          <w:rFonts w:ascii="Times New Roman" w:eastAsia="Arial" w:hAnsi="Times New Roman" w:cs="Times New Roman"/>
          <w:i/>
          <w:sz w:val="24"/>
          <w:szCs w:val="24"/>
        </w:rPr>
        <w:t xml:space="preserve">Madzivire &amp; Ors </w:t>
      </w:r>
      <w:r>
        <w:rPr>
          <w:rFonts w:ascii="Times New Roman" w:eastAsia="Arial" w:hAnsi="Times New Roman" w:cs="Times New Roman"/>
          <w:iCs/>
          <w:sz w:val="24"/>
          <w:szCs w:val="24"/>
        </w:rPr>
        <w:t>v</w:t>
      </w:r>
      <w:r>
        <w:rPr>
          <w:rFonts w:ascii="Times New Roman" w:eastAsia="Arial" w:hAnsi="Times New Roman" w:cs="Times New Roman"/>
          <w:i/>
          <w:sz w:val="24"/>
          <w:szCs w:val="24"/>
        </w:rPr>
        <w:t xml:space="preserve"> Zvarivadza &amp; Ors</w:t>
      </w:r>
      <w:r>
        <w:rPr>
          <w:rFonts w:ascii="Times New Roman" w:eastAsia="Arial" w:hAnsi="Times New Roman" w:cs="Times New Roman"/>
          <w:sz w:val="24"/>
          <w:szCs w:val="24"/>
        </w:rPr>
        <w:t xml:space="preserve"> 2006 (1) ZLR 514 (S) the court held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that a company is a separate legal person from its directors and cannot be represented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in a legal dispute by a person who is not </w:t>
      </w:r>
      <w:r>
        <w:rPr>
          <w:rFonts w:ascii="Times New Roman" w:eastAsia="Arial" w:hAnsi="Times New Roman" w:cs="Times New Roman"/>
          <w:sz w:val="24"/>
          <w:szCs w:val="24"/>
          <w:lang w:val="en-US"/>
        </w:rPr>
        <w:t>authorized</w:t>
      </w:r>
      <w:r>
        <w:rPr>
          <w:rFonts w:ascii="Times New Roman" w:eastAsia="Arial" w:hAnsi="Times New Roman" w:cs="Times New Roman"/>
          <w:sz w:val="24"/>
          <w:szCs w:val="24"/>
        </w:rPr>
        <w:t xml:space="preserve"> to do so, the court stated: </w:t>
      </w:r>
    </w:p>
    <w:p w:rsidR="00357444" w:rsidRDefault="009857A9">
      <w:pPr>
        <w:pStyle w:val="ListParagraph"/>
        <w:spacing w:line="240" w:lineRule="auto"/>
        <w:ind w:left="1440" w:firstLine="720"/>
        <w:jc w:val="both"/>
        <w:rPr>
          <w:rFonts w:ascii="Times New Roman" w:eastAsia="Arial" w:hAnsi="Times New Roman" w:cs="Times New Roman"/>
          <w:i/>
          <w:iCs/>
        </w:rPr>
      </w:pPr>
      <w:r>
        <w:rPr>
          <w:rFonts w:ascii="Times New Roman" w:eastAsia="Arial" w:hAnsi="Times New Roman" w:cs="Times New Roman"/>
          <w:i/>
          <w:iCs/>
        </w:rPr>
        <w:t>“It is clear f</w:t>
      </w:r>
      <w:r>
        <w:rPr>
          <w:rFonts w:ascii="Times New Roman" w:eastAsia="Arial" w:hAnsi="Times New Roman" w:cs="Times New Roman"/>
          <w:i/>
          <w:iCs/>
        </w:rPr>
        <w:t xml:space="preserve">rom the above that a company, being a separate legal person from its directors, cannot be represented in a legal suit by a person who has not been </w:t>
      </w:r>
      <w:r>
        <w:rPr>
          <w:rFonts w:ascii="Times New Roman" w:eastAsia="Arial" w:hAnsi="Times New Roman" w:cs="Times New Roman"/>
          <w:i/>
          <w:iCs/>
          <w:lang w:val="en-US"/>
        </w:rPr>
        <w:t>authorized</w:t>
      </w:r>
      <w:r>
        <w:rPr>
          <w:rFonts w:ascii="Times New Roman" w:eastAsia="Arial" w:hAnsi="Times New Roman" w:cs="Times New Roman"/>
          <w:i/>
          <w:iCs/>
        </w:rPr>
        <w:t xml:space="preserve"> to do so. This is a well-established legal principle, which the courts cannot </w:t>
      </w:r>
      <w:r>
        <w:rPr>
          <w:rFonts w:ascii="Times New Roman" w:eastAsia="Arial" w:hAnsi="Times New Roman" w:cs="Times New Roman"/>
          <w:i/>
          <w:iCs/>
          <w:lang w:val="en-US"/>
        </w:rPr>
        <w:tab/>
      </w:r>
      <w:r>
        <w:rPr>
          <w:rFonts w:ascii="Times New Roman" w:eastAsia="Arial" w:hAnsi="Times New Roman" w:cs="Times New Roman"/>
          <w:i/>
          <w:iCs/>
        </w:rPr>
        <w:t>ignore. It does not</w:t>
      </w:r>
      <w:r>
        <w:rPr>
          <w:rFonts w:ascii="Times New Roman" w:eastAsia="Arial" w:hAnsi="Times New Roman" w:cs="Times New Roman"/>
          <w:i/>
          <w:iCs/>
        </w:rPr>
        <w:t xml:space="preserve"> depend on the pleadings by either party. The fact that the first appellant is the managing director of the fourth appellant does not clothe him with the authority to sue on behalf of the company in the absence of any resolution </w:t>
      </w:r>
      <w:r>
        <w:rPr>
          <w:rFonts w:ascii="Times New Roman" w:eastAsia="Arial" w:hAnsi="Times New Roman" w:cs="Times New Roman"/>
          <w:i/>
          <w:iCs/>
          <w:lang w:val="en-US"/>
        </w:rPr>
        <w:t>authorizing</w:t>
      </w:r>
      <w:r>
        <w:rPr>
          <w:rFonts w:ascii="Times New Roman" w:eastAsia="Arial" w:hAnsi="Times New Roman" w:cs="Times New Roman"/>
          <w:i/>
          <w:iCs/>
        </w:rPr>
        <w:t xml:space="preserve"> him to do so.” </w:t>
      </w:r>
    </w:p>
    <w:p w:rsidR="00357444" w:rsidRDefault="00357444">
      <w:pPr>
        <w:pStyle w:val="ListParagraph"/>
        <w:spacing w:line="360" w:lineRule="auto"/>
        <w:ind w:left="1440"/>
        <w:jc w:val="both"/>
        <w:rPr>
          <w:rFonts w:ascii="Times New Roman" w:eastAsia="Arial" w:hAnsi="Times New Roman" w:cs="Times New Roman"/>
          <w:sz w:val="24"/>
          <w:szCs w:val="24"/>
        </w:rPr>
      </w:pPr>
    </w:p>
    <w:p w:rsidR="00357444" w:rsidRDefault="009857A9">
      <w:pPr>
        <w:pStyle w:val="ListParagraph"/>
        <w:spacing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(40)</w:t>
      </w:r>
      <w:r>
        <w:rPr>
          <w:rFonts w:ascii="Times New Roman" w:eastAsia="Arial" w:hAnsi="Times New Roman" w:cs="Times New Roman"/>
          <w:sz w:val="24"/>
          <w:szCs w:val="24"/>
        </w:rPr>
        <w:t xml:space="preserve">The Supreme Court stated that a party can show they have been </w:t>
      </w:r>
      <w:r>
        <w:rPr>
          <w:rFonts w:ascii="Times New Roman" w:eastAsia="Arial" w:hAnsi="Times New Roman" w:cs="Times New Roman"/>
          <w:sz w:val="24"/>
          <w:szCs w:val="24"/>
          <w:lang w:val="en-US"/>
        </w:rPr>
        <w:t>authorized</w:t>
      </w:r>
      <w:r>
        <w:rPr>
          <w:rFonts w:ascii="Times New Roman" w:eastAsia="Arial" w:hAnsi="Times New Roman" w:cs="Times New Roman"/>
          <w:sz w:val="24"/>
          <w:szCs w:val="24"/>
        </w:rPr>
        <w:t xml:space="preserve"> to </w:t>
      </w:r>
      <w:r>
        <w:rPr>
          <w:rFonts w:ascii="Times New Roman" w:eastAsia="Arial" w:hAnsi="Times New Roman" w:cs="Times New Roman"/>
          <w:sz w:val="24"/>
          <w:szCs w:val="24"/>
          <w:lang w:val="en-US"/>
        </w:rPr>
        <w:tab/>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represent the </w:t>
      </w:r>
      <w:r>
        <w:rPr>
          <w:rFonts w:ascii="Times New Roman" w:eastAsia="Arial" w:hAnsi="Times New Roman" w:cs="Times New Roman"/>
          <w:sz w:val="24"/>
          <w:szCs w:val="24"/>
          <w:lang w:val="en-US"/>
        </w:rPr>
        <w:t>organization</w:t>
      </w:r>
      <w:r>
        <w:rPr>
          <w:rFonts w:ascii="Times New Roman" w:eastAsia="Arial" w:hAnsi="Times New Roman" w:cs="Times New Roman"/>
          <w:sz w:val="24"/>
          <w:szCs w:val="24"/>
        </w:rPr>
        <w:t xml:space="preserve"> when it has been challenged, in </w:t>
      </w:r>
      <w:r>
        <w:rPr>
          <w:rFonts w:ascii="Times New Roman" w:eastAsia="Arial" w:hAnsi="Times New Roman" w:cs="Times New Roman"/>
          <w:i/>
          <w:sz w:val="24"/>
          <w:szCs w:val="24"/>
        </w:rPr>
        <w:t>Dube </w:t>
      </w:r>
      <w:r>
        <w:rPr>
          <w:rFonts w:ascii="Times New Roman" w:eastAsia="Arial" w:hAnsi="Times New Roman" w:cs="Times New Roman"/>
          <w:iCs/>
          <w:sz w:val="24"/>
          <w:szCs w:val="24"/>
        </w:rPr>
        <w:t>v</w:t>
      </w:r>
      <w:r>
        <w:rPr>
          <w:rFonts w:ascii="Times New Roman" w:eastAsia="Arial" w:hAnsi="Times New Roman" w:cs="Times New Roman"/>
          <w:i/>
          <w:sz w:val="24"/>
          <w:szCs w:val="24"/>
        </w:rPr>
        <w:t xml:space="preserve"> Premier Service </w:t>
      </w:r>
      <w:r>
        <w:rPr>
          <w:rFonts w:ascii="Times New Roman" w:eastAsia="Arial" w:hAnsi="Times New Roman" w:cs="Times New Roman"/>
          <w:i/>
          <w:sz w:val="24"/>
          <w:szCs w:val="24"/>
          <w:lang w:val="en-US"/>
        </w:rPr>
        <w:tab/>
      </w:r>
      <w:r>
        <w:rPr>
          <w:rFonts w:ascii="Times New Roman" w:eastAsia="Arial" w:hAnsi="Times New Roman" w:cs="Times New Roman"/>
          <w:i/>
          <w:sz w:val="24"/>
          <w:szCs w:val="24"/>
        </w:rPr>
        <w:t>Medical Aid and Another</w:t>
      </w:r>
      <w:r>
        <w:rPr>
          <w:rFonts w:ascii="Times New Roman" w:eastAsia="Arial" w:hAnsi="Times New Roman" w:cs="Times New Roman"/>
          <w:sz w:val="24"/>
          <w:szCs w:val="24"/>
        </w:rPr>
        <w:t xml:space="preserve"> SC 73/19 in para 38 of the cyclostyled judgment it was held </w:t>
      </w:r>
      <w:r>
        <w:rPr>
          <w:rFonts w:ascii="Times New Roman" w:eastAsia="Arial" w:hAnsi="Times New Roman" w:cs="Times New Roman"/>
          <w:sz w:val="24"/>
          <w:szCs w:val="24"/>
          <w:lang w:val="en-US"/>
        </w:rPr>
        <w:tab/>
      </w:r>
      <w:r>
        <w:rPr>
          <w:rFonts w:ascii="Times New Roman" w:eastAsia="Arial" w:hAnsi="Times New Roman" w:cs="Times New Roman"/>
          <w:sz w:val="24"/>
          <w:szCs w:val="24"/>
        </w:rPr>
        <w:t>that</w:t>
      </w:r>
      <w:r>
        <w:rPr>
          <w:rFonts w:ascii="Times New Roman" w:eastAsia="Arial" w:hAnsi="Times New Roman" w:cs="Times New Roman"/>
          <w:sz w:val="24"/>
          <w:szCs w:val="24"/>
        </w:rPr>
        <w:t xml:space="preserve">: </w:t>
      </w:r>
    </w:p>
    <w:p w:rsidR="00357444" w:rsidRDefault="009857A9">
      <w:pPr>
        <w:pStyle w:val="ListParagraph"/>
        <w:spacing w:line="240" w:lineRule="auto"/>
        <w:ind w:left="1440"/>
        <w:jc w:val="both"/>
        <w:rPr>
          <w:rFonts w:ascii="Times New Roman" w:eastAsia="Arial" w:hAnsi="Times New Roman" w:cs="Times New Roman"/>
          <w:i/>
          <w:iCs/>
        </w:rPr>
      </w:pPr>
      <w:r>
        <w:rPr>
          <w:rFonts w:ascii="Times New Roman" w:eastAsia="Arial" w:hAnsi="Times New Roman" w:cs="Times New Roman"/>
          <w:i/>
          <w:iCs/>
        </w:rPr>
        <w:t xml:space="preserve">“The above remarks are clear and unequivocal. </w:t>
      </w:r>
      <w:r>
        <w:rPr>
          <w:rFonts w:ascii="Times New Roman" w:eastAsia="Arial" w:hAnsi="Times New Roman" w:cs="Times New Roman"/>
          <w:i/>
          <w:iCs/>
          <w:u w:val="single"/>
        </w:rPr>
        <w:t>A person who represents a legal entity, when challenged, must show that he is duly authorized to represent the entity. His mere claim that by virtue of his position he holds in such an entity he is duly auth</w:t>
      </w:r>
      <w:r>
        <w:rPr>
          <w:rFonts w:ascii="Times New Roman" w:eastAsia="Arial" w:hAnsi="Times New Roman" w:cs="Times New Roman"/>
          <w:i/>
          <w:iCs/>
          <w:u w:val="single"/>
        </w:rPr>
        <w:t>orized to represent the entity is not sufficient</w:t>
      </w:r>
      <w:r>
        <w:rPr>
          <w:rFonts w:ascii="Times New Roman" w:eastAsia="Arial" w:hAnsi="Times New Roman" w:cs="Times New Roman"/>
          <w:i/>
          <w:iCs/>
        </w:rPr>
        <w:t xml:space="preserve">. </w:t>
      </w:r>
      <w:r>
        <w:rPr>
          <w:rFonts w:ascii="Times New Roman" w:eastAsia="Arial" w:hAnsi="Times New Roman" w:cs="Times New Roman"/>
          <w:i/>
          <w:iCs/>
          <w:u w:val="single"/>
        </w:rPr>
        <w:t>He must produce a resolution of the board of that entity which confirms that the board is indeed aware of the proceedings and that it has given such a person the authority to act in the stead of the entity</w:t>
      </w:r>
      <w:r>
        <w:rPr>
          <w:rFonts w:ascii="Times New Roman" w:eastAsia="Arial" w:hAnsi="Times New Roman" w:cs="Times New Roman"/>
          <w:i/>
          <w:iCs/>
        </w:rPr>
        <w:t>.</w:t>
      </w:r>
      <w:r>
        <w:rPr>
          <w:rFonts w:ascii="Times New Roman" w:eastAsia="Arial" w:hAnsi="Times New Roman" w:cs="Times New Roman"/>
          <w:i/>
          <w:iCs/>
        </w:rPr>
        <w:t xml:space="preserve"> I stress that the need to produce such authority is only necessary in those cases where the authority of the deponent is put in issue. This represents the current status of the law in this country.” </w:t>
      </w:r>
    </w:p>
    <w:p w:rsidR="00357444" w:rsidRDefault="00357444">
      <w:pPr>
        <w:pStyle w:val="ListParagraph"/>
        <w:spacing w:line="360" w:lineRule="auto"/>
        <w:ind w:firstLine="720"/>
        <w:jc w:val="both"/>
        <w:rPr>
          <w:rFonts w:ascii="Times New Roman" w:hAnsi="Times New Roman" w:cs="Times New Roman"/>
          <w:sz w:val="24"/>
          <w:szCs w:val="24"/>
          <w:lang w:val="en-US"/>
        </w:rPr>
      </w:pPr>
    </w:p>
    <w:p w:rsidR="00357444" w:rsidRDefault="009857A9">
      <w:pPr>
        <w:pStyle w:val="ListParagraph"/>
        <w:spacing w:line="360" w:lineRule="auto"/>
        <w:ind w:left="0" w:firstLine="720"/>
        <w:jc w:val="both"/>
        <w:rPr>
          <w:rFonts w:ascii="Times New Roman" w:eastAsia="Arial" w:hAnsi="Times New Roman" w:cs="Times New Roman"/>
          <w:i/>
          <w:sz w:val="24"/>
          <w:szCs w:val="24"/>
        </w:rPr>
      </w:pPr>
      <w:r>
        <w:rPr>
          <w:rFonts w:ascii="Times New Roman" w:hAnsi="Times New Roman" w:cs="Times New Roman"/>
          <w:sz w:val="24"/>
          <w:szCs w:val="24"/>
          <w:lang w:val="en-US"/>
        </w:rPr>
        <w:t xml:space="preserve">(41) </w:t>
      </w:r>
      <w:r>
        <w:rPr>
          <w:rFonts w:ascii="Times New Roman" w:hAnsi="Times New Roman" w:cs="Times New Roman"/>
          <w:sz w:val="24"/>
          <w:szCs w:val="24"/>
        </w:rPr>
        <w:t>The case of</w:t>
      </w:r>
      <w:r>
        <w:rPr>
          <w:rFonts w:ascii="Times New Roman" w:hAnsi="Times New Roman" w:cs="Times New Roman"/>
          <w:i/>
          <w:iCs/>
          <w:sz w:val="24"/>
          <w:szCs w:val="24"/>
        </w:rPr>
        <w:t xml:space="preserve"> Beach Consultancy (Private) Limited</w:t>
      </w:r>
      <w:r>
        <w:rPr>
          <w:rFonts w:ascii="Times New Roman" w:hAnsi="Times New Roman" w:cs="Times New Roman"/>
          <w:sz w:val="24"/>
          <w:szCs w:val="24"/>
        </w:rPr>
        <w:t xml:space="preserve"> v</w:t>
      </w:r>
      <w:r>
        <w:rPr>
          <w:rFonts w:ascii="Times New Roman" w:hAnsi="Times New Roman" w:cs="Times New Roman"/>
          <w:sz w:val="24"/>
          <w:szCs w:val="24"/>
        </w:rPr>
        <w:t xml:space="preserve"> </w:t>
      </w:r>
      <w:r>
        <w:rPr>
          <w:rFonts w:ascii="Times New Roman" w:hAnsi="Times New Roman" w:cs="Times New Roman"/>
          <w:i/>
          <w:iCs/>
          <w:sz w:val="24"/>
          <w:szCs w:val="24"/>
        </w:rPr>
        <w:t xml:space="preserve">Obert Makonya &amp; Anor </w:t>
      </w:r>
      <w:r>
        <w:rPr>
          <w:rFonts w:ascii="Times New Roman" w:hAnsi="Times New Roman" w:cs="Times New Roman"/>
          <w:sz w:val="24"/>
          <w:szCs w:val="24"/>
        </w:rPr>
        <w:t xml:space="preserve">HH </w:t>
      </w:r>
      <w:r>
        <w:rPr>
          <w:rFonts w:ascii="Times New Roman" w:hAnsi="Times New Roman" w:cs="Times New Roman"/>
          <w:sz w:val="24"/>
          <w:szCs w:val="24"/>
          <w:lang w:val="en-US"/>
        </w:rPr>
        <w:tab/>
      </w:r>
      <w:r>
        <w:rPr>
          <w:rFonts w:ascii="Times New Roman" w:hAnsi="Times New Roman" w:cs="Times New Roman"/>
          <w:sz w:val="24"/>
          <w:szCs w:val="24"/>
        </w:rPr>
        <w:t xml:space="preserve">696/21 puts it succinctly that the reason for insistence on the company being aware of </w:t>
      </w:r>
      <w:r>
        <w:rPr>
          <w:rFonts w:ascii="Times New Roman" w:hAnsi="Times New Roman" w:cs="Times New Roman"/>
          <w:sz w:val="24"/>
          <w:szCs w:val="24"/>
          <w:lang w:val="en-US"/>
        </w:rPr>
        <w:tab/>
      </w:r>
      <w:r>
        <w:rPr>
          <w:rFonts w:ascii="Times New Roman" w:hAnsi="Times New Roman" w:cs="Times New Roman"/>
          <w:sz w:val="24"/>
          <w:szCs w:val="24"/>
        </w:rPr>
        <w:t xml:space="preserve">the proceedings is to confirm that it is indeed the company that has taken the decision </w:t>
      </w:r>
      <w:r>
        <w:rPr>
          <w:rFonts w:ascii="Times New Roman" w:hAnsi="Times New Roman" w:cs="Times New Roman"/>
          <w:sz w:val="24"/>
          <w:szCs w:val="24"/>
          <w:lang w:val="en-US"/>
        </w:rPr>
        <w:tab/>
      </w:r>
      <w:r>
        <w:rPr>
          <w:rFonts w:ascii="Times New Roman" w:hAnsi="Times New Roman" w:cs="Times New Roman"/>
          <w:sz w:val="24"/>
          <w:szCs w:val="24"/>
        </w:rPr>
        <w:t>to participate in the court case and that it is not a</w:t>
      </w:r>
      <w:r>
        <w:rPr>
          <w:rFonts w:ascii="Times New Roman" w:hAnsi="Times New Roman" w:cs="Times New Roman"/>
          <w:sz w:val="24"/>
          <w:szCs w:val="24"/>
        </w:rPr>
        <w:t xml:space="preserve">n unauthorized person who is </w:t>
      </w:r>
      <w:r>
        <w:rPr>
          <w:rFonts w:ascii="Times New Roman" w:hAnsi="Times New Roman" w:cs="Times New Roman"/>
          <w:sz w:val="24"/>
          <w:szCs w:val="24"/>
          <w:lang w:val="en-US"/>
        </w:rPr>
        <w:tab/>
      </w:r>
      <w:r>
        <w:rPr>
          <w:rFonts w:ascii="Times New Roman" w:hAnsi="Times New Roman" w:cs="Times New Roman"/>
          <w:sz w:val="24"/>
          <w:szCs w:val="24"/>
        </w:rPr>
        <w:t xml:space="preserve">dragging it to court without its knowledge. </w:t>
      </w:r>
    </w:p>
    <w:p w:rsidR="00357444" w:rsidRDefault="009857A9">
      <w:pPr>
        <w:pStyle w:val="ListParagraph"/>
        <w:spacing w:line="360" w:lineRule="auto"/>
        <w:ind w:left="0" w:firstLine="720"/>
        <w:jc w:val="both"/>
        <w:rPr>
          <w:rFonts w:ascii="Times New Roman" w:eastAsia="Arial" w:hAnsi="Times New Roman" w:cs="Times New Roman"/>
          <w:i/>
          <w:sz w:val="24"/>
          <w:szCs w:val="24"/>
        </w:rPr>
      </w:pPr>
      <w:r>
        <w:rPr>
          <w:rFonts w:ascii="Times New Roman" w:hAnsi="Times New Roman" w:cs="Times New Roman"/>
          <w:sz w:val="24"/>
          <w:szCs w:val="24"/>
          <w:lang w:val="en-US"/>
        </w:rPr>
        <w:t xml:space="preserve">(42) </w:t>
      </w:r>
      <w:r>
        <w:rPr>
          <w:rFonts w:ascii="Times New Roman" w:hAnsi="Times New Roman" w:cs="Times New Roman"/>
          <w:sz w:val="24"/>
          <w:szCs w:val="24"/>
        </w:rPr>
        <w:t xml:space="preserve">It is therefore trite that where the authority of the deponent is challenged, the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deponent has a duty to produce evidence of his authority which ordinarily is a board </w:t>
      </w:r>
      <w:r>
        <w:rPr>
          <w:rFonts w:ascii="Times New Roman" w:hAnsi="Times New Roman" w:cs="Times New Roman"/>
          <w:sz w:val="24"/>
          <w:szCs w:val="24"/>
          <w:lang w:val="en-US"/>
        </w:rPr>
        <w:tab/>
      </w:r>
      <w:r>
        <w:rPr>
          <w:rFonts w:ascii="Times New Roman" w:hAnsi="Times New Roman" w:cs="Times New Roman"/>
          <w:sz w:val="24"/>
          <w:szCs w:val="24"/>
        </w:rPr>
        <w:t>resolu</w:t>
      </w:r>
      <w:r>
        <w:rPr>
          <w:rFonts w:ascii="Times New Roman" w:hAnsi="Times New Roman" w:cs="Times New Roman"/>
          <w:sz w:val="24"/>
          <w:szCs w:val="24"/>
        </w:rPr>
        <w:t>tion. The position one holds in the company is not sufficient.</w:t>
      </w:r>
    </w:p>
    <w:p w:rsidR="00357444" w:rsidRDefault="009857A9">
      <w:pPr>
        <w:pStyle w:val="ListParagraph"/>
        <w:spacing w:line="360" w:lineRule="auto"/>
        <w:ind w:left="0" w:firstLine="720"/>
        <w:jc w:val="both"/>
        <w:rPr>
          <w:rFonts w:ascii="Times New Roman" w:eastAsia="Arial" w:hAnsi="Times New Roman" w:cs="Times New Roman"/>
          <w:i/>
          <w:sz w:val="24"/>
          <w:szCs w:val="24"/>
        </w:rPr>
      </w:pPr>
      <w:r>
        <w:rPr>
          <w:rFonts w:ascii="Times New Roman" w:hAnsi="Times New Roman" w:cs="Times New Roman"/>
          <w:sz w:val="24"/>
          <w:szCs w:val="24"/>
          <w:lang w:val="en-US"/>
        </w:rPr>
        <w:t xml:space="preserve">(43) </w:t>
      </w:r>
      <w:r>
        <w:rPr>
          <w:rFonts w:ascii="Times New Roman" w:hAnsi="Times New Roman" w:cs="Times New Roman"/>
          <w:i/>
          <w:iCs/>
          <w:sz w:val="24"/>
          <w:szCs w:val="24"/>
        </w:rPr>
        <w:t>In casu</w:t>
      </w:r>
      <w:r>
        <w:rPr>
          <w:rFonts w:ascii="Times New Roman" w:hAnsi="Times New Roman" w:cs="Times New Roman"/>
          <w:sz w:val="24"/>
          <w:szCs w:val="24"/>
        </w:rPr>
        <w:t xml:space="preserve">, the deponent relied on his position in the respondents as conferring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authority. That is insufficient. The respondents had ample time to produce a resolution </w:t>
      </w:r>
      <w:r>
        <w:rPr>
          <w:rFonts w:ascii="Times New Roman" w:hAnsi="Times New Roman" w:cs="Times New Roman"/>
          <w:sz w:val="24"/>
          <w:szCs w:val="24"/>
          <w:lang w:val="en-US"/>
        </w:rPr>
        <w:tab/>
      </w:r>
      <w:r>
        <w:rPr>
          <w:rFonts w:ascii="Times New Roman" w:hAnsi="Times New Roman" w:cs="Times New Roman"/>
          <w:sz w:val="24"/>
          <w:szCs w:val="24"/>
        </w:rPr>
        <w:t>of the board if the</w:t>
      </w:r>
      <w:r>
        <w:rPr>
          <w:rFonts w:ascii="Times New Roman" w:hAnsi="Times New Roman" w:cs="Times New Roman"/>
          <w:sz w:val="24"/>
          <w:szCs w:val="24"/>
        </w:rPr>
        <w:t>y wished to do so. This is from 3 July 2024</w:t>
      </w:r>
      <w:r>
        <w:rPr>
          <w:rFonts w:ascii="Times New Roman" w:hAnsi="Times New Roman" w:cs="Times New Roman"/>
          <w:sz w:val="24"/>
          <w:szCs w:val="24"/>
          <w:lang w:val="en-US"/>
        </w:rPr>
        <w:t>,</w:t>
      </w:r>
      <w:r>
        <w:rPr>
          <w:rFonts w:ascii="Times New Roman" w:hAnsi="Times New Roman" w:cs="Times New Roman"/>
          <w:sz w:val="24"/>
          <w:szCs w:val="24"/>
        </w:rPr>
        <w:t xml:space="preserve"> when the answering </w:t>
      </w:r>
      <w:r>
        <w:rPr>
          <w:rFonts w:ascii="Times New Roman" w:hAnsi="Times New Roman" w:cs="Times New Roman"/>
          <w:sz w:val="24"/>
          <w:szCs w:val="24"/>
          <w:lang w:val="en-US"/>
        </w:rPr>
        <w:tab/>
      </w:r>
      <w:r>
        <w:rPr>
          <w:rFonts w:ascii="Times New Roman" w:hAnsi="Times New Roman" w:cs="Times New Roman"/>
          <w:sz w:val="24"/>
          <w:szCs w:val="24"/>
        </w:rPr>
        <w:t xml:space="preserve">affidavit was served on the respondents’ legal practitioners through to when the </w:t>
      </w:r>
      <w:r>
        <w:rPr>
          <w:rFonts w:ascii="Times New Roman" w:hAnsi="Times New Roman" w:cs="Times New Roman"/>
          <w:sz w:val="24"/>
          <w:szCs w:val="24"/>
          <w:lang w:val="en-US"/>
        </w:rPr>
        <w:lastRenderedPageBreak/>
        <w:tab/>
      </w:r>
      <w:r>
        <w:rPr>
          <w:rFonts w:ascii="Times New Roman" w:hAnsi="Times New Roman" w:cs="Times New Roman"/>
          <w:sz w:val="24"/>
          <w:szCs w:val="24"/>
        </w:rPr>
        <w:t xml:space="preserve">hearing of this matter commenced on 19 March 2025.  There was no explanation as to </w:t>
      </w:r>
      <w:r>
        <w:rPr>
          <w:rFonts w:ascii="Times New Roman" w:hAnsi="Times New Roman" w:cs="Times New Roman"/>
          <w:sz w:val="24"/>
          <w:szCs w:val="24"/>
          <w:lang w:val="en-US"/>
        </w:rPr>
        <w:tab/>
      </w:r>
      <w:r>
        <w:rPr>
          <w:rFonts w:ascii="Times New Roman" w:hAnsi="Times New Roman" w:cs="Times New Roman"/>
          <w:sz w:val="24"/>
          <w:szCs w:val="24"/>
        </w:rPr>
        <w:t>why such proof was not fi</w:t>
      </w:r>
      <w:r>
        <w:rPr>
          <w:rFonts w:ascii="Times New Roman" w:hAnsi="Times New Roman" w:cs="Times New Roman"/>
          <w:sz w:val="24"/>
          <w:szCs w:val="24"/>
        </w:rPr>
        <w:t xml:space="preserve">led. There was no attempt to produce any proof at the </w:t>
      </w:r>
      <w:r>
        <w:rPr>
          <w:rFonts w:ascii="Times New Roman" w:hAnsi="Times New Roman" w:cs="Times New Roman"/>
          <w:sz w:val="24"/>
          <w:szCs w:val="24"/>
          <w:lang w:val="en-US"/>
        </w:rPr>
        <w:tab/>
      </w:r>
      <w:r>
        <w:rPr>
          <w:rFonts w:ascii="Times New Roman" w:hAnsi="Times New Roman" w:cs="Times New Roman"/>
          <w:sz w:val="24"/>
          <w:szCs w:val="24"/>
        </w:rPr>
        <w:t>hearing.</w:t>
      </w:r>
    </w:p>
    <w:p w:rsidR="00357444" w:rsidRDefault="009857A9">
      <w:pPr>
        <w:pStyle w:val="ListParagraph"/>
        <w:spacing w:after="0"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 xml:space="preserve">(44) </w:t>
      </w:r>
      <w:r>
        <w:rPr>
          <w:rFonts w:ascii="Times New Roman" w:eastAsia="Arial" w:hAnsi="Times New Roman" w:cs="Times New Roman"/>
          <w:sz w:val="24"/>
          <w:szCs w:val="24"/>
        </w:rPr>
        <w:t xml:space="preserve">Mr </w:t>
      </w:r>
      <w:r>
        <w:rPr>
          <w:rFonts w:ascii="Times New Roman" w:eastAsia="Arial" w:hAnsi="Times New Roman" w:cs="Times New Roman"/>
          <w:i/>
          <w:iCs/>
          <w:sz w:val="24"/>
          <w:szCs w:val="24"/>
        </w:rPr>
        <w:t>Mubaiwa</w:t>
      </w:r>
      <w:r>
        <w:rPr>
          <w:rFonts w:ascii="Times New Roman" w:eastAsia="Arial" w:hAnsi="Times New Roman" w:cs="Times New Roman"/>
          <w:sz w:val="24"/>
          <w:szCs w:val="24"/>
          <w:lang w:val="en-US"/>
        </w:rPr>
        <w:t>,</w:t>
      </w:r>
      <w:r>
        <w:rPr>
          <w:rFonts w:ascii="Times New Roman" w:eastAsia="Arial" w:hAnsi="Times New Roman" w:cs="Times New Roman"/>
          <w:sz w:val="24"/>
          <w:szCs w:val="24"/>
        </w:rPr>
        <w:t xml:space="preserve">on the other hand argued that the absence of the resolution of the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board cannot nullify the opposing papers. He pointed that the court has in some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instances granted opportunity for the production of a resolution. He referred to two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matters without full citation which I did not find helpful. In any event no application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for the court’s indulgence or condonation were advanced. There was also no </w:t>
      </w:r>
      <w:r>
        <w:rPr>
          <w:rFonts w:ascii="Times New Roman" w:eastAsia="Arial" w:hAnsi="Times New Roman" w:cs="Times New Roman"/>
          <w:sz w:val="24"/>
          <w:szCs w:val="24"/>
          <w:lang w:val="en-US"/>
        </w:rPr>
        <w:tab/>
      </w:r>
      <w:r>
        <w:rPr>
          <w:rFonts w:ascii="Times New Roman" w:eastAsia="Arial" w:hAnsi="Times New Roman" w:cs="Times New Roman"/>
          <w:sz w:val="24"/>
          <w:szCs w:val="24"/>
        </w:rPr>
        <w:t>expla</w:t>
      </w:r>
      <w:r>
        <w:rPr>
          <w:rFonts w:ascii="Times New Roman" w:eastAsia="Arial" w:hAnsi="Times New Roman" w:cs="Times New Roman"/>
          <w:sz w:val="24"/>
          <w:szCs w:val="24"/>
        </w:rPr>
        <w:t xml:space="preserve">nation why the respondents’ written heads did not address this issue. The issue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was casually taken by the respondents.  </w:t>
      </w:r>
    </w:p>
    <w:p w:rsidR="00357444" w:rsidRDefault="009857A9">
      <w:pPr>
        <w:pStyle w:val="ListParagraph"/>
        <w:spacing w:after="0" w:line="360" w:lineRule="auto"/>
        <w:ind w:left="0" w:firstLine="720"/>
        <w:jc w:val="both"/>
        <w:rPr>
          <w:rFonts w:ascii="Times New Roman" w:eastAsia="Arial" w:hAnsi="Times New Roman" w:cs="Times New Roman"/>
          <w:sz w:val="24"/>
          <w:szCs w:val="24"/>
        </w:rPr>
      </w:pPr>
      <w:r>
        <w:rPr>
          <w:rFonts w:ascii="Times New Roman" w:eastAsia="Arial" w:hAnsi="Times New Roman" w:cs="Times New Roman"/>
          <w:sz w:val="24"/>
          <w:szCs w:val="24"/>
          <w:lang w:val="en-US"/>
        </w:rPr>
        <w:t xml:space="preserve">(45) </w:t>
      </w:r>
      <w:r>
        <w:rPr>
          <w:rFonts w:ascii="Times New Roman" w:eastAsia="Arial" w:hAnsi="Times New Roman" w:cs="Times New Roman"/>
          <w:sz w:val="24"/>
          <w:szCs w:val="24"/>
        </w:rPr>
        <w:t xml:space="preserve">Case law has shown that a litigant must produce proof of </w:t>
      </w:r>
      <w:r>
        <w:rPr>
          <w:rFonts w:ascii="Times New Roman" w:eastAsia="Arial" w:hAnsi="Times New Roman" w:cs="Times New Roman"/>
          <w:sz w:val="24"/>
          <w:szCs w:val="24"/>
          <w:lang w:val="en-US"/>
        </w:rPr>
        <w:t>authorization</w:t>
      </w:r>
      <w:r>
        <w:rPr>
          <w:rFonts w:ascii="Times New Roman" w:eastAsia="Arial" w:hAnsi="Times New Roman" w:cs="Times New Roman"/>
          <w:sz w:val="24"/>
          <w:szCs w:val="24"/>
        </w:rPr>
        <w:t xml:space="preserve"> when </w:t>
      </w:r>
      <w:r>
        <w:rPr>
          <w:rFonts w:ascii="Times New Roman" w:eastAsia="Arial" w:hAnsi="Times New Roman" w:cs="Times New Roman"/>
          <w:sz w:val="24"/>
          <w:szCs w:val="24"/>
          <w:lang w:val="en-US"/>
        </w:rPr>
        <w:tab/>
      </w:r>
      <w:r>
        <w:rPr>
          <w:rFonts w:ascii="Times New Roman" w:eastAsia="Arial" w:hAnsi="Times New Roman" w:cs="Times New Roman"/>
          <w:sz w:val="24"/>
          <w:szCs w:val="24"/>
          <w:lang w:val="en-US"/>
        </w:rPr>
        <w:tab/>
      </w:r>
      <w:r>
        <w:rPr>
          <w:rFonts w:ascii="Times New Roman" w:eastAsia="Arial" w:hAnsi="Times New Roman" w:cs="Times New Roman"/>
          <w:sz w:val="24"/>
          <w:szCs w:val="24"/>
        </w:rPr>
        <w:t>challenged. Hence the respondents ought to have pro</w:t>
      </w:r>
      <w:r>
        <w:rPr>
          <w:rFonts w:ascii="Times New Roman" w:eastAsia="Arial" w:hAnsi="Times New Roman" w:cs="Times New Roman"/>
          <w:sz w:val="24"/>
          <w:szCs w:val="24"/>
        </w:rPr>
        <w:t xml:space="preserve">duced the board resolution once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the challenge was made. This they failed to do. Therefore, the preliminary point has </w:t>
      </w:r>
      <w:r>
        <w:rPr>
          <w:rFonts w:ascii="Times New Roman" w:eastAsia="Arial" w:hAnsi="Times New Roman" w:cs="Times New Roman"/>
          <w:sz w:val="24"/>
          <w:szCs w:val="24"/>
          <w:lang w:val="en-US"/>
        </w:rPr>
        <w:tab/>
      </w:r>
      <w:r>
        <w:rPr>
          <w:rFonts w:ascii="Times New Roman" w:eastAsia="Arial" w:hAnsi="Times New Roman" w:cs="Times New Roman"/>
          <w:sz w:val="24"/>
          <w:szCs w:val="24"/>
        </w:rPr>
        <w:t xml:space="preserve">merit and ought to be upheld. </w:t>
      </w:r>
    </w:p>
    <w:p w:rsidR="00357444" w:rsidRDefault="00357444">
      <w:pPr>
        <w:pStyle w:val="ListParagraph"/>
        <w:spacing w:after="0" w:line="360" w:lineRule="auto"/>
        <w:ind w:left="961"/>
        <w:jc w:val="both"/>
        <w:rPr>
          <w:rFonts w:ascii="Times New Roman" w:eastAsia="Arial" w:hAnsi="Times New Roman" w:cs="Times New Roman"/>
          <w:sz w:val="24"/>
          <w:szCs w:val="24"/>
        </w:rPr>
      </w:pPr>
    </w:p>
    <w:p w:rsidR="00357444" w:rsidRDefault="009857A9">
      <w:pPr>
        <w:pStyle w:val="ListParagraph"/>
        <w:spacing w:after="0" w:line="360" w:lineRule="auto"/>
        <w:ind w:left="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DISPOSITION</w:t>
      </w:r>
    </w:p>
    <w:p w:rsidR="00357444" w:rsidRDefault="009857A9">
      <w:pPr>
        <w:pStyle w:val="ListParagraph"/>
        <w:numPr>
          <w:ilvl w:val="0"/>
          <w:numId w:val="6"/>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preliminary points raised by the respondent’s vis-a</w:t>
      </w:r>
      <w:r>
        <w:rPr>
          <w:rFonts w:ascii="Times New Roman" w:eastAsia="Arial" w:hAnsi="Times New Roman" w:cs="Times New Roman"/>
          <w:sz w:val="24"/>
          <w:szCs w:val="24"/>
          <w:lang w:val="en-US"/>
        </w:rPr>
        <w:t>-</w:t>
      </w:r>
      <w:r>
        <w:rPr>
          <w:rFonts w:ascii="Times New Roman" w:eastAsia="Arial" w:hAnsi="Times New Roman" w:cs="Times New Roman"/>
          <w:sz w:val="24"/>
          <w:szCs w:val="24"/>
        </w:rPr>
        <w:t>vis the validity of the agreement and</w:t>
      </w:r>
      <w:r>
        <w:rPr>
          <w:rFonts w:ascii="Times New Roman" w:eastAsia="Arial" w:hAnsi="Times New Roman" w:cs="Times New Roman"/>
          <w:sz w:val="24"/>
          <w:szCs w:val="24"/>
        </w:rPr>
        <w:t xml:space="preserve"> prescription be and are hereby dismissed.</w:t>
      </w:r>
    </w:p>
    <w:p w:rsidR="00357444" w:rsidRDefault="009857A9">
      <w:pPr>
        <w:pStyle w:val="ListParagraph"/>
        <w:numPr>
          <w:ilvl w:val="0"/>
          <w:numId w:val="6"/>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preliminary point raised by the applicant that the opposing papers are invalid is hereby upheld.</w:t>
      </w:r>
    </w:p>
    <w:p w:rsidR="00357444" w:rsidRDefault="009857A9">
      <w:pPr>
        <w:pStyle w:val="ListParagraph"/>
        <w:numPr>
          <w:ilvl w:val="0"/>
          <w:numId w:val="6"/>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opposing papers be and are hereby struck off the record.</w:t>
      </w:r>
    </w:p>
    <w:p w:rsidR="00357444" w:rsidRDefault="009857A9">
      <w:pPr>
        <w:pStyle w:val="ListParagraph"/>
        <w:numPr>
          <w:ilvl w:val="0"/>
          <w:numId w:val="6"/>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This application shall proceed as unopposed and is </w:t>
      </w:r>
      <w:r>
        <w:rPr>
          <w:rFonts w:ascii="Times New Roman" w:eastAsia="Arial" w:hAnsi="Times New Roman" w:cs="Times New Roman"/>
          <w:sz w:val="24"/>
          <w:szCs w:val="24"/>
        </w:rPr>
        <w:t>referred to be set on the unopposed roll.</w:t>
      </w:r>
    </w:p>
    <w:p w:rsidR="00357444" w:rsidRDefault="009857A9">
      <w:pPr>
        <w:pStyle w:val="ListParagraph"/>
        <w:numPr>
          <w:ilvl w:val="0"/>
          <w:numId w:val="6"/>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Costs shall be in the main cause.</w:t>
      </w:r>
    </w:p>
    <w:p w:rsidR="00357444" w:rsidRDefault="009857A9">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lang w:val="en-US"/>
        </w:rPr>
        <w:t>Scalen and Holderness</w:t>
      </w:r>
      <w:r>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357444" w:rsidRDefault="009857A9">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lang w:val="en-US"/>
        </w:rPr>
        <w:t>Sawyer and Mkushi</w:t>
      </w:r>
      <w:r>
        <w:rPr>
          <w:rFonts w:ascii="Times New Roman" w:hAnsi="Times New Roman" w:cs="Times New Roman"/>
          <w:i/>
          <w:sz w:val="24"/>
          <w:szCs w:val="24"/>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w:t>
      </w:r>
      <w:r>
        <w:rPr>
          <w:rFonts w:ascii="Times New Roman" w:hAnsi="Times New Roman" w:cs="Times New Roman"/>
          <w:sz w:val="24"/>
          <w:szCs w:val="24"/>
        </w:rPr>
        <w:t>s Legal Practitioner</w:t>
      </w:r>
    </w:p>
    <w:p w:rsidR="00357444" w:rsidRDefault="00357444">
      <w:pPr>
        <w:spacing w:line="360" w:lineRule="auto"/>
        <w:rPr>
          <w:sz w:val="24"/>
          <w:szCs w:val="24"/>
          <w:lang w:eastAsia="en-ZW"/>
        </w:rPr>
      </w:pPr>
    </w:p>
    <w:sectPr w:rsidR="003574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A9" w:rsidRDefault="009857A9">
      <w:pPr>
        <w:spacing w:line="240" w:lineRule="auto"/>
      </w:pPr>
      <w:r>
        <w:separator/>
      </w:r>
    </w:p>
  </w:endnote>
  <w:endnote w:type="continuationSeparator" w:id="0">
    <w:p w:rsidR="009857A9" w:rsidRDefault="00985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A9" w:rsidRDefault="009857A9">
      <w:pPr>
        <w:spacing w:after="0"/>
      </w:pPr>
      <w:r>
        <w:separator/>
      </w:r>
    </w:p>
  </w:footnote>
  <w:footnote w:type="continuationSeparator" w:id="0">
    <w:p w:rsidR="009857A9" w:rsidRDefault="009857A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357444" w:rsidRDefault="009857A9">
        <w:pPr>
          <w:pStyle w:val="Header"/>
          <w:jc w:val="right"/>
        </w:pPr>
        <w:r>
          <w:fldChar w:fldCharType="begin"/>
        </w:r>
        <w:r>
          <w:instrText xml:space="preserve"> PAGE   \* MERGEFORMAT </w:instrText>
        </w:r>
        <w:r>
          <w:fldChar w:fldCharType="separate"/>
        </w:r>
        <w:r w:rsidR="005C5DC5">
          <w:rPr>
            <w:noProof/>
          </w:rPr>
          <w:t>2</w:t>
        </w:r>
        <w:r>
          <w:fldChar w:fldCharType="end"/>
        </w:r>
      </w:p>
      <w:p w:rsidR="00357444" w:rsidRDefault="009857A9">
        <w:pPr>
          <w:pStyle w:val="Header"/>
          <w:jc w:val="right"/>
          <w:rPr>
            <w:lang w:val="en-US"/>
          </w:rPr>
        </w:pPr>
        <w:r>
          <w:rPr>
            <w:lang w:val="en-US"/>
          </w:rPr>
          <w:t xml:space="preserve">HH253/25 </w:t>
        </w:r>
      </w:p>
      <w:p w:rsidR="00357444" w:rsidRDefault="009857A9">
        <w:pPr>
          <w:pStyle w:val="Header"/>
          <w:jc w:val="right"/>
        </w:pPr>
        <w:r>
          <w:rPr>
            <w:lang w:val="en-US"/>
          </w:rPr>
          <w:t>HCHC 392/24</w:t>
        </w:r>
      </w:p>
    </w:sdtContent>
  </w:sdt>
  <w:p w:rsidR="00357444" w:rsidRDefault="003574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2F40D3"/>
    <w:multiLevelType w:val="singleLevel"/>
    <w:tmpl w:val="9D2F40D3"/>
    <w:lvl w:ilvl="0">
      <w:start w:val="1"/>
      <w:numFmt w:val="decimal"/>
      <w:suff w:val="space"/>
      <w:lvlText w:val="(%1)"/>
      <w:lvlJc w:val="left"/>
    </w:lvl>
  </w:abstractNum>
  <w:abstractNum w:abstractNumId="1" w15:restartNumberingAfterBreak="0">
    <w:nsid w:val="A015B939"/>
    <w:multiLevelType w:val="singleLevel"/>
    <w:tmpl w:val="A015B939"/>
    <w:lvl w:ilvl="0">
      <w:start w:val="2"/>
      <w:numFmt w:val="decimal"/>
      <w:suff w:val="space"/>
      <w:lvlText w:val="%1."/>
      <w:lvlJc w:val="left"/>
    </w:lvl>
  </w:abstractNum>
  <w:abstractNum w:abstractNumId="2" w15:restartNumberingAfterBreak="0">
    <w:nsid w:val="1C07CF1C"/>
    <w:multiLevelType w:val="singleLevel"/>
    <w:tmpl w:val="1C07CF1C"/>
    <w:lvl w:ilvl="0">
      <w:start w:val="27"/>
      <w:numFmt w:val="decimal"/>
      <w:suff w:val="space"/>
      <w:lvlText w:val="(%1)"/>
      <w:lvlJc w:val="left"/>
    </w:lvl>
  </w:abstractNum>
  <w:abstractNum w:abstractNumId="3" w15:restartNumberingAfterBreak="0">
    <w:nsid w:val="40F3F92B"/>
    <w:multiLevelType w:val="singleLevel"/>
    <w:tmpl w:val="40F3F92B"/>
    <w:lvl w:ilvl="0">
      <w:start w:val="36"/>
      <w:numFmt w:val="decimal"/>
      <w:lvlText w:val="(%1)"/>
      <w:lvlJc w:val="left"/>
      <w:pPr>
        <w:tabs>
          <w:tab w:val="left" w:pos="312"/>
        </w:tabs>
      </w:pPr>
    </w:lvl>
  </w:abstractNum>
  <w:abstractNum w:abstractNumId="4" w15:restartNumberingAfterBreak="0">
    <w:nsid w:val="69890972"/>
    <w:multiLevelType w:val="multilevel"/>
    <w:tmpl w:val="69890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9A4B51"/>
    <w:multiLevelType w:val="multilevel"/>
    <w:tmpl w:val="7D9A4B51"/>
    <w:lvl w:ilvl="0">
      <w:start w:val="1"/>
      <w:numFmt w:val="decimal"/>
      <w:lvlText w:val="%1."/>
      <w:lvlJc w:val="left"/>
      <w:pPr>
        <w:ind w:left="1321" w:hanging="360"/>
      </w:pPr>
      <w:rPr>
        <w:rFonts w:hint="default"/>
      </w:r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271C49"/>
    <w:rsid w:val="002C0F77"/>
    <w:rsid w:val="002D76E1"/>
    <w:rsid w:val="002E09A2"/>
    <w:rsid w:val="002F54D3"/>
    <w:rsid w:val="00357306"/>
    <w:rsid w:val="00357444"/>
    <w:rsid w:val="00375216"/>
    <w:rsid w:val="003763CE"/>
    <w:rsid w:val="003A2A15"/>
    <w:rsid w:val="003B4A3D"/>
    <w:rsid w:val="00481232"/>
    <w:rsid w:val="00493685"/>
    <w:rsid w:val="004C490C"/>
    <w:rsid w:val="005568E2"/>
    <w:rsid w:val="005B5B9D"/>
    <w:rsid w:val="005C5DC5"/>
    <w:rsid w:val="006010CB"/>
    <w:rsid w:val="00643FB9"/>
    <w:rsid w:val="00663A05"/>
    <w:rsid w:val="00675829"/>
    <w:rsid w:val="006C3BCE"/>
    <w:rsid w:val="00737377"/>
    <w:rsid w:val="00757008"/>
    <w:rsid w:val="007A7C29"/>
    <w:rsid w:val="007C0491"/>
    <w:rsid w:val="007F3A72"/>
    <w:rsid w:val="008C0E78"/>
    <w:rsid w:val="008E666E"/>
    <w:rsid w:val="008F6E30"/>
    <w:rsid w:val="009857A9"/>
    <w:rsid w:val="009B0DD6"/>
    <w:rsid w:val="00A828D8"/>
    <w:rsid w:val="00AC7855"/>
    <w:rsid w:val="00B0398A"/>
    <w:rsid w:val="00B13083"/>
    <w:rsid w:val="00B14700"/>
    <w:rsid w:val="00B3430D"/>
    <w:rsid w:val="00C1652E"/>
    <w:rsid w:val="00D05ED9"/>
    <w:rsid w:val="00D35D0E"/>
    <w:rsid w:val="00D471E7"/>
    <w:rsid w:val="00D47AE4"/>
    <w:rsid w:val="00DB1F8B"/>
    <w:rsid w:val="00E13CF5"/>
    <w:rsid w:val="00E1411A"/>
    <w:rsid w:val="00F22B58"/>
    <w:rsid w:val="00F3203E"/>
    <w:rsid w:val="00F37034"/>
    <w:rsid w:val="00F54663"/>
    <w:rsid w:val="00F81351"/>
    <w:rsid w:val="00FB48C5"/>
    <w:rsid w:val="00FB72A6"/>
    <w:rsid w:val="01110250"/>
    <w:rsid w:val="01214C67"/>
    <w:rsid w:val="01874B78"/>
    <w:rsid w:val="021C6B5B"/>
    <w:rsid w:val="022C39D9"/>
    <w:rsid w:val="02511F45"/>
    <w:rsid w:val="05BF5E2B"/>
    <w:rsid w:val="05D03BC9"/>
    <w:rsid w:val="065B3BFA"/>
    <w:rsid w:val="07215F41"/>
    <w:rsid w:val="087040DB"/>
    <w:rsid w:val="08AB5A48"/>
    <w:rsid w:val="0969387C"/>
    <w:rsid w:val="0A5A28AD"/>
    <w:rsid w:val="0A7C20FA"/>
    <w:rsid w:val="0B2D2264"/>
    <w:rsid w:val="0C691C6B"/>
    <w:rsid w:val="0F370B05"/>
    <w:rsid w:val="10496135"/>
    <w:rsid w:val="106B15F9"/>
    <w:rsid w:val="106D7712"/>
    <w:rsid w:val="110C1984"/>
    <w:rsid w:val="1126252E"/>
    <w:rsid w:val="11670D99"/>
    <w:rsid w:val="12516259"/>
    <w:rsid w:val="12F40DF6"/>
    <w:rsid w:val="131D046B"/>
    <w:rsid w:val="14D20DB6"/>
    <w:rsid w:val="152216C8"/>
    <w:rsid w:val="15262A3E"/>
    <w:rsid w:val="15533205"/>
    <w:rsid w:val="155A31FA"/>
    <w:rsid w:val="16404810"/>
    <w:rsid w:val="1654066F"/>
    <w:rsid w:val="166636FC"/>
    <w:rsid w:val="17417784"/>
    <w:rsid w:val="17695CF2"/>
    <w:rsid w:val="17892228"/>
    <w:rsid w:val="182A5635"/>
    <w:rsid w:val="1B1501FB"/>
    <w:rsid w:val="1B5E2F9A"/>
    <w:rsid w:val="1C8D7DE8"/>
    <w:rsid w:val="1D181F4A"/>
    <w:rsid w:val="1D4C6F21"/>
    <w:rsid w:val="1D6761C4"/>
    <w:rsid w:val="1DCC57A4"/>
    <w:rsid w:val="1F895A6F"/>
    <w:rsid w:val="1FBA6080"/>
    <w:rsid w:val="20AF62AE"/>
    <w:rsid w:val="21ED6649"/>
    <w:rsid w:val="22D327D6"/>
    <w:rsid w:val="22F42C65"/>
    <w:rsid w:val="24C82C14"/>
    <w:rsid w:val="268009F9"/>
    <w:rsid w:val="26AC2D80"/>
    <w:rsid w:val="285A2EFD"/>
    <w:rsid w:val="28957A20"/>
    <w:rsid w:val="29E22543"/>
    <w:rsid w:val="2AB84B24"/>
    <w:rsid w:val="2B1B3A1C"/>
    <w:rsid w:val="2B20324F"/>
    <w:rsid w:val="2C167A7E"/>
    <w:rsid w:val="2C6303E3"/>
    <w:rsid w:val="2CB40E1A"/>
    <w:rsid w:val="2F017FCF"/>
    <w:rsid w:val="2F3017FB"/>
    <w:rsid w:val="30241D08"/>
    <w:rsid w:val="31FE0694"/>
    <w:rsid w:val="32651BC0"/>
    <w:rsid w:val="32EC5295"/>
    <w:rsid w:val="33055644"/>
    <w:rsid w:val="333076BE"/>
    <w:rsid w:val="335608C6"/>
    <w:rsid w:val="335F6FD7"/>
    <w:rsid w:val="337F7045"/>
    <w:rsid w:val="345D3677"/>
    <w:rsid w:val="34C3722B"/>
    <w:rsid w:val="35F86E21"/>
    <w:rsid w:val="370045AD"/>
    <w:rsid w:val="38DC79C6"/>
    <w:rsid w:val="399E7355"/>
    <w:rsid w:val="39BA53ED"/>
    <w:rsid w:val="3A5E1DCC"/>
    <w:rsid w:val="3A84419A"/>
    <w:rsid w:val="3B2A4077"/>
    <w:rsid w:val="3B3C7B17"/>
    <w:rsid w:val="3C7265BA"/>
    <w:rsid w:val="3D375514"/>
    <w:rsid w:val="3D833971"/>
    <w:rsid w:val="3D96542E"/>
    <w:rsid w:val="3E945F4F"/>
    <w:rsid w:val="3ED76D29"/>
    <w:rsid w:val="3F704F06"/>
    <w:rsid w:val="405939A2"/>
    <w:rsid w:val="40A23E62"/>
    <w:rsid w:val="41F10240"/>
    <w:rsid w:val="422B2087"/>
    <w:rsid w:val="42A43D08"/>
    <w:rsid w:val="432F3754"/>
    <w:rsid w:val="435E2995"/>
    <w:rsid w:val="43AE0196"/>
    <w:rsid w:val="44671620"/>
    <w:rsid w:val="45B95D10"/>
    <w:rsid w:val="46A32772"/>
    <w:rsid w:val="474A0981"/>
    <w:rsid w:val="48F16047"/>
    <w:rsid w:val="48FA6149"/>
    <w:rsid w:val="49433FBF"/>
    <w:rsid w:val="4AC8312F"/>
    <w:rsid w:val="4AF45F04"/>
    <w:rsid w:val="4B790EB0"/>
    <w:rsid w:val="4B904E89"/>
    <w:rsid w:val="4BEC7CE7"/>
    <w:rsid w:val="4DA14075"/>
    <w:rsid w:val="4DCE6756"/>
    <w:rsid w:val="501F13AB"/>
    <w:rsid w:val="50B12FCF"/>
    <w:rsid w:val="50BB2D6C"/>
    <w:rsid w:val="50D95330"/>
    <w:rsid w:val="51A54FE8"/>
    <w:rsid w:val="51EF769E"/>
    <w:rsid w:val="52245352"/>
    <w:rsid w:val="543713F0"/>
    <w:rsid w:val="546148FC"/>
    <w:rsid w:val="582A6E17"/>
    <w:rsid w:val="5A720BDF"/>
    <w:rsid w:val="5C7E26CE"/>
    <w:rsid w:val="5D481D97"/>
    <w:rsid w:val="5EC8350D"/>
    <w:rsid w:val="5F4A6064"/>
    <w:rsid w:val="6013352F"/>
    <w:rsid w:val="61051047"/>
    <w:rsid w:val="61841528"/>
    <w:rsid w:val="626207F5"/>
    <w:rsid w:val="6322497F"/>
    <w:rsid w:val="638A0B75"/>
    <w:rsid w:val="640D7CF2"/>
    <w:rsid w:val="644D4D4E"/>
    <w:rsid w:val="64B8674B"/>
    <w:rsid w:val="656059DD"/>
    <w:rsid w:val="66C60A29"/>
    <w:rsid w:val="66F97455"/>
    <w:rsid w:val="676E5FB7"/>
    <w:rsid w:val="67E034F4"/>
    <w:rsid w:val="69837628"/>
    <w:rsid w:val="6B46295F"/>
    <w:rsid w:val="6BA07B67"/>
    <w:rsid w:val="6D900673"/>
    <w:rsid w:val="6E0A574E"/>
    <w:rsid w:val="714C40F6"/>
    <w:rsid w:val="72491BF1"/>
    <w:rsid w:val="75070F8F"/>
    <w:rsid w:val="753C1C4E"/>
    <w:rsid w:val="765D5CBD"/>
    <w:rsid w:val="76DE161E"/>
    <w:rsid w:val="77100FE4"/>
    <w:rsid w:val="776158EB"/>
    <w:rsid w:val="79133EC0"/>
    <w:rsid w:val="7AE959F7"/>
    <w:rsid w:val="7BFA6ADE"/>
    <w:rsid w:val="7D672CCD"/>
    <w:rsid w:val="7FD3213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3EC62-F88A-492D-875E-FE19DFBA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7A35-25D3-4A47-B0CA-631FCDB3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2025-04-11T10:25:00Z</dcterms:created>
  <dcterms:modified xsi:type="dcterms:W3CDTF">2025-04-11T10:25:00Z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35B62E68611549A08D95707051DE4063_13</vt:lpwstr>
  </property>
</Properties>
</file>