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D11" w:rsidRDefault="00086C49" w:rsidP="00086C49">
      <w:pPr>
        <w:spacing w:after="0"/>
        <w:rPr>
          <w:rFonts w:ascii="Times New Roman" w:hAnsi="Times New Roman" w:cs="Times New Roman"/>
          <w:b/>
          <w:sz w:val="24"/>
          <w:szCs w:val="24"/>
        </w:rPr>
      </w:pPr>
      <w:bookmarkStart w:id="0" w:name="_GoBack"/>
      <w:bookmarkEnd w:id="0"/>
      <w:r w:rsidRPr="00086C49">
        <w:rPr>
          <w:rFonts w:ascii="Times New Roman" w:hAnsi="Times New Roman" w:cs="Times New Roman"/>
          <w:b/>
          <w:sz w:val="24"/>
          <w:szCs w:val="24"/>
        </w:rPr>
        <w:t xml:space="preserve"> </w:t>
      </w:r>
      <w:r w:rsidRPr="00086C49">
        <w:rPr>
          <w:rFonts w:ascii="Times New Roman" w:hAnsi="Times New Roman" w:cs="Times New Roman"/>
          <w:b/>
          <w:sz w:val="24"/>
          <w:szCs w:val="24"/>
          <w:u w:val="single"/>
        </w:rPr>
        <w:t>DISTRIBUTABLE</w:t>
      </w:r>
      <w:r w:rsidRPr="00086C49">
        <w:rPr>
          <w:rFonts w:ascii="Times New Roman" w:hAnsi="Times New Roman" w:cs="Times New Roman"/>
          <w:b/>
          <w:sz w:val="24"/>
          <w:szCs w:val="24"/>
        </w:rPr>
        <w:t xml:space="preserve">        (</w:t>
      </w:r>
      <w:r w:rsidR="00943FBF">
        <w:rPr>
          <w:rFonts w:ascii="Times New Roman" w:hAnsi="Times New Roman" w:cs="Times New Roman"/>
          <w:b/>
          <w:sz w:val="24"/>
          <w:szCs w:val="24"/>
        </w:rPr>
        <w:t>127</w:t>
      </w:r>
      <w:r w:rsidRPr="00086C49">
        <w:rPr>
          <w:rFonts w:ascii="Times New Roman" w:hAnsi="Times New Roman" w:cs="Times New Roman"/>
          <w:b/>
          <w:sz w:val="24"/>
          <w:szCs w:val="24"/>
        </w:rPr>
        <w:t>)</w:t>
      </w:r>
    </w:p>
    <w:p w:rsidR="008A57A2" w:rsidRDefault="008A57A2" w:rsidP="00086C49">
      <w:pPr>
        <w:spacing w:after="0"/>
        <w:rPr>
          <w:rFonts w:ascii="Times New Roman" w:hAnsi="Times New Roman" w:cs="Times New Roman"/>
          <w:b/>
          <w:sz w:val="24"/>
          <w:szCs w:val="24"/>
        </w:rPr>
      </w:pPr>
    </w:p>
    <w:p w:rsidR="008A57A2" w:rsidRPr="00086C49" w:rsidRDefault="008A57A2" w:rsidP="00086C49">
      <w:pPr>
        <w:spacing w:after="0"/>
        <w:rPr>
          <w:rFonts w:ascii="Times New Roman" w:hAnsi="Times New Roman" w:cs="Times New Roman"/>
          <w:b/>
          <w:sz w:val="24"/>
          <w:szCs w:val="24"/>
        </w:rPr>
      </w:pPr>
    </w:p>
    <w:p w:rsidR="00712368" w:rsidRPr="00086C49" w:rsidRDefault="00712368" w:rsidP="00086C49">
      <w:pPr>
        <w:spacing w:after="0"/>
        <w:rPr>
          <w:rFonts w:ascii="Times New Roman" w:hAnsi="Times New Roman" w:cs="Times New Roman"/>
        </w:rPr>
      </w:pPr>
    </w:p>
    <w:p w:rsidR="00712368" w:rsidRPr="00086C49" w:rsidRDefault="00712368" w:rsidP="00086C49">
      <w:pPr>
        <w:spacing w:after="0" w:line="240" w:lineRule="auto"/>
        <w:contextualSpacing/>
        <w:jc w:val="center"/>
        <w:rPr>
          <w:rFonts w:ascii="Times New Roman" w:eastAsia="Calibri" w:hAnsi="Times New Roman" w:cs="Times New Roman"/>
          <w:b/>
          <w:sz w:val="24"/>
          <w:szCs w:val="24"/>
          <w:lang w:val="en-GB"/>
        </w:rPr>
      </w:pPr>
      <w:r w:rsidRPr="00086C49">
        <w:rPr>
          <w:rFonts w:ascii="Times New Roman" w:eastAsia="Calibri" w:hAnsi="Times New Roman" w:cs="Times New Roman"/>
          <w:b/>
          <w:sz w:val="24"/>
          <w:szCs w:val="24"/>
          <w:lang w:val="en-GB"/>
        </w:rPr>
        <w:t>ONWELL     MADOVI</w:t>
      </w:r>
    </w:p>
    <w:p w:rsidR="00712368" w:rsidRPr="00086C49" w:rsidRDefault="00712368" w:rsidP="00086C49">
      <w:pPr>
        <w:spacing w:after="0" w:line="240" w:lineRule="auto"/>
        <w:jc w:val="center"/>
        <w:rPr>
          <w:rFonts w:ascii="Times New Roman" w:eastAsia="Calibri" w:hAnsi="Times New Roman" w:cs="Times New Roman"/>
          <w:b/>
          <w:sz w:val="24"/>
          <w:szCs w:val="24"/>
          <w:lang w:val="en-GB"/>
        </w:rPr>
      </w:pPr>
      <w:r w:rsidRPr="00086C49">
        <w:rPr>
          <w:rFonts w:ascii="Times New Roman" w:eastAsia="Calibri" w:hAnsi="Times New Roman" w:cs="Times New Roman"/>
          <w:b/>
          <w:sz w:val="24"/>
          <w:szCs w:val="24"/>
          <w:lang w:val="en-GB"/>
        </w:rPr>
        <w:t>v</w:t>
      </w:r>
    </w:p>
    <w:p w:rsidR="00712368" w:rsidRPr="00086C49" w:rsidRDefault="00712368" w:rsidP="00086C49">
      <w:pPr>
        <w:spacing w:after="0"/>
        <w:jc w:val="center"/>
        <w:rPr>
          <w:rFonts w:ascii="Times New Roman" w:eastAsia="Calibri" w:hAnsi="Times New Roman" w:cs="Times New Roman"/>
          <w:b/>
          <w:sz w:val="24"/>
          <w:szCs w:val="24"/>
          <w:lang w:val="en-GB"/>
        </w:rPr>
      </w:pPr>
      <w:r w:rsidRPr="00086C49">
        <w:rPr>
          <w:rFonts w:ascii="Times New Roman" w:eastAsia="Calibri" w:hAnsi="Times New Roman" w:cs="Times New Roman"/>
          <w:b/>
          <w:sz w:val="24"/>
          <w:szCs w:val="24"/>
          <w:lang w:val="en-GB"/>
        </w:rPr>
        <w:t>STANDARD     CHARTERED     BANK     OF     ZIMBABWE     (PRIVATE)     LIMITED</w:t>
      </w:r>
    </w:p>
    <w:p w:rsidR="00712368" w:rsidRPr="00086C49" w:rsidRDefault="00712368" w:rsidP="00086C49">
      <w:pPr>
        <w:spacing w:after="0"/>
        <w:ind w:left="360"/>
        <w:jc w:val="both"/>
        <w:rPr>
          <w:rFonts w:ascii="Times New Roman" w:eastAsia="Calibri" w:hAnsi="Times New Roman" w:cs="Times New Roman"/>
          <w:b/>
          <w:sz w:val="24"/>
          <w:szCs w:val="24"/>
          <w:lang w:val="en-GB"/>
        </w:rPr>
      </w:pPr>
    </w:p>
    <w:p w:rsidR="00712368" w:rsidRPr="00086C49" w:rsidRDefault="00712368" w:rsidP="00086C49">
      <w:pPr>
        <w:spacing w:after="0"/>
        <w:ind w:left="360"/>
        <w:jc w:val="both"/>
        <w:rPr>
          <w:rFonts w:ascii="Times New Roman" w:eastAsia="Calibri" w:hAnsi="Times New Roman" w:cs="Times New Roman"/>
          <w:b/>
          <w:sz w:val="24"/>
          <w:szCs w:val="24"/>
          <w:lang w:val="en-GB"/>
        </w:rPr>
      </w:pPr>
    </w:p>
    <w:p w:rsidR="00712368" w:rsidRPr="00086C49" w:rsidRDefault="00712368" w:rsidP="00086C49">
      <w:pPr>
        <w:spacing w:after="0"/>
        <w:ind w:left="360"/>
        <w:jc w:val="both"/>
        <w:rPr>
          <w:rFonts w:ascii="Times New Roman" w:eastAsia="Calibri" w:hAnsi="Times New Roman" w:cs="Times New Roman"/>
          <w:b/>
          <w:sz w:val="24"/>
          <w:szCs w:val="24"/>
          <w:lang w:val="en-GB"/>
        </w:rPr>
      </w:pPr>
    </w:p>
    <w:p w:rsidR="00712368" w:rsidRPr="00086C49" w:rsidRDefault="00712368" w:rsidP="00086C49">
      <w:pPr>
        <w:spacing w:after="0"/>
        <w:ind w:left="360"/>
        <w:jc w:val="both"/>
        <w:rPr>
          <w:rFonts w:ascii="Times New Roman" w:eastAsia="Calibri" w:hAnsi="Times New Roman" w:cs="Times New Roman"/>
          <w:b/>
          <w:sz w:val="24"/>
          <w:szCs w:val="24"/>
          <w:lang w:val="en-GB"/>
        </w:rPr>
      </w:pPr>
    </w:p>
    <w:p w:rsidR="00712368" w:rsidRPr="00086C49" w:rsidRDefault="00712368" w:rsidP="00086C49">
      <w:pPr>
        <w:spacing w:after="0" w:line="240" w:lineRule="auto"/>
        <w:jc w:val="both"/>
        <w:rPr>
          <w:rFonts w:ascii="Times New Roman" w:eastAsia="Calibri" w:hAnsi="Times New Roman" w:cs="Times New Roman"/>
          <w:b/>
          <w:sz w:val="24"/>
          <w:szCs w:val="24"/>
          <w:lang w:val="en-GB"/>
        </w:rPr>
      </w:pPr>
      <w:r w:rsidRPr="00086C49">
        <w:rPr>
          <w:rFonts w:ascii="Times New Roman" w:eastAsia="Calibri" w:hAnsi="Times New Roman" w:cs="Times New Roman"/>
          <w:b/>
          <w:sz w:val="24"/>
          <w:szCs w:val="24"/>
          <w:lang w:val="en-GB"/>
        </w:rPr>
        <w:t>SUPREME COURT OF ZIMBABWE</w:t>
      </w:r>
    </w:p>
    <w:p w:rsidR="00712368" w:rsidRPr="00086C49" w:rsidRDefault="00712368" w:rsidP="00086C49">
      <w:pPr>
        <w:spacing w:after="0" w:line="240" w:lineRule="auto"/>
        <w:jc w:val="both"/>
        <w:rPr>
          <w:rFonts w:ascii="Times New Roman" w:eastAsia="Calibri" w:hAnsi="Times New Roman" w:cs="Times New Roman"/>
          <w:b/>
          <w:sz w:val="24"/>
          <w:szCs w:val="24"/>
          <w:lang w:val="en-GB"/>
        </w:rPr>
      </w:pPr>
      <w:r w:rsidRPr="00086C49">
        <w:rPr>
          <w:rFonts w:ascii="Times New Roman" w:eastAsia="Calibri" w:hAnsi="Times New Roman" w:cs="Times New Roman"/>
          <w:b/>
          <w:sz w:val="24"/>
          <w:szCs w:val="24"/>
          <w:lang w:val="en-GB"/>
        </w:rPr>
        <w:t>MAKARAU JA, HLATSHWAYO JA &amp; BERE JA</w:t>
      </w:r>
    </w:p>
    <w:p w:rsidR="00712368" w:rsidRPr="00086C49" w:rsidRDefault="00712368" w:rsidP="00086C49">
      <w:pPr>
        <w:spacing w:after="0" w:line="240" w:lineRule="auto"/>
        <w:jc w:val="both"/>
        <w:rPr>
          <w:rFonts w:ascii="Times New Roman" w:eastAsia="Calibri" w:hAnsi="Times New Roman" w:cs="Times New Roman"/>
          <w:b/>
          <w:sz w:val="24"/>
          <w:szCs w:val="24"/>
          <w:lang w:val="en-GB"/>
        </w:rPr>
      </w:pPr>
      <w:r w:rsidRPr="00086C49">
        <w:rPr>
          <w:rFonts w:ascii="Times New Roman" w:eastAsia="Calibri" w:hAnsi="Times New Roman" w:cs="Times New Roman"/>
          <w:b/>
          <w:sz w:val="24"/>
          <w:szCs w:val="24"/>
          <w:lang w:val="en-GB"/>
        </w:rPr>
        <w:t>HARARE: SEPTEMBER</w:t>
      </w:r>
      <w:r w:rsidR="007E3401" w:rsidRPr="00086C49">
        <w:rPr>
          <w:rFonts w:ascii="Times New Roman" w:eastAsia="Calibri" w:hAnsi="Times New Roman" w:cs="Times New Roman"/>
          <w:b/>
          <w:sz w:val="24"/>
          <w:szCs w:val="24"/>
          <w:lang w:val="en-GB"/>
        </w:rPr>
        <w:t xml:space="preserve"> 11,</w:t>
      </w:r>
      <w:r w:rsidRPr="00086C49">
        <w:rPr>
          <w:rFonts w:ascii="Times New Roman" w:eastAsia="Calibri" w:hAnsi="Times New Roman" w:cs="Times New Roman"/>
          <w:b/>
          <w:sz w:val="24"/>
          <w:szCs w:val="24"/>
          <w:lang w:val="en-GB"/>
        </w:rPr>
        <w:t xml:space="preserve"> 2018</w:t>
      </w:r>
      <w:r w:rsidR="00086C49" w:rsidRPr="00086C49">
        <w:rPr>
          <w:rFonts w:ascii="Times New Roman" w:eastAsia="Calibri" w:hAnsi="Times New Roman" w:cs="Times New Roman"/>
          <w:b/>
          <w:sz w:val="24"/>
          <w:szCs w:val="24"/>
          <w:lang w:val="en-GB"/>
        </w:rPr>
        <w:t xml:space="preserve"> &amp; OCTOBER 19, 2020</w:t>
      </w:r>
    </w:p>
    <w:p w:rsidR="00712368" w:rsidRPr="00086C49" w:rsidRDefault="00712368" w:rsidP="00086C49">
      <w:pPr>
        <w:spacing w:after="0"/>
        <w:ind w:left="360"/>
        <w:jc w:val="both"/>
        <w:rPr>
          <w:rFonts w:ascii="Times New Roman" w:eastAsia="Calibri" w:hAnsi="Times New Roman" w:cs="Times New Roman"/>
          <w:sz w:val="24"/>
          <w:szCs w:val="24"/>
          <w:lang w:val="en-GB"/>
        </w:rPr>
      </w:pPr>
    </w:p>
    <w:p w:rsidR="00712368" w:rsidRPr="00086C49" w:rsidRDefault="00712368" w:rsidP="00086C49">
      <w:pPr>
        <w:spacing w:after="0"/>
        <w:ind w:left="360"/>
        <w:jc w:val="both"/>
        <w:rPr>
          <w:rFonts w:ascii="Times New Roman" w:eastAsia="Calibri" w:hAnsi="Times New Roman" w:cs="Times New Roman"/>
          <w:sz w:val="24"/>
          <w:szCs w:val="24"/>
          <w:lang w:val="en-GB"/>
        </w:rPr>
      </w:pPr>
    </w:p>
    <w:p w:rsidR="00712368" w:rsidRPr="00086C49" w:rsidRDefault="00712368" w:rsidP="00086C49">
      <w:pPr>
        <w:spacing w:after="0"/>
        <w:ind w:left="360"/>
        <w:jc w:val="both"/>
        <w:rPr>
          <w:rFonts w:ascii="Times New Roman" w:eastAsia="Calibri" w:hAnsi="Times New Roman" w:cs="Times New Roman"/>
          <w:sz w:val="24"/>
          <w:szCs w:val="24"/>
          <w:lang w:val="en-GB"/>
        </w:rPr>
      </w:pPr>
    </w:p>
    <w:p w:rsidR="00712368" w:rsidRPr="00086C49" w:rsidRDefault="00712368" w:rsidP="00086C49">
      <w:pPr>
        <w:spacing w:after="0" w:line="480" w:lineRule="auto"/>
        <w:jc w:val="both"/>
        <w:rPr>
          <w:rFonts w:ascii="Times New Roman" w:eastAsia="Calibri" w:hAnsi="Times New Roman" w:cs="Times New Roman"/>
          <w:sz w:val="24"/>
          <w:szCs w:val="24"/>
          <w:lang w:val="en-GB"/>
        </w:rPr>
      </w:pPr>
      <w:r w:rsidRPr="00086C49">
        <w:rPr>
          <w:rFonts w:ascii="Times New Roman" w:eastAsia="Calibri" w:hAnsi="Times New Roman" w:cs="Times New Roman"/>
          <w:sz w:val="24"/>
          <w:szCs w:val="24"/>
          <w:lang w:val="en-GB"/>
        </w:rPr>
        <w:t>Ms</w:t>
      </w:r>
      <w:r w:rsidRPr="00086C49">
        <w:rPr>
          <w:rFonts w:ascii="Times New Roman" w:eastAsia="Calibri" w:hAnsi="Times New Roman" w:cs="Times New Roman"/>
          <w:i/>
          <w:sz w:val="24"/>
          <w:szCs w:val="24"/>
          <w:lang w:val="en-GB"/>
        </w:rPr>
        <w:t xml:space="preserve"> C. Mahlangu</w:t>
      </w:r>
      <w:r w:rsidRPr="00086C49">
        <w:rPr>
          <w:rFonts w:ascii="Times New Roman" w:eastAsia="Calibri" w:hAnsi="Times New Roman" w:cs="Times New Roman"/>
          <w:sz w:val="24"/>
          <w:szCs w:val="24"/>
          <w:lang w:val="en-GB"/>
        </w:rPr>
        <w:t>, for the appellant</w:t>
      </w:r>
    </w:p>
    <w:p w:rsidR="00712368" w:rsidRPr="00086C49" w:rsidRDefault="00712368" w:rsidP="00086C49">
      <w:pPr>
        <w:spacing w:after="0" w:line="480" w:lineRule="auto"/>
        <w:jc w:val="both"/>
        <w:rPr>
          <w:rFonts w:ascii="Times New Roman" w:eastAsia="Calibri" w:hAnsi="Times New Roman" w:cs="Times New Roman"/>
          <w:sz w:val="24"/>
          <w:szCs w:val="24"/>
          <w:lang w:val="en-GB"/>
        </w:rPr>
      </w:pPr>
      <w:r w:rsidRPr="00086C49">
        <w:rPr>
          <w:rFonts w:ascii="Times New Roman" w:eastAsia="Calibri" w:hAnsi="Times New Roman" w:cs="Times New Roman"/>
          <w:i/>
          <w:sz w:val="24"/>
          <w:szCs w:val="24"/>
          <w:lang w:val="en-GB"/>
        </w:rPr>
        <w:t>T. Magwaliba</w:t>
      </w:r>
      <w:r w:rsidRPr="00086C49">
        <w:rPr>
          <w:rFonts w:ascii="Times New Roman" w:eastAsia="Calibri" w:hAnsi="Times New Roman" w:cs="Times New Roman"/>
          <w:sz w:val="24"/>
          <w:szCs w:val="24"/>
          <w:lang w:val="en-GB"/>
        </w:rPr>
        <w:t>, for the respondent</w:t>
      </w:r>
    </w:p>
    <w:p w:rsidR="00712368" w:rsidRPr="00086C49" w:rsidRDefault="00712368" w:rsidP="00086C49">
      <w:pPr>
        <w:spacing w:after="0"/>
        <w:ind w:left="360"/>
        <w:jc w:val="both"/>
        <w:rPr>
          <w:rFonts w:ascii="Times New Roman" w:eastAsia="Calibri" w:hAnsi="Times New Roman" w:cs="Times New Roman"/>
          <w:sz w:val="24"/>
          <w:szCs w:val="24"/>
          <w:lang w:val="en-GB"/>
        </w:rPr>
      </w:pPr>
    </w:p>
    <w:p w:rsidR="00712368" w:rsidRPr="00086C49" w:rsidRDefault="00712368" w:rsidP="00086C49">
      <w:pPr>
        <w:spacing w:after="0"/>
        <w:ind w:left="360"/>
        <w:jc w:val="both"/>
        <w:rPr>
          <w:rFonts w:ascii="Times New Roman" w:eastAsia="Calibri" w:hAnsi="Times New Roman" w:cs="Times New Roman"/>
          <w:sz w:val="24"/>
          <w:szCs w:val="24"/>
          <w:lang w:val="en-GB"/>
        </w:rPr>
      </w:pPr>
    </w:p>
    <w:p w:rsidR="00712368" w:rsidRPr="00086C49" w:rsidRDefault="00712368" w:rsidP="00086C49">
      <w:pPr>
        <w:spacing w:after="0"/>
        <w:ind w:left="360"/>
        <w:jc w:val="both"/>
        <w:rPr>
          <w:rFonts w:ascii="Times New Roman" w:eastAsia="Calibri" w:hAnsi="Times New Roman" w:cs="Times New Roman"/>
          <w:sz w:val="24"/>
          <w:szCs w:val="24"/>
          <w:lang w:val="en-GB"/>
        </w:rPr>
      </w:pPr>
    </w:p>
    <w:p w:rsidR="00367B8D" w:rsidRPr="00086C49" w:rsidRDefault="00712368" w:rsidP="00086C49">
      <w:pPr>
        <w:spacing w:after="0" w:line="480" w:lineRule="auto"/>
        <w:ind w:firstLine="1440"/>
        <w:jc w:val="both"/>
        <w:rPr>
          <w:rFonts w:ascii="Times New Roman" w:hAnsi="Times New Roman" w:cs="Times New Roman"/>
          <w:sz w:val="24"/>
          <w:szCs w:val="24"/>
        </w:rPr>
      </w:pPr>
      <w:r w:rsidRPr="00086C49">
        <w:rPr>
          <w:rFonts w:ascii="Times New Roman" w:eastAsia="Calibri" w:hAnsi="Times New Roman" w:cs="Times New Roman"/>
          <w:b/>
          <w:sz w:val="24"/>
          <w:szCs w:val="24"/>
          <w:lang w:val="en-GB"/>
        </w:rPr>
        <w:t>BERE JA:</w:t>
      </w:r>
      <w:r w:rsidRPr="00086C49">
        <w:rPr>
          <w:rFonts w:ascii="Times New Roman" w:eastAsia="Calibri" w:hAnsi="Times New Roman" w:cs="Times New Roman"/>
          <w:b/>
          <w:sz w:val="24"/>
          <w:szCs w:val="24"/>
          <w:lang w:val="en-GB"/>
        </w:rPr>
        <w:tab/>
      </w:r>
      <w:r w:rsidR="007E3401" w:rsidRPr="00086C49">
        <w:rPr>
          <w:rFonts w:ascii="Times New Roman" w:hAnsi="Times New Roman" w:cs="Times New Roman"/>
          <w:sz w:val="24"/>
          <w:szCs w:val="24"/>
        </w:rPr>
        <w:t>T</w:t>
      </w:r>
      <w:r w:rsidR="005C0015" w:rsidRPr="00086C49">
        <w:rPr>
          <w:rFonts w:ascii="Times New Roman" w:hAnsi="Times New Roman" w:cs="Times New Roman"/>
          <w:sz w:val="24"/>
          <w:szCs w:val="24"/>
        </w:rPr>
        <w:t>his is an appeal against the whole judgment of the Labour C</w:t>
      </w:r>
      <w:r w:rsidR="00203FCC" w:rsidRPr="00086C49">
        <w:rPr>
          <w:rFonts w:ascii="Times New Roman" w:hAnsi="Times New Roman" w:cs="Times New Roman"/>
          <w:sz w:val="24"/>
          <w:szCs w:val="24"/>
        </w:rPr>
        <w:t xml:space="preserve">ourt handed down </w:t>
      </w:r>
      <w:r w:rsidR="005C0015" w:rsidRPr="00086C49">
        <w:rPr>
          <w:rFonts w:ascii="Times New Roman" w:hAnsi="Times New Roman" w:cs="Times New Roman"/>
          <w:sz w:val="24"/>
          <w:szCs w:val="24"/>
        </w:rPr>
        <w:t>on 30 June 2017</w:t>
      </w:r>
      <w:r w:rsidR="003D2879" w:rsidRPr="00086C49">
        <w:rPr>
          <w:rFonts w:ascii="Times New Roman" w:hAnsi="Times New Roman" w:cs="Times New Roman"/>
          <w:sz w:val="24"/>
          <w:szCs w:val="24"/>
        </w:rPr>
        <w:t xml:space="preserve">, which upset the determination of the Appeals Board of the National Employment Council </w:t>
      </w:r>
      <w:r w:rsidR="00060276" w:rsidRPr="00086C49">
        <w:rPr>
          <w:rFonts w:ascii="Times New Roman" w:hAnsi="Times New Roman" w:cs="Times New Roman"/>
          <w:sz w:val="24"/>
          <w:szCs w:val="24"/>
        </w:rPr>
        <w:t xml:space="preserve">(NEC) </w:t>
      </w:r>
      <w:r w:rsidR="003D2879" w:rsidRPr="00086C49">
        <w:rPr>
          <w:rFonts w:ascii="Times New Roman" w:hAnsi="Times New Roman" w:cs="Times New Roman"/>
          <w:sz w:val="24"/>
          <w:szCs w:val="24"/>
        </w:rPr>
        <w:t>Banking undertaking of 15 July 2016</w:t>
      </w:r>
      <w:r w:rsidR="00060276" w:rsidRPr="00086C49">
        <w:rPr>
          <w:rFonts w:ascii="Times New Roman" w:hAnsi="Times New Roman" w:cs="Times New Roman"/>
          <w:sz w:val="24"/>
          <w:szCs w:val="24"/>
        </w:rPr>
        <w:t xml:space="preserve"> made in</w:t>
      </w:r>
      <w:r w:rsidR="003D2879" w:rsidRPr="00086C49">
        <w:rPr>
          <w:rFonts w:ascii="Times New Roman" w:hAnsi="Times New Roman" w:cs="Times New Roman"/>
          <w:sz w:val="24"/>
          <w:szCs w:val="24"/>
        </w:rPr>
        <w:t xml:space="preserve"> fa</w:t>
      </w:r>
      <w:r w:rsidR="00060276" w:rsidRPr="00086C49">
        <w:rPr>
          <w:rFonts w:ascii="Times New Roman" w:hAnsi="Times New Roman" w:cs="Times New Roman"/>
          <w:sz w:val="24"/>
          <w:szCs w:val="24"/>
        </w:rPr>
        <w:t>vour</w:t>
      </w:r>
      <w:r w:rsidR="003D2879" w:rsidRPr="00086C49">
        <w:rPr>
          <w:rFonts w:ascii="Times New Roman" w:hAnsi="Times New Roman" w:cs="Times New Roman"/>
          <w:sz w:val="24"/>
          <w:szCs w:val="24"/>
        </w:rPr>
        <w:t xml:space="preserve"> of the appellant</w:t>
      </w:r>
      <w:r w:rsidR="005C0015" w:rsidRPr="00086C49">
        <w:rPr>
          <w:rFonts w:ascii="Times New Roman" w:hAnsi="Times New Roman" w:cs="Times New Roman"/>
          <w:sz w:val="24"/>
          <w:szCs w:val="24"/>
        </w:rPr>
        <w:t>.</w:t>
      </w:r>
    </w:p>
    <w:p w:rsidR="007E3401" w:rsidRPr="00086C49" w:rsidRDefault="007E3401" w:rsidP="00086C49">
      <w:pPr>
        <w:spacing w:after="0" w:line="480" w:lineRule="auto"/>
        <w:ind w:firstLine="720"/>
        <w:jc w:val="both"/>
        <w:rPr>
          <w:rFonts w:ascii="Times New Roman" w:hAnsi="Times New Roman" w:cs="Times New Roman"/>
          <w:sz w:val="24"/>
          <w:szCs w:val="24"/>
        </w:rPr>
      </w:pPr>
    </w:p>
    <w:p w:rsidR="005C0015" w:rsidRPr="00086C49" w:rsidRDefault="007E3401" w:rsidP="00086C49">
      <w:pPr>
        <w:tabs>
          <w:tab w:val="left" w:pos="90"/>
        </w:tabs>
        <w:spacing w:after="0" w:line="480" w:lineRule="auto"/>
        <w:jc w:val="both"/>
        <w:rPr>
          <w:rFonts w:ascii="Times New Roman" w:hAnsi="Times New Roman" w:cs="Times New Roman"/>
          <w:b/>
          <w:sz w:val="24"/>
          <w:szCs w:val="24"/>
          <w:u w:val="single"/>
        </w:rPr>
      </w:pPr>
      <w:r w:rsidRPr="00086C49">
        <w:rPr>
          <w:rFonts w:ascii="Times New Roman" w:hAnsi="Times New Roman" w:cs="Times New Roman"/>
          <w:b/>
          <w:sz w:val="24"/>
          <w:szCs w:val="24"/>
          <w:u w:val="single"/>
        </w:rPr>
        <w:t>FACTUAL BACKGROUND</w:t>
      </w:r>
    </w:p>
    <w:p w:rsidR="003D2879" w:rsidRPr="00086C49" w:rsidRDefault="005C0015" w:rsidP="008A57A2">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t>The appellant was employed by the respo</w:t>
      </w:r>
      <w:r w:rsidR="003D2879" w:rsidRPr="00086C49">
        <w:rPr>
          <w:rFonts w:ascii="Times New Roman" w:hAnsi="Times New Roman" w:cs="Times New Roman"/>
          <w:sz w:val="24"/>
          <w:szCs w:val="24"/>
        </w:rPr>
        <w:t>ndent at its Gweru Branch as a t</w:t>
      </w:r>
      <w:r w:rsidRPr="00086C49">
        <w:rPr>
          <w:rFonts w:ascii="Times New Roman" w:hAnsi="Times New Roman" w:cs="Times New Roman"/>
          <w:sz w:val="24"/>
          <w:szCs w:val="24"/>
        </w:rPr>
        <w:t>eller. On 18 September 2015</w:t>
      </w:r>
      <w:r w:rsidR="00BD4BE3" w:rsidRPr="00086C49">
        <w:rPr>
          <w:rFonts w:ascii="Times New Roman" w:hAnsi="Times New Roman" w:cs="Times New Roman"/>
          <w:sz w:val="24"/>
          <w:szCs w:val="24"/>
        </w:rPr>
        <w:t>,</w:t>
      </w:r>
      <w:r w:rsidRPr="00086C49">
        <w:rPr>
          <w:rFonts w:ascii="Times New Roman" w:hAnsi="Times New Roman" w:cs="Times New Roman"/>
          <w:sz w:val="24"/>
          <w:szCs w:val="24"/>
        </w:rPr>
        <w:t xml:space="preserve"> </w:t>
      </w:r>
      <w:r w:rsidR="004E67DF" w:rsidRPr="00086C49">
        <w:rPr>
          <w:rFonts w:ascii="Times New Roman" w:hAnsi="Times New Roman" w:cs="Times New Roman"/>
          <w:sz w:val="24"/>
          <w:szCs w:val="24"/>
        </w:rPr>
        <w:t>he</w:t>
      </w:r>
      <w:r w:rsidRPr="00086C49">
        <w:rPr>
          <w:rFonts w:ascii="Times New Roman" w:hAnsi="Times New Roman" w:cs="Times New Roman"/>
          <w:sz w:val="24"/>
          <w:szCs w:val="24"/>
        </w:rPr>
        <w:t xml:space="preserve"> was suspended from </w:t>
      </w:r>
      <w:r w:rsidR="00856F8B" w:rsidRPr="00086C49">
        <w:rPr>
          <w:rFonts w:ascii="Times New Roman" w:hAnsi="Times New Roman" w:cs="Times New Roman"/>
          <w:sz w:val="24"/>
          <w:szCs w:val="24"/>
        </w:rPr>
        <w:t xml:space="preserve">employment </w:t>
      </w:r>
      <w:r w:rsidRPr="00086C49">
        <w:rPr>
          <w:rFonts w:ascii="Times New Roman" w:hAnsi="Times New Roman" w:cs="Times New Roman"/>
          <w:sz w:val="24"/>
          <w:szCs w:val="24"/>
        </w:rPr>
        <w:t xml:space="preserve">with full pay and benefits on </w:t>
      </w:r>
      <w:r w:rsidR="0088505D" w:rsidRPr="00086C49">
        <w:rPr>
          <w:rFonts w:ascii="Times New Roman" w:hAnsi="Times New Roman" w:cs="Times New Roman"/>
          <w:sz w:val="24"/>
          <w:szCs w:val="24"/>
        </w:rPr>
        <w:t>the</w:t>
      </w:r>
      <w:r w:rsidRPr="00086C49">
        <w:rPr>
          <w:rFonts w:ascii="Times New Roman" w:hAnsi="Times New Roman" w:cs="Times New Roman"/>
          <w:sz w:val="24"/>
          <w:szCs w:val="24"/>
        </w:rPr>
        <w:t xml:space="preserve"> basis that there was</w:t>
      </w:r>
      <w:r w:rsidR="007E3401" w:rsidRPr="00086C49">
        <w:rPr>
          <w:rFonts w:ascii="Times New Roman" w:hAnsi="Times New Roman" w:cs="Times New Roman"/>
          <w:sz w:val="24"/>
          <w:szCs w:val="24"/>
        </w:rPr>
        <w:t xml:space="preserve"> a r</w:t>
      </w:r>
      <w:r w:rsidRPr="00086C49">
        <w:rPr>
          <w:rFonts w:ascii="Times New Roman" w:hAnsi="Times New Roman" w:cs="Times New Roman"/>
          <w:sz w:val="24"/>
          <w:szCs w:val="24"/>
        </w:rPr>
        <w:t xml:space="preserve">easonable suspicion </w:t>
      </w:r>
      <w:r w:rsidR="007E3401" w:rsidRPr="00086C49">
        <w:rPr>
          <w:rFonts w:ascii="Times New Roman" w:hAnsi="Times New Roman" w:cs="Times New Roman"/>
          <w:sz w:val="24"/>
          <w:szCs w:val="24"/>
        </w:rPr>
        <w:t>that he had acted</w:t>
      </w:r>
      <w:r w:rsidR="00203FCC" w:rsidRPr="00086C49">
        <w:rPr>
          <w:rFonts w:ascii="Times New Roman" w:hAnsi="Times New Roman" w:cs="Times New Roman"/>
          <w:sz w:val="24"/>
          <w:szCs w:val="24"/>
        </w:rPr>
        <w:t xml:space="preserve"> </w:t>
      </w:r>
      <w:r w:rsidRPr="00086C49">
        <w:rPr>
          <w:rFonts w:ascii="Times New Roman" w:hAnsi="Times New Roman" w:cs="Times New Roman"/>
          <w:sz w:val="24"/>
          <w:szCs w:val="24"/>
        </w:rPr>
        <w:t xml:space="preserve">inappropriately by conniving or </w:t>
      </w:r>
      <w:r w:rsidR="0088505D" w:rsidRPr="00086C49">
        <w:rPr>
          <w:rFonts w:ascii="Times New Roman" w:hAnsi="Times New Roman" w:cs="Times New Roman"/>
          <w:sz w:val="24"/>
          <w:szCs w:val="24"/>
        </w:rPr>
        <w:t>omitting</w:t>
      </w:r>
      <w:r w:rsidRPr="00086C49">
        <w:rPr>
          <w:rFonts w:ascii="Times New Roman" w:hAnsi="Times New Roman" w:cs="Times New Roman"/>
          <w:sz w:val="24"/>
          <w:szCs w:val="24"/>
        </w:rPr>
        <w:t xml:space="preserve"> t</w:t>
      </w:r>
      <w:r w:rsidR="003D2879" w:rsidRPr="00086C49">
        <w:rPr>
          <w:rFonts w:ascii="Times New Roman" w:hAnsi="Times New Roman" w:cs="Times New Roman"/>
          <w:sz w:val="24"/>
          <w:szCs w:val="24"/>
        </w:rPr>
        <w:t xml:space="preserve">o report a theft by </w:t>
      </w:r>
      <w:r w:rsidR="004E67DF" w:rsidRPr="00086C49">
        <w:rPr>
          <w:rFonts w:ascii="Times New Roman" w:hAnsi="Times New Roman" w:cs="Times New Roman"/>
          <w:sz w:val="24"/>
          <w:szCs w:val="24"/>
        </w:rPr>
        <w:t>a</w:t>
      </w:r>
      <w:r w:rsidR="003D2879" w:rsidRPr="00086C49">
        <w:rPr>
          <w:rFonts w:ascii="Times New Roman" w:hAnsi="Times New Roman" w:cs="Times New Roman"/>
          <w:sz w:val="24"/>
          <w:szCs w:val="24"/>
        </w:rPr>
        <w:t xml:space="preserve"> fellow t</w:t>
      </w:r>
      <w:r w:rsidRPr="00086C49">
        <w:rPr>
          <w:rFonts w:ascii="Times New Roman" w:hAnsi="Times New Roman" w:cs="Times New Roman"/>
          <w:sz w:val="24"/>
          <w:szCs w:val="24"/>
        </w:rPr>
        <w:t>eller one Fortune Sim</w:t>
      </w:r>
      <w:r w:rsidR="00D23789" w:rsidRPr="00086C49">
        <w:rPr>
          <w:rFonts w:ascii="Times New Roman" w:hAnsi="Times New Roman" w:cs="Times New Roman"/>
          <w:sz w:val="24"/>
          <w:szCs w:val="24"/>
        </w:rPr>
        <w:t>banacho (the principal offender)</w:t>
      </w:r>
      <w:r w:rsidRPr="00086C49">
        <w:rPr>
          <w:rFonts w:ascii="Times New Roman" w:hAnsi="Times New Roman" w:cs="Times New Roman"/>
          <w:sz w:val="24"/>
          <w:szCs w:val="24"/>
        </w:rPr>
        <w:t>.</w:t>
      </w:r>
    </w:p>
    <w:p w:rsidR="005C0015" w:rsidRPr="00086C49" w:rsidRDefault="005C0015" w:rsidP="00086C49">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lastRenderedPageBreak/>
        <w:t xml:space="preserve">Pursuant to </w:t>
      </w:r>
      <w:r w:rsidR="004E67DF" w:rsidRPr="00086C49">
        <w:rPr>
          <w:rFonts w:ascii="Times New Roman" w:hAnsi="Times New Roman" w:cs="Times New Roman"/>
          <w:sz w:val="24"/>
          <w:szCs w:val="24"/>
        </w:rPr>
        <w:t>the</w:t>
      </w:r>
      <w:r w:rsidRPr="00086C49">
        <w:rPr>
          <w:rFonts w:ascii="Times New Roman" w:hAnsi="Times New Roman" w:cs="Times New Roman"/>
          <w:sz w:val="24"/>
          <w:szCs w:val="24"/>
        </w:rPr>
        <w:t xml:space="preserve"> suspension</w:t>
      </w:r>
      <w:r w:rsidR="00856F8B" w:rsidRPr="00086C49">
        <w:rPr>
          <w:rFonts w:ascii="Times New Roman" w:hAnsi="Times New Roman" w:cs="Times New Roman"/>
          <w:sz w:val="24"/>
          <w:szCs w:val="24"/>
        </w:rPr>
        <w:t>,</w:t>
      </w:r>
      <w:r w:rsidRPr="00086C49">
        <w:rPr>
          <w:rFonts w:ascii="Times New Roman" w:hAnsi="Times New Roman" w:cs="Times New Roman"/>
          <w:sz w:val="24"/>
          <w:szCs w:val="24"/>
        </w:rPr>
        <w:t xml:space="preserve"> the appellant was form</w:t>
      </w:r>
      <w:r w:rsidR="0090349E">
        <w:rPr>
          <w:rFonts w:ascii="Times New Roman" w:hAnsi="Times New Roman" w:cs="Times New Roman"/>
          <w:sz w:val="24"/>
          <w:szCs w:val="24"/>
        </w:rPr>
        <w:t>ally</w:t>
      </w:r>
      <w:r w:rsidRPr="00086C49">
        <w:rPr>
          <w:rFonts w:ascii="Times New Roman" w:hAnsi="Times New Roman" w:cs="Times New Roman"/>
          <w:sz w:val="24"/>
          <w:szCs w:val="24"/>
        </w:rPr>
        <w:t xml:space="preserve"> </w:t>
      </w:r>
      <w:r w:rsidR="0014718E" w:rsidRPr="00086C49">
        <w:rPr>
          <w:rFonts w:ascii="Times New Roman" w:hAnsi="Times New Roman" w:cs="Times New Roman"/>
          <w:sz w:val="24"/>
          <w:szCs w:val="24"/>
        </w:rPr>
        <w:t>charged</w:t>
      </w:r>
      <w:r w:rsidRPr="00086C49">
        <w:rPr>
          <w:rFonts w:ascii="Times New Roman" w:hAnsi="Times New Roman" w:cs="Times New Roman"/>
          <w:sz w:val="24"/>
          <w:szCs w:val="24"/>
        </w:rPr>
        <w:t xml:space="preserve"> </w:t>
      </w:r>
      <w:r w:rsidR="004E67DF" w:rsidRPr="00086C49">
        <w:rPr>
          <w:rFonts w:ascii="Times New Roman" w:hAnsi="Times New Roman" w:cs="Times New Roman"/>
          <w:sz w:val="24"/>
          <w:szCs w:val="24"/>
        </w:rPr>
        <w:t>of</w:t>
      </w:r>
      <w:r w:rsidRPr="00086C49">
        <w:rPr>
          <w:rFonts w:ascii="Times New Roman" w:hAnsi="Times New Roman" w:cs="Times New Roman"/>
          <w:sz w:val="24"/>
          <w:szCs w:val="24"/>
        </w:rPr>
        <w:t xml:space="preserve"> an offence in terms of the Respondent’s Employment Code of Conduct, namely a bre</w:t>
      </w:r>
      <w:r w:rsidR="00D23789" w:rsidRPr="00086C49">
        <w:rPr>
          <w:rFonts w:ascii="Times New Roman" w:hAnsi="Times New Roman" w:cs="Times New Roman"/>
          <w:sz w:val="24"/>
          <w:szCs w:val="24"/>
        </w:rPr>
        <w:t>ach of Category D (ii</w:t>
      </w:r>
      <w:r w:rsidRPr="00086C49">
        <w:rPr>
          <w:rFonts w:ascii="Times New Roman" w:hAnsi="Times New Roman" w:cs="Times New Roman"/>
          <w:sz w:val="24"/>
          <w:szCs w:val="24"/>
        </w:rPr>
        <w:t xml:space="preserve">) 1 being “any serious act, conduct or omission </w:t>
      </w:r>
      <w:r w:rsidR="0014718E" w:rsidRPr="00086C49">
        <w:rPr>
          <w:rFonts w:ascii="Times New Roman" w:hAnsi="Times New Roman" w:cs="Times New Roman"/>
          <w:sz w:val="24"/>
          <w:szCs w:val="24"/>
        </w:rPr>
        <w:t>inconsistent</w:t>
      </w:r>
      <w:r w:rsidRPr="00086C49">
        <w:rPr>
          <w:rFonts w:ascii="Times New Roman" w:hAnsi="Times New Roman" w:cs="Times New Roman"/>
          <w:sz w:val="24"/>
          <w:szCs w:val="24"/>
        </w:rPr>
        <w:t xml:space="preserve"> with the fulfilment of the </w:t>
      </w:r>
      <w:r w:rsidR="0088505D" w:rsidRPr="00086C49">
        <w:rPr>
          <w:rFonts w:ascii="Times New Roman" w:hAnsi="Times New Roman" w:cs="Times New Roman"/>
          <w:sz w:val="24"/>
          <w:szCs w:val="24"/>
        </w:rPr>
        <w:t>express</w:t>
      </w:r>
      <w:r w:rsidRPr="00086C49">
        <w:rPr>
          <w:rFonts w:ascii="Times New Roman" w:hAnsi="Times New Roman" w:cs="Times New Roman"/>
          <w:sz w:val="24"/>
          <w:szCs w:val="24"/>
        </w:rPr>
        <w:t xml:space="preserve"> or implied </w:t>
      </w:r>
      <w:r w:rsidR="0088505D" w:rsidRPr="00086C49">
        <w:rPr>
          <w:rFonts w:ascii="Times New Roman" w:hAnsi="Times New Roman" w:cs="Times New Roman"/>
          <w:sz w:val="24"/>
          <w:szCs w:val="24"/>
        </w:rPr>
        <w:t>condition</w:t>
      </w:r>
      <w:r w:rsidRPr="00086C49">
        <w:rPr>
          <w:rFonts w:ascii="Times New Roman" w:hAnsi="Times New Roman" w:cs="Times New Roman"/>
          <w:sz w:val="24"/>
          <w:szCs w:val="24"/>
        </w:rPr>
        <w:t xml:space="preserve"> of his contract where such is </w:t>
      </w:r>
      <w:r w:rsidR="0014718E" w:rsidRPr="00086C49">
        <w:rPr>
          <w:rFonts w:ascii="Times New Roman" w:hAnsi="Times New Roman" w:cs="Times New Roman"/>
          <w:sz w:val="24"/>
          <w:szCs w:val="24"/>
        </w:rPr>
        <w:t>not provided</w:t>
      </w:r>
      <w:r w:rsidRPr="00086C49">
        <w:rPr>
          <w:rFonts w:ascii="Times New Roman" w:hAnsi="Times New Roman" w:cs="Times New Roman"/>
          <w:sz w:val="24"/>
          <w:szCs w:val="24"/>
        </w:rPr>
        <w:t xml:space="preserve"> for under category A, B, C”.</w:t>
      </w:r>
    </w:p>
    <w:p w:rsidR="002433FC" w:rsidRPr="00086C49" w:rsidRDefault="002433FC" w:rsidP="00086C49">
      <w:pPr>
        <w:spacing w:after="0" w:line="480" w:lineRule="auto"/>
        <w:jc w:val="both"/>
        <w:rPr>
          <w:rFonts w:ascii="Times New Roman" w:hAnsi="Times New Roman" w:cs="Times New Roman"/>
          <w:sz w:val="24"/>
          <w:szCs w:val="24"/>
        </w:rPr>
      </w:pPr>
    </w:p>
    <w:p w:rsidR="005C0015" w:rsidRPr="00086C49" w:rsidRDefault="005C0015" w:rsidP="00086C49">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t>The allegation</w:t>
      </w:r>
      <w:r w:rsidR="003D2879" w:rsidRPr="00086C49">
        <w:rPr>
          <w:rFonts w:ascii="Times New Roman" w:hAnsi="Times New Roman" w:cs="Times New Roman"/>
          <w:sz w:val="24"/>
          <w:szCs w:val="24"/>
        </w:rPr>
        <w:t>s</w:t>
      </w:r>
      <w:r w:rsidRPr="00086C49">
        <w:rPr>
          <w:rFonts w:ascii="Times New Roman" w:hAnsi="Times New Roman" w:cs="Times New Roman"/>
          <w:sz w:val="24"/>
          <w:szCs w:val="24"/>
        </w:rPr>
        <w:t xml:space="preserve"> </w:t>
      </w:r>
      <w:r w:rsidR="003D2879" w:rsidRPr="00086C49">
        <w:rPr>
          <w:rFonts w:ascii="Times New Roman" w:hAnsi="Times New Roman" w:cs="Times New Roman"/>
          <w:sz w:val="24"/>
          <w:szCs w:val="24"/>
        </w:rPr>
        <w:t>were</w:t>
      </w:r>
      <w:r w:rsidRPr="00086C49">
        <w:rPr>
          <w:rFonts w:ascii="Times New Roman" w:hAnsi="Times New Roman" w:cs="Times New Roman"/>
          <w:sz w:val="24"/>
          <w:szCs w:val="24"/>
        </w:rPr>
        <w:t xml:space="preserve"> that on 26 August 2015 the </w:t>
      </w:r>
      <w:r w:rsidR="0088505D" w:rsidRPr="00086C49">
        <w:rPr>
          <w:rFonts w:ascii="Times New Roman" w:hAnsi="Times New Roman" w:cs="Times New Roman"/>
          <w:sz w:val="24"/>
          <w:szCs w:val="24"/>
        </w:rPr>
        <w:t>appellant was</w:t>
      </w:r>
      <w:r w:rsidR="002433FC" w:rsidRPr="00086C49">
        <w:rPr>
          <w:rFonts w:ascii="Times New Roman" w:hAnsi="Times New Roman" w:cs="Times New Roman"/>
          <w:sz w:val="24"/>
          <w:szCs w:val="24"/>
        </w:rPr>
        <w:t xml:space="preserve"> given an amount of US$40.</w:t>
      </w:r>
      <w:r w:rsidRPr="00086C49">
        <w:rPr>
          <w:rFonts w:ascii="Times New Roman" w:hAnsi="Times New Roman" w:cs="Times New Roman"/>
          <w:sz w:val="24"/>
          <w:szCs w:val="24"/>
        </w:rPr>
        <w:t xml:space="preserve">00 by the principal offender. It was alleged that the money was given to </w:t>
      </w:r>
      <w:r w:rsidR="004E67DF" w:rsidRPr="00086C49">
        <w:rPr>
          <w:rFonts w:ascii="Times New Roman" w:hAnsi="Times New Roman" w:cs="Times New Roman"/>
          <w:sz w:val="24"/>
          <w:szCs w:val="24"/>
        </w:rPr>
        <w:t>him</w:t>
      </w:r>
      <w:r w:rsidRPr="00086C49">
        <w:rPr>
          <w:rFonts w:ascii="Times New Roman" w:hAnsi="Times New Roman" w:cs="Times New Roman"/>
          <w:sz w:val="24"/>
          <w:szCs w:val="24"/>
        </w:rPr>
        <w:t xml:space="preserve"> at a time when the principal offender was in the process of </w:t>
      </w:r>
      <w:r w:rsidR="0014718E" w:rsidRPr="00086C49">
        <w:rPr>
          <w:rFonts w:ascii="Times New Roman" w:hAnsi="Times New Roman" w:cs="Times New Roman"/>
          <w:sz w:val="24"/>
          <w:szCs w:val="24"/>
        </w:rPr>
        <w:t>balancing</w:t>
      </w:r>
      <w:r w:rsidRPr="00086C49">
        <w:rPr>
          <w:rFonts w:ascii="Times New Roman" w:hAnsi="Times New Roman" w:cs="Times New Roman"/>
          <w:sz w:val="24"/>
          <w:szCs w:val="24"/>
        </w:rPr>
        <w:t xml:space="preserve"> her cash for the day. It was further alleged that the principal offender failed to balance her cash </w:t>
      </w:r>
      <w:r w:rsidR="003D2879" w:rsidRPr="00086C49">
        <w:rPr>
          <w:rFonts w:ascii="Times New Roman" w:hAnsi="Times New Roman" w:cs="Times New Roman"/>
          <w:sz w:val="24"/>
          <w:szCs w:val="24"/>
        </w:rPr>
        <w:t xml:space="preserve">by an amount of US$40.00 </w:t>
      </w:r>
      <w:r w:rsidRPr="00086C49">
        <w:rPr>
          <w:rFonts w:ascii="Times New Roman" w:hAnsi="Times New Roman" w:cs="Times New Roman"/>
          <w:sz w:val="24"/>
          <w:szCs w:val="24"/>
        </w:rPr>
        <w:t xml:space="preserve">and that </w:t>
      </w:r>
      <w:r w:rsidR="00D57ED8" w:rsidRPr="00086C49">
        <w:rPr>
          <w:rFonts w:ascii="Times New Roman" w:hAnsi="Times New Roman" w:cs="Times New Roman"/>
          <w:sz w:val="24"/>
          <w:szCs w:val="24"/>
        </w:rPr>
        <w:t xml:space="preserve">this was only </w:t>
      </w:r>
      <w:r w:rsidR="0014718E" w:rsidRPr="00086C49">
        <w:rPr>
          <w:rFonts w:ascii="Times New Roman" w:hAnsi="Times New Roman" w:cs="Times New Roman"/>
          <w:sz w:val="24"/>
          <w:szCs w:val="24"/>
        </w:rPr>
        <w:t>discovered</w:t>
      </w:r>
      <w:r w:rsidR="00D57ED8" w:rsidRPr="00086C49">
        <w:rPr>
          <w:rFonts w:ascii="Times New Roman" w:hAnsi="Times New Roman" w:cs="Times New Roman"/>
          <w:sz w:val="24"/>
          <w:szCs w:val="24"/>
        </w:rPr>
        <w:t xml:space="preserve"> on 28 August 2018.</w:t>
      </w:r>
    </w:p>
    <w:p w:rsidR="002433FC" w:rsidRPr="00086C49" w:rsidRDefault="002433FC" w:rsidP="00086C49">
      <w:pPr>
        <w:spacing w:after="0" w:line="480" w:lineRule="auto"/>
        <w:ind w:firstLine="1440"/>
        <w:jc w:val="both"/>
        <w:rPr>
          <w:rFonts w:ascii="Times New Roman" w:hAnsi="Times New Roman" w:cs="Times New Roman"/>
          <w:sz w:val="24"/>
          <w:szCs w:val="24"/>
        </w:rPr>
      </w:pPr>
    </w:p>
    <w:p w:rsidR="002433FC" w:rsidRPr="00086C49" w:rsidRDefault="00D57ED8" w:rsidP="00086C49">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t xml:space="preserve">The suggestion in the </w:t>
      </w:r>
      <w:r w:rsidR="0014718E" w:rsidRPr="00086C49">
        <w:rPr>
          <w:rFonts w:ascii="Times New Roman" w:hAnsi="Times New Roman" w:cs="Times New Roman"/>
          <w:sz w:val="24"/>
          <w:szCs w:val="24"/>
        </w:rPr>
        <w:t>allegation</w:t>
      </w:r>
      <w:r w:rsidR="003D2879" w:rsidRPr="00086C49">
        <w:rPr>
          <w:rFonts w:ascii="Times New Roman" w:hAnsi="Times New Roman" w:cs="Times New Roman"/>
          <w:sz w:val="24"/>
          <w:szCs w:val="24"/>
        </w:rPr>
        <w:t>s</w:t>
      </w:r>
      <w:r w:rsidR="0014718E" w:rsidRPr="00086C49">
        <w:rPr>
          <w:rFonts w:ascii="Times New Roman" w:hAnsi="Times New Roman" w:cs="Times New Roman"/>
          <w:sz w:val="24"/>
          <w:szCs w:val="24"/>
        </w:rPr>
        <w:t xml:space="preserve"> was</w:t>
      </w:r>
      <w:r w:rsidRPr="00086C49">
        <w:rPr>
          <w:rFonts w:ascii="Times New Roman" w:hAnsi="Times New Roman" w:cs="Times New Roman"/>
          <w:sz w:val="24"/>
          <w:szCs w:val="24"/>
        </w:rPr>
        <w:t xml:space="preserve"> that the appellant had connived with the principal offender </w:t>
      </w:r>
      <w:r w:rsidR="004E67DF" w:rsidRPr="00086C49">
        <w:rPr>
          <w:rFonts w:ascii="Times New Roman" w:hAnsi="Times New Roman" w:cs="Times New Roman"/>
          <w:sz w:val="24"/>
          <w:szCs w:val="24"/>
        </w:rPr>
        <w:t xml:space="preserve">in the theft of the money </w:t>
      </w:r>
      <w:r w:rsidRPr="00086C49">
        <w:rPr>
          <w:rFonts w:ascii="Times New Roman" w:hAnsi="Times New Roman" w:cs="Times New Roman"/>
          <w:sz w:val="24"/>
          <w:szCs w:val="24"/>
        </w:rPr>
        <w:t xml:space="preserve">and failed to </w:t>
      </w:r>
      <w:r w:rsidR="003D2879" w:rsidRPr="00086C49">
        <w:rPr>
          <w:rFonts w:ascii="Times New Roman" w:hAnsi="Times New Roman" w:cs="Times New Roman"/>
          <w:sz w:val="24"/>
          <w:szCs w:val="24"/>
        </w:rPr>
        <w:t>“</w:t>
      </w:r>
      <w:r w:rsidRPr="00086C49">
        <w:rPr>
          <w:rFonts w:ascii="Times New Roman" w:hAnsi="Times New Roman" w:cs="Times New Roman"/>
          <w:sz w:val="24"/>
          <w:szCs w:val="24"/>
        </w:rPr>
        <w:t>speak up</w:t>
      </w:r>
      <w:r w:rsidR="003D2879" w:rsidRPr="00086C49">
        <w:rPr>
          <w:rFonts w:ascii="Times New Roman" w:hAnsi="Times New Roman" w:cs="Times New Roman"/>
          <w:sz w:val="24"/>
          <w:szCs w:val="24"/>
        </w:rPr>
        <w:t>”</w:t>
      </w:r>
      <w:r w:rsidRPr="00086C49">
        <w:rPr>
          <w:rFonts w:ascii="Times New Roman" w:hAnsi="Times New Roman" w:cs="Times New Roman"/>
          <w:sz w:val="24"/>
          <w:szCs w:val="24"/>
        </w:rPr>
        <w:t xml:space="preserve"> on the matter in order to cover up</w:t>
      </w:r>
      <w:r w:rsidR="003D2879" w:rsidRPr="00086C49">
        <w:rPr>
          <w:rFonts w:ascii="Times New Roman" w:hAnsi="Times New Roman" w:cs="Times New Roman"/>
          <w:sz w:val="24"/>
          <w:szCs w:val="24"/>
        </w:rPr>
        <w:t xml:space="preserve"> for </w:t>
      </w:r>
      <w:r w:rsidRPr="00086C49">
        <w:rPr>
          <w:rFonts w:ascii="Times New Roman" w:hAnsi="Times New Roman" w:cs="Times New Roman"/>
          <w:sz w:val="24"/>
          <w:szCs w:val="24"/>
        </w:rPr>
        <w:t>the co</w:t>
      </w:r>
      <w:r w:rsidR="003D2879" w:rsidRPr="00086C49">
        <w:rPr>
          <w:rFonts w:ascii="Times New Roman" w:hAnsi="Times New Roman" w:cs="Times New Roman"/>
          <w:sz w:val="24"/>
          <w:szCs w:val="24"/>
        </w:rPr>
        <w:t xml:space="preserve">nduct of the principal </w:t>
      </w:r>
      <w:r w:rsidR="00EF1B73" w:rsidRPr="00086C49">
        <w:rPr>
          <w:rFonts w:ascii="Times New Roman" w:hAnsi="Times New Roman" w:cs="Times New Roman"/>
          <w:sz w:val="24"/>
          <w:szCs w:val="24"/>
        </w:rPr>
        <w:t>offender.</w:t>
      </w:r>
    </w:p>
    <w:p w:rsidR="00EF1B73" w:rsidRPr="00086C49" w:rsidRDefault="00EF1B73" w:rsidP="00086C49">
      <w:pPr>
        <w:spacing w:after="0" w:line="480" w:lineRule="auto"/>
        <w:ind w:firstLine="1440"/>
        <w:jc w:val="both"/>
        <w:rPr>
          <w:rFonts w:ascii="Times New Roman" w:hAnsi="Times New Roman" w:cs="Times New Roman"/>
          <w:sz w:val="24"/>
          <w:szCs w:val="24"/>
        </w:rPr>
      </w:pPr>
    </w:p>
    <w:p w:rsidR="00D57ED8" w:rsidRPr="00086C49" w:rsidRDefault="00D57ED8" w:rsidP="00086C49">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t>The appellant was taken before a disciplinary hearing</w:t>
      </w:r>
      <w:r w:rsidR="003D2879" w:rsidRPr="00086C49">
        <w:rPr>
          <w:rFonts w:ascii="Times New Roman" w:hAnsi="Times New Roman" w:cs="Times New Roman"/>
          <w:sz w:val="24"/>
          <w:szCs w:val="24"/>
        </w:rPr>
        <w:t xml:space="preserve"> officer who</w:t>
      </w:r>
      <w:r w:rsidRPr="00086C49">
        <w:rPr>
          <w:rFonts w:ascii="Times New Roman" w:hAnsi="Times New Roman" w:cs="Times New Roman"/>
          <w:sz w:val="24"/>
          <w:szCs w:val="24"/>
        </w:rPr>
        <w:t xml:space="preserve"> found him guilty and </w:t>
      </w:r>
      <w:r w:rsidR="00856F8B" w:rsidRPr="00086C49">
        <w:rPr>
          <w:rFonts w:ascii="Times New Roman" w:hAnsi="Times New Roman" w:cs="Times New Roman"/>
          <w:sz w:val="24"/>
          <w:szCs w:val="24"/>
        </w:rPr>
        <w:t>imposed</w:t>
      </w:r>
      <w:r w:rsidRPr="00086C49">
        <w:rPr>
          <w:rFonts w:ascii="Times New Roman" w:hAnsi="Times New Roman" w:cs="Times New Roman"/>
          <w:sz w:val="24"/>
          <w:szCs w:val="24"/>
        </w:rPr>
        <w:t xml:space="preserve"> the penalty</w:t>
      </w:r>
      <w:r w:rsidR="003D2879" w:rsidRPr="00086C49">
        <w:rPr>
          <w:rFonts w:ascii="Times New Roman" w:hAnsi="Times New Roman" w:cs="Times New Roman"/>
          <w:sz w:val="24"/>
          <w:szCs w:val="24"/>
        </w:rPr>
        <w:t xml:space="preserve"> of</w:t>
      </w:r>
      <w:r w:rsidRPr="00086C49">
        <w:rPr>
          <w:rFonts w:ascii="Times New Roman" w:hAnsi="Times New Roman" w:cs="Times New Roman"/>
          <w:sz w:val="24"/>
          <w:szCs w:val="24"/>
        </w:rPr>
        <w:t xml:space="preserve"> dismissal from employment.</w:t>
      </w:r>
    </w:p>
    <w:p w:rsidR="00060276" w:rsidRPr="00086C49" w:rsidRDefault="00060276" w:rsidP="00086C49">
      <w:pPr>
        <w:spacing w:after="0" w:line="480" w:lineRule="auto"/>
        <w:ind w:firstLine="1440"/>
        <w:jc w:val="both"/>
        <w:rPr>
          <w:rFonts w:ascii="Times New Roman" w:hAnsi="Times New Roman" w:cs="Times New Roman"/>
          <w:sz w:val="24"/>
          <w:szCs w:val="24"/>
        </w:rPr>
      </w:pPr>
    </w:p>
    <w:p w:rsidR="00D57ED8" w:rsidRPr="00086C49" w:rsidRDefault="00D57ED8" w:rsidP="00086C49">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t>However, the conviction</w:t>
      </w:r>
      <w:r w:rsidR="0088505D" w:rsidRPr="00086C49">
        <w:rPr>
          <w:rFonts w:ascii="Times New Roman" w:hAnsi="Times New Roman" w:cs="Times New Roman"/>
          <w:sz w:val="24"/>
          <w:szCs w:val="24"/>
        </w:rPr>
        <w:t xml:space="preserve"> and dismissal of the appellant </w:t>
      </w:r>
      <w:r w:rsidR="00060276" w:rsidRPr="00086C49">
        <w:rPr>
          <w:rFonts w:ascii="Times New Roman" w:hAnsi="Times New Roman" w:cs="Times New Roman"/>
          <w:sz w:val="24"/>
          <w:szCs w:val="24"/>
        </w:rPr>
        <w:t>were</w:t>
      </w:r>
      <w:r w:rsidR="0088505D" w:rsidRPr="00086C49">
        <w:rPr>
          <w:rFonts w:ascii="Times New Roman" w:hAnsi="Times New Roman" w:cs="Times New Roman"/>
          <w:sz w:val="24"/>
          <w:szCs w:val="24"/>
        </w:rPr>
        <w:t xml:space="preserve"> subsequently set aside by the NEC Appeal</w:t>
      </w:r>
      <w:r w:rsidR="00EF1B73" w:rsidRPr="00086C49">
        <w:rPr>
          <w:rFonts w:ascii="Times New Roman" w:hAnsi="Times New Roman" w:cs="Times New Roman"/>
          <w:sz w:val="24"/>
          <w:szCs w:val="24"/>
        </w:rPr>
        <w:t>s</w:t>
      </w:r>
      <w:r w:rsidR="0088505D" w:rsidRPr="00086C49">
        <w:rPr>
          <w:rFonts w:ascii="Times New Roman" w:hAnsi="Times New Roman" w:cs="Times New Roman"/>
          <w:sz w:val="24"/>
          <w:szCs w:val="24"/>
        </w:rPr>
        <w:t xml:space="preserve"> Board on appeal by the appellant </w:t>
      </w:r>
      <w:r w:rsidR="00856F8B" w:rsidRPr="00086C49">
        <w:rPr>
          <w:rFonts w:ascii="Times New Roman" w:hAnsi="Times New Roman" w:cs="Times New Roman"/>
          <w:sz w:val="24"/>
          <w:szCs w:val="24"/>
        </w:rPr>
        <w:t>which ordered</w:t>
      </w:r>
      <w:r w:rsidR="0088505D" w:rsidRPr="00086C49">
        <w:rPr>
          <w:rFonts w:ascii="Times New Roman" w:hAnsi="Times New Roman" w:cs="Times New Roman"/>
          <w:sz w:val="24"/>
          <w:szCs w:val="24"/>
        </w:rPr>
        <w:t xml:space="preserve"> the reinstatement of the appellant without loss of salary and benefits.</w:t>
      </w:r>
    </w:p>
    <w:p w:rsidR="0088505D" w:rsidRPr="00086C49" w:rsidRDefault="0088505D" w:rsidP="00086C49">
      <w:pPr>
        <w:spacing w:after="0" w:line="480" w:lineRule="auto"/>
        <w:jc w:val="both"/>
        <w:rPr>
          <w:rFonts w:ascii="Times New Roman" w:hAnsi="Times New Roman" w:cs="Times New Roman"/>
          <w:sz w:val="24"/>
          <w:szCs w:val="24"/>
        </w:rPr>
      </w:pPr>
    </w:p>
    <w:p w:rsidR="0088505D" w:rsidRPr="00086C49" w:rsidRDefault="0088505D" w:rsidP="00086C49">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lastRenderedPageBreak/>
        <w:t>The respondent’s swift response was to appeal to the Labour Court</w:t>
      </w:r>
      <w:r w:rsidR="009F7AB1" w:rsidRPr="00086C49">
        <w:rPr>
          <w:rFonts w:ascii="Times New Roman" w:hAnsi="Times New Roman" w:cs="Times New Roman"/>
          <w:sz w:val="24"/>
          <w:szCs w:val="24"/>
        </w:rPr>
        <w:t xml:space="preserve"> which in turn overturned the </w:t>
      </w:r>
      <w:r w:rsidR="0014718E" w:rsidRPr="00086C49">
        <w:rPr>
          <w:rFonts w:ascii="Times New Roman" w:hAnsi="Times New Roman" w:cs="Times New Roman"/>
          <w:sz w:val="24"/>
          <w:szCs w:val="24"/>
        </w:rPr>
        <w:t>decisions</w:t>
      </w:r>
      <w:r w:rsidR="009F7AB1" w:rsidRPr="00086C49">
        <w:rPr>
          <w:rFonts w:ascii="Times New Roman" w:hAnsi="Times New Roman" w:cs="Times New Roman"/>
          <w:sz w:val="24"/>
          <w:szCs w:val="24"/>
        </w:rPr>
        <w:t xml:space="preserve"> of the NEC Appeals Board and </w:t>
      </w:r>
      <w:r w:rsidR="0014718E" w:rsidRPr="00086C49">
        <w:rPr>
          <w:rFonts w:ascii="Times New Roman" w:hAnsi="Times New Roman" w:cs="Times New Roman"/>
          <w:sz w:val="24"/>
          <w:szCs w:val="24"/>
        </w:rPr>
        <w:t>confirmed the</w:t>
      </w:r>
      <w:r w:rsidR="009F7AB1" w:rsidRPr="00086C49">
        <w:rPr>
          <w:rFonts w:ascii="Times New Roman" w:hAnsi="Times New Roman" w:cs="Times New Roman"/>
          <w:sz w:val="24"/>
          <w:szCs w:val="24"/>
        </w:rPr>
        <w:t xml:space="preserve"> </w:t>
      </w:r>
      <w:r w:rsidR="0014718E" w:rsidRPr="00086C49">
        <w:rPr>
          <w:rFonts w:ascii="Times New Roman" w:hAnsi="Times New Roman" w:cs="Times New Roman"/>
          <w:sz w:val="24"/>
          <w:szCs w:val="24"/>
        </w:rPr>
        <w:t>appellant’s</w:t>
      </w:r>
      <w:r w:rsidR="009F7AB1" w:rsidRPr="00086C49">
        <w:rPr>
          <w:rFonts w:ascii="Times New Roman" w:hAnsi="Times New Roman" w:cs="Times New Roman"/>
          <w:sz w:val="24"/>
          <w:szCs w:val="24"/>
        </w:rPr>
        <w:t xml:space="preserve"> dismissal.</w:t>
      </w:r>
    </w:p>
    <w:p w:rsidR="002433FC" w:rsidRPr="00086C49" w:rsidRDefault="002433FC" w:rsidP="00086C49">
      <w:pPr>
        <w:spacing w:after="0" w:line="480" w:lineRule="auto"/>
        <w:ind w:firstLine="1440"/>
        <w:jc w:val="both"/>
        <w:rPr>
          <w:rFonts w:ascii="Times New Roman" w:hAnsi="Times New Roman" w:cs="Times New Roman"/>
          <w:sz w:val="24"/>
          <w:szCs w:val="24"/>
        </w:rPr>
      </w:pPr>
    </w:p>
    <w:p w:rsidR="009F7AB1" w:rsidRPr="00086C49" w:rsidRDefault="009F7AB1" w:rsidP="00086C49">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t>Aggrieved by the decision of the Labour Court, the appe</w:t>
      </w:r>
      <w:r w:rsidR="002433FC" w:rsidRPr="00086C49">
        <w:rPr>
          <w:rFonts w:ascii="Times New Roman" w:hAnsi="Times New Roman" w:cs="Times New Roman"/>
          <w:sz w:val="24"/>
          <w:szCs w:val="24"/>
        </w:rPr>
        <w:t>llant has now appealed to this C</w:t>
      </w:r>
      <w:r w:rsidRPr="00086C49">
        <w:rPr>
          <w:rFonts w:ascii="Times New Roman" w:hAnsi="Times New Roman" w:cs="Times New Roman"/>
          <w:sz w:val="24"/>
          <w:szCs w:val="24"/>
        </w:rPr>
        <w:t>ourt.</w:t>
      </w:r>
    </w:p>
    <w:p w:rsidR="002433FC" w:rsidRPr="00086C49" w:rsidRDefault="002433FC" w:rsidP="00086C49">
      <w:pPr>
        <w:spacing w:after="0" w:line="480" w:lineRule="auto"/>
        <w:ind w:firstLine="1440"/>
        <w:jc w:val="both"/>
        <w:rPr>
          <w:rFonts w:ascii="Times New Roman" w:hAnsi="Times New Roman" w:cs="Times New Roman"/>
          <w:sz w:val="24"/>
          <w:szCs w:val="24"/>
        </w:rPr>
      </w:pPr>
    </w:p>
    <w:p w:rsidR="009F7AB1" w:rsidRPr="00086C49" w:rsidRDefault="002433FC" w:rsidP="00086C49">
      <w:pPr>
        <w:spacing w:after="0" w:line="480" w:lineRule="auto"/>
        <w:jc w:val="both"/>
        <w:rPr>
          <w:rFonts w:ascii="Times New Roman" w:hAnsi="Times New Roman" w:cs="Times New Roman"/>
          <w:b/>
          <w:sz w:val="24"/>
          <w:szCs w:val="24"/>
          <w:u w:val="single"/>
        </w:rPr>
      </w:pPr>
      <w:r w:rsidRPr="00086C49">
        <w:rPr>
          <w:rFonts w:ascii="Times New Roman" w:hAnsi="Times New Roman" w:cs="Times New Roman"/>
          <w:b/>
          <w:sz w:val="24"/>
          <w:szCs w:val="24"/>
          <w:u w:val="single"/>
        </w:rPr>
        <w:t>THE APPEAL</w:t>
      </w:r>
    </w:p>
    <w:p w:rsidR="009F7AB1" w:rsidRPr="00086C49" w:rsidRDefault="00EF1B73" w:rsidP="00086C49">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t>The</w:t>
      </w:r>
      <w:r w:rsidR="009F7AB1" w:rsidRPr="00086C49">
        <w:rPr>
          <w:rFonts w:ascii="Times New Roman" w:hAnsi="Times New Roman" w:cs="Times New Roman"/>
          <w:sz w:val="24"/>
          <w:szCs w:val="24"/>
        </w:rPr>
        <w:t xml:space="preserve"> grounds of appeal as presented to this Court are framed as follows:</w:t>
      </w:r>
    </w:p>
    <w:p w:rsidR="009F7AB1" w:rsidRPr="00086C49" w:rsidRDefault="000D4C92" w:rsidP="008A57A2">
      <w:pPr>
        <w:spacing w:after="0" w:line="240" w:lineRule="auto"/>
        <w:ind w:left="1170" w:hanging="450"/>
        <w:jc w:val="both"/>
        <w:rPr>
          <w:rFonts w:ascii="Times New Roman" w:hAnsi="Times New Roman" w:cs="Times New Roman"/>
          <w:sz w:val="24"/>
          <w:szCs w:val="24"/>
        </w:rPr>
      </w:pPr>
      <w:r w:rsidRPr="00086C49">
        <w:rPr>
          <w:rFonts w:ascii="Times New Roman" w:hAnsi="Times New Roman" w:cs="Times New Roman"/>
          <w:sz w:val="24"/>
          <w:szCs w:val="24"/>
        </w:rPr>
        <w:t xml:space="preserve">“1. </w:t>
      </w:r>
      <w:r w:rsidRPr="00086C49">
        <w:rPr>
          <w:rFonts w:ascii="Times New Roman" w:hAnsi="Times New Roman" w:cs="Times New Roman"/>
          <w:sz w:val="24"/>
          <w:szCs w:val="24"/>
        </w:rPr>
        <w:tab/>
      </w:r>
      <w:r w:rsidR="009F7AB1" w:rsidRPr="00086C49">
        <w:rPr>
          <w:rFonts w:ascii="Times New Roman" w:hAnsi="Times New Roman" w:cs="Times New Roman"/>
          <w:sz w:val="24"/>
          <w:szCs w:val="24"/>
        </w:rPr>
        <w:t xml:space="preserve">The court </w:t>
      </w:r>
      <w:r w:rsidR="009F7AB1" w:rsidRPr="00086C49">
        <w:rPr>
          <w:rFonts w:ascii="Times New Roman" w:hAnsi="Times New Roman" w:cs="Times New Roman"/>
          <w:i/>
          <w:sz w:val="24"/>
          <w:szCs w:val="24"/>
        </w:rPr>
        <w:t>a quo</w:t>
      </w:r>
      <w:r w:rsidR="009F7AB1" w:rsidRPr="00086C49">
        <w:rPr>
          <w:rFonts w:ascii="Times New Roman" w:hAnsi="Times New Roman" w:cs="Times New Roman"/>
          <w:sz w:val="24"/>
          <w:szCs w:val="24"/>
        </w:rPr>
        <w:t xml:space="preserve"> grossly erred and seriously misdirect</w:t>
      </w:r>
      <w:r w:rsidR="00365C9E" w:rsidRPr="00086C49">
        <w:rPr>
          <w:rFonts w:ascii="Times New Roman" w:hAnsi="Times New Roman" w:cs="Times New Roman"/>
          <w:sz w:val="24"/>
          <w:szCs w:val="24"/>
        </w:rPr>
        <w:t>ed</w:t>
      </w:r>
      <w:r w:rsidR="009F7AB1" w:rsidRPr="00086C49">
        <w:rPr>
          <w:rFonts w:ascii="Times New Roman" w:hAnsi="Times New Roman" w:cs="Times New Roman"/>
          <w:sz w:val="24"/>
          <w:szCs w:val="24"/>
        </w:rPr>
        <w:t xml:space="preserve"> itself on the facts in disregarding the findings </w:t>
      </w:r>
      <w:r w:rsidR="00365C9E" w:rsidRPr="00086C49">
        <w:rPr>
          <w:rFonts w:ascii="Times New Roman" w:hAnsi="Times New Roman" w:cs="Times New Roman"/>
          <w:sz w:val="24"/>
          <w:szCs w:val="24"/>
        </w:rPr>
        <w:t xml:space="preserve">of </w:t>
      </w:r>
      <w:r w:rsidR="009F7AB1" w:rsidRPr="00086C49">
        <w:rPr>
          <w:rFonts w:ascii="Times New Roman" w:hAnsi="Times New Roman" w:cs="Times New Roman"/>
          <w:sz w:val="24"/>
          <w:szCs w:val="24"/>
        </w:rPr>
        <w:t>the Appeals Board</w:t>
      </w:r>
      <w:r w:rsidR="0014718E" w:rsidRPr="00086C49">
        <w:rPr>
          <w:rFonts w:ascii="Times New Roman" w:hAnsi="Times New Roman" w:cs="Times New Roman"/>
          <w:sz w:val="24"/>
          <w:szCs w:val="24"/>
        </w:rPr>
        <w:t xml:space="preserve"> and upholding the findings by the hearing officer which </w:t>
      </w:r>
      <w:r w:rsidR="00436232" w:rsidRPr="00086C49">
        <w:rPr>
          <w:rFonts w:ascii="Times New Roman" w:hAnsi="Times New Roman" w:cs="Times New Roman"/>
          <w:sz w:val="24"/>
          <w:szCs w:val="24"/>
        </w:rPr>
        <w:t xml:space="preserve">findings were </w:t>
      </w:r>
      <w:r w:rsidR="00AD5536" w:rsidRPr="00086C49">
        <w:rPr>
          <w:rFonts w:ascii="Times New Roman" w:hAnsi="Times New Roman" w:cs="Times New Roman"/>
          <w:sz w:val="24"/>
          <w:szCs w:val="24"/>
        </w:rPr>
        <w:t>based</w:t>
      </w:r>
      <w:r w:rsidR="00436232" w:rsidRPr="00086C49">
        <w:rPr>
          <w:rFonts w:ascii="Times New Roman" w:hAnsi="Times New Roman" w:cs="Times New Roman"/>
          <w:sz w:val="24"/>
          <w:szCs w:val="24"/>
        </w:rPr>
        <w:t xml:space="preserve"> on </w:t>
      </w:r>
      <w:r w:rsidR="00AD5536" w:rsidRPr="00086C49">
        <w:rPr>
          <w:rFonts w:ascii="Times New Roman" w:hAnsi="Times New Roman" w:cs="Times New Roman"/>
          <w:sz w:val="24"/>
          <w:szCs w:val="24"/>
        </w:rPr>
        <w:t>erroneous</w:t>
      </w:r>
      <w:r w:rsidR="00436232" w:rsidRPr="00086C49">
        <w:rPr>
          <w:rFonts w:ascii="Times New Roman" w:hAnsi="Times New Roman" w:cs="Times New Roman"/>
          <w:sz w:val="24"/>
          <w:szCs w:val="24"/>
        </w:rPr>
        <w:t xml:space="preserve"> and </w:t>
      </w:r>
      <w:r w:rsidR="00AD5536" w:rsidRPr="00086C49">
        <w:rPr>
          <w:rFonts w:ascii="Times New Roman" w:hAnsi="Times New Roman" w:cs="Times New Roman"/>
          <w:sz w:val="24"/>
          <w:szCs w:val="24"/>
        </w:rPr>
        <w:t>nonexistent</w:t>
      </w:r>
      <w:r w:rsidR="00436232" w:rsidRPr="00086C49">
        <w:rPr>
          <w:rFonts w:ascii="Times New Roman" w:hAnsi="Times New Roman" w:cs="Times New Roman"/>
          <w:sz w:val="24"/>
          <w:szCs w:val="24"/>
        </w:rPr>
        <w:t xml:space="preserve"> facts an</w:t>
      </w:r>
      <w:r w:rsidR="00FF4E65" w:rsidRPr="00086C49">
        <w:rPr>
          <w:rFonts w:ascii="Times New Roman" w:hAnsi="Times New Roman" w:cs="Times New Roman"/>
          <w:sz w:val="24"/>
          <w:szCs w:val="24"/>
        </w:rPr>
        <w:t xml:space="preserve">d further ignoring overwhelming </w:t>
      </w:r>
      <w:r w:rsidR="00436232" w:rsidRPr="00086C49">
        <w:rPr>
          <w:rFonts w:ascii="Times New Roman" w:hAnsi="Times New Roman" w:cs="Times New Roman"/>
          <w:sz w:val="24"/>
          <w:szCs w:val="24"/>
        </w:rPr>
        <w:t>evidence led to the contrary.</w:t>
      </w:r>
    </w:p>
    <w:p w:rsidR="00D23789" w:rsidRPr="00086C49" w:rsidRDefault="000D4C92" w:rsidP="008A57A2">
      <w:pPr>
        <w:spacing w:after="0" w:line="240" w:lineRule="auto"/>
        <w:ind w:left="1170" w:hanging="360"/>
        <w:jc w:val="both"/>
        <w:rPr>
          <w:rFonts w:ascii="Times New Roman" w:hAnsi="Times New Roman" w:cs="Times New Roman"/>
          <w:sz w:val="24"/>
          <w:szCs w:val="24"/>
        </w:rPr>
      </w:pPr>
      <w:r w:rsidRPr="00086C49">
        <w:rPr>
          <w:rFonts w:ascii="Times New Roman" w:hAnsi="Times New Roman" w:cs="Times New Roman"/>
          <w:sz w:val="24"/>
          <w:szCs w:val="24"/>
        </w:rPr>
        <w:t xml:space="preserve">2. </w:t>
      </w:r>
      <w:r w:rsidR="009D74B6" w:rsidRPr="00086C49">
        <w:rPr>
          <w:rFonts w:ascii="Times New Roman" w:hAnsi="Times New Roman" w:cs="Times New Roman"/>
          <w:sz w:val="24"/>
          <w:szCs w:val="24"/>
        </w:rPr>
        <w:t xml:space="preserve"> </w:t>
      </w:r>
      <w:r w:rsidR="00436232" w:rsidRPr="00086C49">
        <w:rPr>
          <w:rFonts w:ascii="Times New Roman" w:hAnsi="Times New Roman" w:cs="Times New Roman"/>
          <w:sz w:val="24"/>
          <w:szCs w:val="24"/>
        </w:rPr>
        <w:t xml:space="preserve">The court </w:t>
      </w:r>
      <w:r w:rsidR="00436232" w:rsidRPr="00086C49">
        <w:rPr>
          <w:rFonts w:ascii="Times New Roman" w:hAnsi="Times New Roman" w:cs="Times New Roman"/>
          <w:i/>
          <w:sz w:val="24"/>
          <w:szCs w:val="24"/>
        </w:rPr>
        <w:t>a quo</w:t>
      </w:r>
      <w:r w:rsidR="00436232" w:rsidRPr="00086C49">
        <w:rPr>
          <w:rFonts w:ascii="Times New Roman" w:hAnsi="Times New Roman" w:cs="Times New Roman"/>
          <w:sz w:val="24"/>
          <w:szCs w:val="24"/>
        </w:rPr>
        <w:t xml:space="preserve"> erred and </w:t>
      </w:r>
      <w:r w:rsidR="00AD5536" w:rsidRPr="00086C49">
        <w:rPr>
          <w:rFonts w:ascii="Times New Roman" w:hAnsi="Times New Roman" w:cs="Times New Roman"/>
          <w:sz w:val="24"/>
          <w:szCs w:val="24"/>
        </w:rPr>
        <w:t>seriously</w:t>
      </w:r>
      <w:r w:rsidR="00436232" w:rsidRPr="00086C49">
        <w:rPr>
          <w:rFonts w:ascii="Times New Roman" w:hAnsi="Times New Roman" w:cs="Times New Roman"/>
          <w:sz w:val="24"/>
          <w:szCs w:val="24"/>
        </w:rPr>
        <w:t xml:space="preserve"> misdirected </w:t>
      </w:r>
      <w:r w:rsidR="00D23789" w:rsidRPr="00086C49">
        <w:rPr>
          <w:rFonts w:ascii="Times New Roman" w:hAnsi="Times New Roman" w:cs="Times New Roman"/>
          <w:sz w:val="24"/>
          <w:szCs w:val="24"/>
        </w:rPr>
        <w:t>itself in</w:t>
      </w:r>
      <w:r w:rsidR="00436232" w:rsidRPr="00086C49">
        <w:rPr>
          <w:rFonts w:ascii="Times New Roman" w:hAnsi="Times New Roman" w:cs="Times New Roman"/>
          <w:sz w:val="24"/>
          <w:szCs w:val="24"/>
        </w:rPr>
        <w:t xml:space="preserve"> </w:t>
      </w:r>
      <w:r w:rsidR="00D23789" w:rsidRPr="00086C49">
        <w:rPr>
          <w:rFonts w:ascii="Times New Roman" w:hAnsi="Times New Roman" w:cs="Times New Roman"/>
          <w:sz w:val="24"/>
          <w:szCs w:val="24"/>
        </w:rPr>
        <w:t>concluding that Tellers were not allowed to take cash into their cubicles.</w:t>
      </w:r>
    </w:p>
    <w:p w:rsidR="00D23789" w:rsidRPr="00086C49" w:rsidRDefault="000D4C92" w:rsidP="008A57A2">
      <w:pPr>
        <w:spacing w:after="0" w:line="240" w:lineRule="auto"/>
        <w:ind w:left="1170" w:hanging="360"/>
        <w:jc w:val="both"/>
        <w:rPr>
          <w:rFonts w:ascii="Times New Roman" w:hAnsi="Times New Roman" w:cs="Times New Roman"/>
          <w:sz w:val="24"/>
          <w:szCs w:val="24"/>
        </w:rPr>
      </w:pPr>
      <w:r w:rsidRPr="00086C49">
        <w:rPr>
          <w:rFonts w:ascii="Times New Roman" w:hAnsi="Times New Roman" w:cs="Times New Roman"/>
          <w:sz w:val="24"/>
          <w:szCs w:val="24"/>
        </w:rPr>
        <w:t xml:space="preserve">3. </w:t>
      </w:r>
      <w:r w:rsidR="00D23789" w:rsidRPr="00086C49">
        <w:rPr>
          <w:rFonts w:ascii="Times New Roman" w:hAnsi="Times New Roman" w:cs="Times New Roman"/>
          <w:sz w:val="24"/>
          <w:szCs w:val="24"/>
        </w:rPr>
        <w:t xml:space="preserve"> </w:t>
      </w:r>
      <w:r w:rsidR="00436232" w:rsidRPr="00086C49">
        <w:rPr>
          <w:rFonts w:ascii="Times New Roman" w:hAnsi="Times New Roman" w:cs="Times New Roman"/>
          <w:sz w:val="24"/>
          <w:szCs w:val="24"/>
        </w:rPr>
        <w:t xml:space="preserve">The court </w:t>
      </w:r>
      <w:r w:rsidR="00436232" w:rsidRPr="00086C49">
        <w:rPr>
          <w:rFonts w:ascii="Times New Roman" w:hAnsi="Times New Roman" w:cs="Times New Roman"/>
          <w:i/>
          <w:sz w:val="24"/>
          <w:szCs w:val="24"/>
        </w:rPr>
        <w:t>a quo</w:t>
      </w:r>
      <w:r w:rsidR="00436232" w:rsidRPr="00086C49">
        <w:rPr>
          <w:rFonts w:ascii="Times New Roman" w:hAnsi="Times New Roman" w:cs="Times New Roman"/>
          <w:sz w:val="24"/>
          <w:szCs w:val="24"/>
        </w:rPr>
        <w:t xml:space="preserve"> erred and </w:t>
      </w:r>
      <w:r w:rsidR="008A57A2">
        <w:rPr>
          <w:rFonts w:ascii="Times New Roman" w:hAnsi="Times New Roman" w:cs="Times New Roman"/>
          <w:sz w:val="24"/>
          <w:szCs w:val="24"/>
        </w:rPr>
        <w:t>seriously misdirected itself in</w:t>
      </w:r>
      <w:r w:rsidR="00FF4E65" w:rsidRPr="00086C49">
        <w:rPr>
          <w:rFonts w:ascii="Times New Roman" w:hAnsi="Times New Roman" w:cs="Times New Roman"/>
          <w:sz w:val="24"/>
          <w:szCs w:val="24"/>
        </w:rPr>
        <w:t xml:space="preserve"> </w:t>
      </w:r>
      <w:r w:rsidR="00D23789" w:rsidRPr="00086C49">
        <w:rPr>
          <w:rFonts w:ascii="Times New Roman" w:hAnsi="Times New Roman" w:cs="Times New Roman"/>
          <w:sz w:val="24"/>
          <w:szCs w:val="24"/>
        </w:rPr>
        <w:t xml:space="preserve">concluding </w:t>
      </w:r>
      <w:r w:rsidR="00365C9E" w:rsidRPr="00086C49">
        <w:rPr>
          <w:rFonts w:ascii="Times New Roman" w:hAnsi="Times New Roman" w:cs="Times New Roman"/>
          <w:sz w:val="24"/>
          <w:szCs w:val="24"/>
        </w:rPr>
        <w:t>that the video</w:t>
      </w:r>
      <w:r w:rsidR="00D23789" w:rsidRPr="00086C49">
        <w:rPr>
          <w:rFonts w:ascii="Times New Roman" w:hAnsi="Times New Roman" w:cs="Times New Roman"/>
          <w:sz w:val="24"/>
          <w:szCs w:val="24"/>
        </w:rPr>
        <w:t xml:space="preserve"> footage showed the appellant returning money to the principal offender, contrary to</w:t>
      </w:r>
    </w:p>
    <w:p w:rsidR="00436232" w:rsidRPr="00086C49" w:rsidRDefault="00D23789" w:rsidP="00086C49">
      <w:pPr>
        <w:spacing w:after="0" w:line="240" w:lineRule="auto"/>
        <w:ind w:left="1170"/>
        <w:jc w:val="both"/>
        <w:rPr>
          <w:rFonts w:ascii="Times New Roman" w:hAnsi="Times New Roman" w:cs="Times New Roman"/>
          <w:sz w:val="24"/>
          <w:szCs w:val="24"/>
        </w:rPr>
      </w:pPr>
      <w:r w:rsidRPr="00086C49">
        <w:rPr>
          <w:rFonts w:ascii="Times New Roman" w:hAnsi="Times New Roman" w:cs="Times New Roman"/>
          <w:sz w:val="24"/>
          <w:szCs w:val="24"/>
        </w:rPr>
        <w:t xml:space="preserve"> evidence on </w:t>
      </w:r>
      <w:r w:rsidR="0090349E">
        <w:rPr>
          <w:rFonts w:ascii="Times New Roman" w:hAnsi="Times New Roman" w:cs="Times New Roman"/>
          <w:sz w:val="24"/>
          <w:szCs w:val="24"/>
        </w:rPr>
        <w:t>record</w:t>
      </w:r>
      <w:r w:rsidRPr="00086C49">
        <w:rPr>
          <w:rFonts w:ascii="Times New Roman" w:hAnsi="Times New Roman" w:cs="Times New Roman"/>
          <w:sz w:val="24"/>
          <w:szCs w:val="24"/>
        </w:rPr>
        <w:t xml:space="preserve">.                    </w:t>
      </w:r>
    </w:p>
    <w:p w:rsidR="00436232" w:rsidRPr="00086C49" w:rsidRDefault="00D23789" w:rsidP="008A57A2">
      <w:pPr>
        <w:tabs>
          <w:tab w:val="left" w:pos="720"/>
        </w:tabs>
        <w:spacing w:after="0" w:line="240" w:lineRule="auto"/>
        <w:ind w:left="720" w:hanging="180"/>
        <w:jc w:val="both"/>
        <w:rPr>
          <w:rFonts w:ascii="Times New Roman" w:hAnsi="Times New Roman" w:cs="Times New Roman"/>
          <w:sz w:val="24"/>
          <w:szCs w:val="24"/>
        </w:rPr>
      </w:pPr>
      <w:r w:rsidRPr="00086C49">
        <w:rPr>
          <w:rFonts w:ascii="Times New Roman" w:hAnsi="Times New Roman" w:cs="Times New Roman"/>
          <w:sz w:val="24"/>
          <w:szCs w:val="24"/>
        </w:rPr>
        <w:t xml:space="preserve">     </w:t>
      </w:r>
      <w:r w:rsidR="000D4C92" w:rsidRPr="00086C49">
        <w:rPr>
          <w:rFonts w:ascii="Times New Roman" w:hAnsi="Times New Roman" w:cs="Times New Roman"/>
          <w:sz w:val="24"/>
          <w:szCs w:val="24"/>
        </w:rPr>
        <w:t xml:space="preserve">4. </w:t>
      </w:r>
      <w:r w:rsidR="009D74B6" w:rsidRPr="00086C49">
        <w:rPr>
          <w:rFonts w:ascii="Times New Roman" w:hAnsi="Times New Roman" w:cs="Times New Roman"/>
          <w:sz w:val="24"/>
          <w:szCs w:val="24"/>
        </w:rPr>
        <w:t xml:space="preserve"> </w:t>
      </w:r>
      <w:r w:rsidR="00436232" w:rsidRPr="00086C49">
        <w:rPr>
          <w:rFonts w:ascii="Times New Roman" w:hAnsi="Times New Roman" w:cs="Times New Roman"/>
          <w:sz w:val="24"/>
          <w:szCs w:val="24"/>
        </w:rPr>
        <w:t xml:space="preserve">The court </w:t>
      </w:r>
      <w:r w:rsidR="00436232" w:rsidRPr="00086C49">
        <w:rPr>
          <w:rFonts w:ascii="Times New Roman" w:hAnsi="Times New Roman" w:cs="Times New Roman"/>
          <w:i/>
          <w:sz w:val="24"/>
          <w:szCs w:val="24"/>
        </w:rPr>
        <w:t>a quo</w:t>
      </w:r>
      <w:r w:rsidR="00436232" w:rsidRPr="00086C49">
        <w:rPr>
          <w:rFonts w:ascii="Times New Roman" w:hAnsi="Times New Roman" w:cs="Times New Roman"/>
          <w:sz w:val="24"/>
          <w:szCs w:val="24"/>
        </w:rPr>
        <w:t xml:space="preserve"> erred at law in concluding the </w:t>
      </w:r>
      <w:r w:rsidRPr="00086C49">
        <w:rPr>
          <w:rFonts w:ascii="Times New Roman" w:hAnsi="Times New Roman" w:cs="Times New Roman"/>
          <w:sz w:val="24"/>
          <w:szCs w:val="24"/>
        </w:rPr>
        <w:t xml:space="preserve">appellant’s      </w:t>
      </w:r>
    </w:p>
    <w:p w:rsidR="00D23789" w:rsidRPr="00086C49" w:rsidRDefault="00D23789" w:rsidP="00086C49">
      <w:pPr>
        <w:tabs>
          <w:tab w:val="left" w:pos="1080"/>
        </w:tabs>
        <w:spacing w:after="0" w:line="240" w:lineRule="auto"/>
        <w:jc w:val="both"/>
        <w:rPr>
          <w:rFonts w:ascii="Times New Roman" w:hAnsi="Times New Roman" w:cs="Times New Roman"/>
          <w:sz w:val="24"/>
          <w:szCs w:val="24"/>
        </w:rPr>
      </w:pPr>
      <w:r w:rsidRPr="00086C49">
        <w:rPr>
          <w:rFonts w:ascii="Times New Roman" w:hAnsi="Times New Roman" w:cs="Times New Roman"/>
          <w:sz w:val="24"/>
          <w:szCs w:val="24"/>
        </w:rPr>
        <w:tab/>
      </w:r>
      <w:r w:rsidR="0090349E">
        <w:rPr>
          <w:rFonts w:ascii="Times New Roman" w:hAnsi="Times New Roman" w:cs="Times New Roman"/>
          <w:sz w:val="24"/>
          <w:szCs w:val="24"/>
        </w:rPr>
        <w:t xml:space="preserve"> guilt</w:t>
      </w:r>
      <w:r w:rsidRPr="00086C49">
        <w:rPr>
          <w:rFonts w:ascii="Times New Roman" w:hAnsi="Times New Roman" w:cs="Times New Roman"/>
          <w:sz w:val="24"/>
          <w:szCs w:val="24"/>
        </w:rPr>
        <w:t xml:space="preserve"> based on the preliminary findings of an </w:t>
      </w:r>
    </w:p>
    <w:p w:rsidR="00D23789" w:rsidRPr="00086C49" w:rsidRDefault="00D23789" w:rsidP="00086C49">
      <w:pPr>
        <w:tabs>
          <w:tab w:val="left" w:pos="1080"/>
        </w:tabs>
        <w:spacing w:after="0" w:line="240" w:lineRule="auto"/>
        <w:jc w:val="both"/>
        <w:rPr>
          <w:rFonts w:ascii="Times New Roman" w:hAnsi="Times New Roman" w:cs="Times New Roman"/>
          <w:sz w:val="24"/>
          <w:szCs w:val="24"/>
        </w:rPr>
      </w:pPr>
      <w:r w:rsidRPr="00086C49">
        <w:rPr>
          <w:rFonts w:ascii="Times New Roman" w:hAnsi="Times New Roman" w:cs="Times New Roman"/>
          <w:sz w:val="24"/>
          <w:szCs w:val="24"/>
        </w:rPr>
        <w:tab/>
        <w:t xml:space="preserve"> investigation report.”</w:t>
      </w:r>
    </w:p>
    <w:p w:rsidR="000D4C92" w:rsidRPr="00086C49" w:rsidRDefault="000D4C92" w:rsidP="00086C49">
      <w:pPr>
        <w:spacing w:after="0" w:line="480" w:lineRule="auto"/>
        <w:jc w:val="both"/>
        <w:rPr>
          <w:rFonts w:ascii="Times New Roman" w:hAnsi="Times New Roman" w:cs="Times New Roman"/>
          <w:sz w:val="24"/>
          <w:szCs w:val="24"/>
        </w:rPr>
      </w:pPr>
    </w:p>
    <w:p w:rsidR="00051D11" w:rsidRPr="00086C49" w:rsidRDefault="00051D11" w:rsidP="00086C49">
      <w:pPr>
        <w:spacing w:after="0" w:line="240" w:lineRule="auto"/>
        <w:jc w:val="both"/>
        <w:rPr>
          <w:rFonts w:ascii="Times New Roman" w:hAnsi="Times New Roman" w:cs="Times New Roman"/>
          <w:sz w:val="24"/>
          <w:szCs w:val="24"/>
        </w:rPr>
      </w:pPr>
    </w:p>
    <w:p w:rsidR="00AD5536" w:rsidRPr="00086C49" w:rsidRDefault="00AD5536" w:rsidP="00086C49">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t>I wi</w:t>
      </w:r>
      <w:r w:rsidR="00EF1B73" w:rsidRPr="00086C49">
        <w:rPr>
          <w:rFonts w:ascii="Times New Roman" w:hAnsi="Times New Roman" w:cs="Times New Roman"/>
          <w:sz w:val="24"/>
          <w:szCs w:val="24"/>
        </w:rPr>
        <w:t>ll</w:t>
      </w:r>
      <w:r w:rsidRPr="00086C49">
        <w:rPr>
          <w:rFonts w:ascii="Times New Roman" w:hAnsi="Times New Roman" w:cs="Times New Roman"/>
          <w:sz w:val="24"/>
          <w:szCs w:val="24"/>
        </w:rPr>
        <w:t xml:space="preserve"> to deal with the grounds of appeal </w:t>
      </w:r>
      <w:r w:rsidR="00561234" w:rsidRPr="00086C49">
        <w:rPr>
          <w:rFonts w:ascii="Times New Roman" w:hAnsi="Times New Roman" w:cs="Times New Roman"/>
          <w:i/>
          <w:sz w:val="24"/>
          <w:szCs w:val="24"/>
        </w:rPr>
        <w:t>seriati</w:t>
      </w:r>
      <w:r w:rsidRPr="00086C49">
        <w:rPr>
          <w:rFonts w:ascii="Times New Roman" w:hAnsi="Times New Roman" w:cs="Times New Roman"/>
          <w:i/>
          <w:sz w:val="24"/>
          <w:szCs w:val="24"/>
        </w:rPr>
        <w:t>m</w:t>
      </w:r>
      <w:r w:rsidRPr="00086C49">
        <w:rPr>
          <w:rFonts w:ascii="Times New Roman" w:hAnsi="Times New Roman" w:cs="Times New Roman"/>
          <w:sz w:val="24"/>
          <w:szCs w:val="24"/>
        </w:rPr>
        <w:t>.</w:t>
      </w:r>
    </w:p>
    <w:p w:rsidR="009D74B6" w:rsidRPr="00086C49" w:rsidRDefault="009D74B6" w:rsidP="00086C49">
      <w:pPr>
        <w:spacing w:after="0" w:line="480" w:lineRule="auto"/>
        <w:jc w:val="both"/>
        <w:rPr>
          <w:rFonts w:ascii="Times New Roman" w:hAnsi="Times New Roman" w:cs="Times New Roman"/>
          <w:sz w:val="24"/>
          <w:szCs w:val="24"/>
        </w:rPr>
      </w:pPr>
    </w:p>
    <w:p w:rsidR="00AD5536" w:rsidRPr="008A57A2" w:rsidRDefault="009D74B6" w:rsidP="00086C49">
      <w:pPr>
        <w:spacing w:after="0" w:line="480" w:lineRule="auto"/>
        <w:jc w:val="both"/>
        <w:rPr>
          <w:rFonts w:ascii="Times New Roman" w:hAnsi="Times New Roman" w:cs="Times New Roman"/>
          <w:b/>
          <w:sz w:val="24"/>
          <w:szCs w:val="24"/>
          <w:u w:val="single"/>
        </w:rPr>
      </w:pPr>
      <w:r w:rsidRPr="008A57A2">
        <w:rPr>
          <w:rFonts w:ascii="Times New Roman" w:hAnsi="Times New Roman" w:cs="Times New Roman"/>
          <w:b/>
          <w:sz w:val="24"/>
          <w:szCs w:val="24"/>
          <w:u w:val="single"/>
        </w:rPr>
        <w:t>THE FIRST GROUND OF APPEAL</w:t>
      </w:r>
    </w:p>
    <w:p w:rsidR="009D74B6" w:rsidRPr="00086C49" w:rsidRDefault="00AD5536" w:rsidP="008A57A2">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t xml:space="preserve">Counsel for the respondent </w:t>
      </w:r>
      <w:r w:rsidR="00327E20" w:rsidRPr="00086C49">
        <w:rPr>
          <w:rFonts w:ascii="Times New Roman" w:hAnsi="Times New Roman" w:cs="Times New Roman"/>
          <w:sz w:val="24"/>
          <w:szCs w:val="24"/>
        </w:rPr>
        <w:t>attack</w:t>
      </w:r>
      <w:r w:rsidR="00B02931" w:rsidRPr="00086C49">
        <w:rPr>
          <w:rFonts w:ascii="Times New Roman" w:hAnsi="Times New Roman" w:cs="Times New Roman"/>
          <w:sz w:val="24"/>
          <w:szCs w:val="24"/>
        </w:rPr>
        <w:t>ed</w:t>
      </w:r>
      <w:r w:rsidRPr="00086C49">
        <w:rPr>
          <w:rFonts w:ascii="Times New Roman" w:hAnsi="Times New Roman" w:cs="Times New Roman"/>
          <w:sz w:val="24"/>
          <w:szCs w:val="24"/>
        </w:rPr>
        <w:t xml:space="preserve"> the first </w:t>
      </w:r>
      <w:r w:rsidR="00B02931" w:rsidRPr="00086C49">
        <w:rPr>
          <w:rFonts w:ascii="Times New Roman" w:hAnsi="Times New Roman" w:cs="Times New Roman"/>
          <w:sz w:val="24"/>
          <w:szCs w:val="24"/>
        </w:rPr>
        <w:t>ground</w:t>
      </w:r>
      <w:r w:rsidR="003D559C" w:rsidRPr="00086C49">
        <w:rPr>
          <w:rFonts w:ascii="Times New Roman" w:hAnsi="Times New Roman" w:cs="Times New Roman"/>
          <w:sz w:val="24"/>
          <w:szCs w:val="24"/>
        </w:rPr>
        <w:t xml:space="preserve"> </w:t>
      </w:r>
      <w:r w:rsidR="00C26975" w:rsidRPr="00086C49">
        <w:rPr>
          <w:rFonts w:ascii="Times New Roman" w:hAnsi="Times New Roman" w:cs="Times New Roman"/>
          <w:sz w:val="24"/>
          <w:szCs w:val="24"/>
        </w:rPr>
        <w:t xml:space="preserve"> </w:t>
      </w:r>
      <w:r w:rsidRPr="00086C49">
        <w:rPr>
          <w:rFonts w:ascii="Times New Roman" w:hAnsi="Times New Roman" w:cs="Times New Roman"/>
          <w:sz w:val="24"/>
          <w:szCs w:val="24"/>
        </w:rPr>
        <w:t xml:space="preserve"> of appeal on the </w:t>
      </w:r>
      <w:r w:rsidR="00EF1B73" w:rsidRPr="00086C49">
        <w:rPr>
          <w:rFonts w:ascii="Times New Roman" w:hAnsi="Times New Roman" w:cs="Times New Roman"/>
          <w:sz w:val="24"/>
          <w:szCs w:val="24"/>
        </w:rPr>
        <w:t>basis</w:t>
      </w:r>
      <w:r w:rsidRPr="00086C49">
        <w:rPr>
          <w:rFonts w:ascii="Times New Roman" w:hAnsi="Times New Roman" w:cs="Times New Roman"/>
          <w:sz w:val="24"/>
          <w:szCs w:val="24"/>
        </w:rPr>
        <w:t xml:space="preserve"> of ambiguity and lack of specificity. It was argued by Mr </w:t>
      </w:r>
      <w:r w:rsidRPr="00086C49">
        <w:rPr>
          <w:rFonts w:ascii="Times New Roman" w:hAnsi="Times New Roman" w:cs="Times New Roman"/>
          <w:i/>
          <w:sz w:val="24"/>
          <w:szCs w:val="24"/>
        </w:rPr>
        <w:t>Magwaliba</w:t>
      </w:r>
      <w:r w:rsidRPr="00086C49">
        <w:rPr>
          <w:rFonts w:ascii="Times New Roman" w:hAnsi="Times New Roman" w:cs="Times New Roman"/>
          <w:sz w:val="24"/>
          <w:szCs w:val="24"/>
        </w:rPr>
        <w:t xml:space="preserve"> to our satisfaction that the ground</w:t>
      </w:r>
      <w:r w:rsidR="00C26975" w:rsidRPr="00086C49">
        <w:rPr>
          <w:rFonts w:ascii="Times New Roman" w:hAnsi="Times New Roman" w:cs="Times New Roman"/>
          <w:sz w:val="24"/>
          <w:szCs w:val="24"/>
        </w:rPr>
        <w:t xml:space="preserve"> as framed </w:t>
      </w:r>
      <w:r w:rsidR="00327E20" w:rsidRPr="00086C49">
        <w:rPr>
          <w:rFonts w:ascii="Times New Roman" w:hAnsi="Times New Roman" w:cs="Times New Roman"/>
          <w:sz w:val="24"/>
          <w:szCs w:val="24"/>
        </w:rPr>
        <w:t>did not disclose</w:t>
      </w:r>
      <w:r w:rsidR="009269B8" w:rsidRPr="00086C49">
        <w:rPr>
          <w:rFonts w:ascii="Times New Roman" w:hAnsi="Times New Roman" w:cs="Times New Roman"/>
          <w:sz w:val="24"/>
          <w:szCs w:val="24"/>
        </w:rPr>
        <w:t xml:space="preserve"> the specific position of the judgment of the court </w:t>
      </w:r>
      <w:r w:rsidR="009269B8" w:rsidRPr="00086C49">
        <w:rPr>
          <w:rFonts w:ascii="Times New Roman" w:hAnsi="Times New Roman" w:cs="Times New Roman"/>
          <w:i/>
          <w:sz w:val="24"/>
          <w:szCs w:val="24"/>
        </w:rPr>
        <w:t>a quo</w:t>
      </w:r>
      <w:r w:rsidR="009269B8" w:rsidRPr="00086C49">
        <w:rPr>
          <w:rFonts w:ascii="Times New Roman" w:hAnsi="Times New Roman" w:cs="Times New Roman"/>
          <w:sz w:val="24"/>
          <w:szCs w:val="24"/>
        </w:rPr>
        <w:t xml:space="preserve"> which the appellant sought to </w:t>
      </w:r>
      <w:r w:rsidR="00327E20" w:rsidRPr="00086C49">
        <w:rPr>
          <w:rFonts w:ascii="Times New Roman" w:hAnsi="Times New Roman" w:cs="Times New Roman"/>
          <w:sz w:val="24"/>
          <w:szCs w:val="24"/>
        </w:rPr>
        <w:t>be impugned</w:t>
      </w:r>
      <w:r w:rsidR="009269B8" w:rsidRPr="00086C49">
        <w:rPr>
          <w:rFonts w:ascii="Times New Roman" w:hAnsi="Times New Roman" w:cs="Times New Roman"/>
          <w:sz w:val="24"/>
          <w:szCs w:val="24"/>
        </w:rPr>
        <w:t>.</w:t>
      </w:r>
    </w:p>
    <w:p w:rsidR="009269B8" w:rsidRPr="00086C49" w:rsidRDefault="009269B8" w:rsidP="00086C49">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lastRenderedPageBreak/>
        <w:t xml:space="preserve">As correctly argued by the Respondent’s Counsel, it is a settled principle of our law that grounds of appeal must be set </w:t>
      </w:r>
      <w:r w:rsidR="00FE06B7" w:rsidRPr="00086C49">
        <w:rPr>
          <w:rFonts w:ascii="Times New Roman" w:hAnsi="Times New Roman" w:cs="Times New Roman"/>
          <w:sz w:val="24"/>
          <w:szCs w:val="24"/>
        </w:rPr>
        <w:t>out in</w:t>
      </w:r>
      <w:r w:rsidRPr="00086C49">
        <w:rPr>
          <w:rFonts w:ascii="Times New Roman" w:hAnsi="Times New Roman" w:cs="Times New Roman"/>
          <w:sz w:val="24"/>
          <w:szCs w:val="24"/>
        </w:rPr>
        <w:t xml:space="preserve"> clear and specific terms in such a way that</w:t>
      </w:r>
      <w:r w:rsidR="00561234" w:rsidRPr="00086C49">
        <w:rPr>
          <w:rFonts w:ascii="Times New Roman" w:hAnsi="Times New Roman" w:cs="Times New Roman"/>
          <w:sz w:val="24"/>
          <w:szCs w:val="24"/>
        </w:rPr>
        <w:t xml:space="preserve"> </w:t>
      </w:r>
      <w:r w:rsidRPr="00086C49">
        <w:rPr>
          <w:rFonts w:ascii="Times New Roman" w:hAnsi="Times New Roman" w:cs="Times New Roman"/>
          <w:sz w:val="24"/>
          <w:szCs w:val="24"/>
        </w:rPr>
        <w:t xml:space="preserve">the parties understand without difficulty the issues which the court has to </w:t>
      </w:r>
      <w:r w:rsidR="00FE06B7" w:rsidRPr="00086C49">
        <w:rPr>
          <w:rFonts w:ascii="Times New Roman" w:hAnsi="Times New Roman" w:cs="Times New Roman"/>
          <w:sz w:val="24"/>
          <w:szCs w:val="24"/>
        </w:rPr>
        <w:t>decide upon</w:t>
      </w:r>
      <w:r w:rsidR="00EF1B73" w:rsidRPr="00086C49">
        <w:rPr>
          <w:rFonts w:ascii="Times New Roman" w:hAnsi="Times New Roman" w:cs="Times New Roman"/>
          <w:sz w:val="24"/>
          <w:szCs w:val="24"/>
        </w:rPr>
        <w:t>. R</w:t>
      </w:r>
      <w:r w:rsidRPr="00086C49">
        <w:rPr>
          <w:rFonts w:ascii="Times New Roman" w:hAnsi="Times New Roman" w:cs="Times New Roman"/>
          <w:sz w:val="24"/>
          <w:szCs w:val="24"/>
        </w:rPr>
        <w:t>ule 44 (i)</w:t>
      </w:r>
      <w:r w:rsidR="00FE06B7" w:rsidRPr="00086C49">
        <w:rPr>
          <w:rFonts w:ascii="Times New Roman" w:hAnsi="Times New Roman" w:cs="Times New Roman"/>
          <w:sz w:val="24"/>
          <w:szCs w:val="24"/>
        </w:rPr>
        <w:t xml:space="preserve"> as read with rules 19</w:t>
      </w:r>
      <w:r w:rsidR="00943FBF">
        <w:rPr>
          <w:rFonts w:ascii="Times New Roman" w:hAnsi="Times New Roman" w:cs="Times New Roman"/>
          <w:sz w:val="24"/>
          <w:szCs w:val="24"/>
        </w:rPr>
        <w:t xml:space="preserve"> </w:t>
      </w:r>
      <w:r w:rsidR="00FE06B7" w:rsidRPr="00086C49">
        <w:rPr>
          <w:rFonts w:ascii="Times New Roman" w:hAnsi="Times New Roman" w:cs="Times New Roman"/>
          <w:sz w:val="24"/>
          <w:szCs w:val="24"/>
        </w:rPr>
        <w:t>(i) and 59 of the Supreme Court Rules, 2018</w:t>
      </w:r>
      <w:r w:rsidR="00F02AD5" w:rsidRPr="00086C49">
        <w:rPr>
          <w:rStyle w:val="FootnoteReference"/>
          <w:rFonts w:ascii="Times New Roman" w:hAnsi="Times New Roman" w:cs="Times New Roman"/>
          <w:sz w:val="24"/>
          <w:szCs w:val="24"/>
        </w:rPr>
        <w:footnoteReference w:id="1"/>
      </w:r>
      <w:r w:rsidR="00FE06B7" w:rsidRPr="00086C49">
        <w:rPr>
          <w:rFonts w:ascii="Times New Roman" w:hAnsi="Times New Roman" w:cs="Times New Roman"/>
          <w:sz w:val="24"/>
          <w:szCs w:val="24"/>
        </w:rPr>
        <w:t xml:space="preserve"> lay</w:t>
      </w:r>
      <w:r w:rsidR="00856F8B" w:rsidRPr="00086C49">
        <w:rPr>
          <w:rFonts w:ascii="Times New Roman" w:hAnsi="Times New Roman" w:cs="Times New Roman"/>
          <w:sz w:val="24"/>
          <w:szCs w:val="24"/>
        </w:rPr>
        <w:t>s</w:t>
      </w:r>
      <w:r w:rsidR="00327E20" w:rsidRPr="00086C49">
        <w:rPr>
          <w:rFonts w:ascii="Times New Roman" w:hAnsi="Times New Roman" w:cs="Times New Roman"/>
          <w:sz w:val="24"/>
          <w:szCs w:val="24"/>
        </w:rPr>
        <w:t xml:space="preserve"> down</w:t>
      </w:r>
      <w:r w:rsidR="00FE06B7" w:rsidRPr="00086C49">
        <w:rPr>
          <w:rFonts w:ascii="Times New Roman" w:hAnsi="Times New Roman" w:cs="Times New Roman"/>
          <w:sz w:val="24"/>
          <w:szCs w:val="24"/>
        </w:rPr>
        <w:t xml:space="preserve"> the legal foundation o</w:t>
      </w:r>
      <w:r w:rsidR="00327E20" w:rsidRPr="00086C49">
        <w:rPr>
          <w:rFonts w:ascii="Times New Roman" w:hAnsi="Times New Roman" w:cs="Times New Roman"/>
          <w:sz w:val="24"/>
          <w:szCs w:val="24"/>
        </w:rPr>
        <w:t>f</w:t>
      </w:r>
      <w:r w:rsidR="00FE06B7" w:rsidRPr="00086C49">
        <w:rPr>
          <w:rFonts w:ascii="Times New Roman" w:hAnsi="Times New Roman" w:cs="Times New Roman"/>
          <w:sz w:val="24"/>
          <w:szCs w:val="24"/>
        </w:rPr>
        <w:t xml:space="preserve"> grounds of appeal. A plethora of cases have clarified </w:t>
      </w:r>
      <w:r w:rsidR="00EF1B73" w:rsidRPr="00086C49">
        <w:rPr>
          <w:rFonts w:ascii="Times New Roman" w:hAnsi="Times New Roman" w:cs="Times New Roman"/>
          <w:sz w:val="24"/>
          <w:szCs w:val="24"/>
        </w:rPr>
        <w:t>the</w:t>
      </w:r>
      <w:r w:rsidR="00FE06B7" w:rsidRPr="00086C49">
        <w:rPr>
          <w:rFonts w:ascii="Times New Roman" w:hAnsi="Times New Roman" w:cs="Times New Roman"/>
          <w:sz w:val="24"/>
          <w:szCs w:val="24"/>
        </w:rPr>
        <w:t xml:space="preserve"> law in this regard. See the case of </w:t>
      </w:r>
      <w:r w:rsidR="00FE06B7" w:rsidRPr="00086C49">
        <w:rPr>
          <w:rFonts w:ascii="Times New Roman" w:hAnsi="Times New Roman" w:cs="Times New Roman"/>
          <w:i/>
          <w:sz w:val="24"/>
          <w:szCs w:val="24"/>
        </w:rPr>
        <w:t>Econet Wireless (Pvt) Ltd vs Tracto Mobile (Pty) Ltd &amp; Anor</w:t>
      </w:r>
      <w:r w:rsidR="00F02AD5" w:rsidRPr="00086C49">
        <w:rPr>
          <w:rStyle w:val="FootnoteReference"/>
          <w:rFonts w:ascii="Times New Roman" w:hAnsi="Times New Roman" w:cs="Times New Roman"/>
          <w:i/>
          <w:sz w:val="24"/>
          <w:szCs w:val="24"/>
        </w:rPr>
        <w:footnoteReference w:id="2"/>
      </w:r>
      <w:r w:rsidR="00327E20" w:rsidRPr="00086C49">
        <w:rPr>
          <w:rFonts w:ascii="Times New Roman" w:hAnsi="Times New Roman" w:cs="Times New Roman"/>
          <w:i/>
          <w:sz w:val="24"/>
          <w:szCs w:val="24"/>
        </w:rPr>
        <w:t>; Dr Nobert Kunonga v The Church of the Province of Central Africa</w:t>
      </w:r>
      <w:r w:rsidR="00327E20" w:rsidRPr="00086C49">
        <w:rPr>
          <w:rStyle w:val="FootnoteReference"/>
          <w:rFonts w:ascii="Times New Roman" w:hAnsi="Times New Roman" w:cs="Times New Roman"/>
          <w:i/>
          <w:sz w:val="24"/>
          <w:szCs w:val="24"/>
        </w:rPr>
        <w:footnoteReference w:id="3"/>
      </w:r>
      <w:r w:rsidR="00FE06B7" w:rsidRPr="00086C49">
        <w:rPr>
          <w:rFonts w:ascii="Times New Roman" w:hAnsi="Times New Roman" w:cs="Times New Roman"/>
          <w:sz w:val="24"/>
          <w:szCs w:val="24"/>
        </w:rPr>
        <w:t xml:space="preserve"> and a host of </w:t>
      </w:r>
      <w:r w:rsidR="00EF1B73" w:rsidRPr="00086C49">
        <w:rPr>
          <w:rFonts w:ascii="Times New Roman" w:hAnsi="Times New Roman" w:cs="Times New Roman"/>
          <w:sz w:val="24"/>
          <w:szCs w:val="24"/>
        </w:rPr>
        <w:t xml:space="preserve">other </w:t>
      </w:r>
      <w:r w:rsidR="00FE06B7" w:rsidRPr="00086C49">
        <w:rPr>
          <w:rFonts w:ascii="Times New Roman" w:hAnsi="Times New Roman" w:cs="Times New Roman"/>
          <w:sz w:val="24"/>
          <w:szCs w:val="24"/>
        </w:rPr>
        <w:t>similarly decided cases cited in the same judgment.</w:t>
      </w:r>
    </w:p>
    <w:p w:rsidR="009D74B6" w:rsidRPr="00086C49" w:rsidRDefault="009D74B6" w:rsidP="00086C49">
      <w:pPr>
        <w:spacing w:after="0" w:line="480" w:lineRule="auto"/>
        <w:ind w:firstLine="1440"/>
        <w:jc w:val="both"/>
        <w:rPr>
          <w:rFonts w:ascii="Times New Roman" w:hAnsi="Times New Roman" w:cs="Times New Roman"/>
          <w:sz w:val="24"/>
          <w:szCs w:val="24"/>
        </w:rPr>
      </w:pPr>
    </w:p>
    <w:p w:rsidR="00FE06B7" w:rsidRPr="00086C49" w:rsidRDefault="00FE06B7" w:rsidP="00086C49">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t xml:space="preserve">The </w:t>
      </w:r>
      <w:r w:rsidR="00EF1B73" w:rsidRPr="00086C49">
        <w:rPr>
          <w:rFonts w:ascii="Times New Roman" w:hAnsi="Times New Roman" w:cs="Times New Roman"/>
          <w:sz w:val="24"/>
          <w:szCs w:val="24"/>
        </w:rPr>
        <w:t>appellant</w:t>
      </w:r>
      <w:r w:rsidRPr="00086C49">
        <w:rPr>
          <w:rFonts w:ascii="Times New Roman" w:hAnsi="Times New Roman" w:cs="Times New Roman"/>
          <w:sz w:val="24"/>
          <w:szCs w:val="24"/>
        </w:rPr>
        <w:t>’s Counsel</w:t>
      </w:r>
      <w:r w:rsidR="00EF1B73" w:rsidRPr="00086C49">
        <w:rPr>
          <w:rFonts w:ascii="Times New Roman" w:hAnsi="Times New Roman" w:cs="Times New Roman"/>
          <w:sz w:val="24"/>
          <w:szCs w:val="24"/>
        </w:rPr>
        <w:t>,</w:t>
      </w:r>
      <w:r w:rsidRPr="00086C49">
        <w:rPr>
          <w:rFonts w:ascii="Times New Roman" w:hAnsi="Times New Roman" w:cs="Times New Roman"/>
          <w:sz w:val="24"/>
          <w:szCs w:val="24"/>
        </w:rPr>
        <w:t xml:space="preserve"> </w:t>
      </w:r>
      <w:r w:rsidR="00EF1B73" w:rsidRPr="00086C49">
        <w:rPr>
          <w:rFonts w:ascii="Times New Roman" w:hAnsi="Times New Roman" w:cs="Times New Roman"/>
          <w:sz w:val="24"/>
          <w:szCs w:val="24"/>
        </w:rPr>
        <w:t xml:space="preserve">Ms </w:t>
      </w:r>
      <w:r w:rsidR="00EF1B73" w:rsidRPr="00086C49">
        <w:rPr>
          <w:rFonts w:ascii="Times New Roman" w:hAnsi="Times New Roman" w:cs="Times New Roman"/>
          <w:i/>
          <w:sz w:val="24"/>
          <w:szCs w:val="24"/>
        </w:rPr>
        <w:t>Mahlang</w:t>
      </w:r>
      <w:r w:rsidR="00051D11" w:rsidRPr="00086C49">
        <w:rPr>
          <w:rFonts w:ascii="Times New Roman" w:hAnsi="Times New Roman" w:cs="Times New Roman"/>
          <w:i/>
          <w:sz w:val="24"/>
          <w:szCs w:val="24"/>
        </w:rPr>
        <w:t>u</w:t>
      </w:r>
      <w:r w:rsidR="00EF1B73" w:rsidRPr="00086C49">
        <w:rPr>
          <w:rFonts w:ascii="Times New Roman" w:hAnsi="Times New Roman" w:cs="Times New Roman"/>
          <w:i/>
          <w:sz w:val="24"/>
          <w:szCs w:val="24"/>
        </w:rPr>
        <w:t xml:space="preserve"> </w:t>
      </w:r>
      <w:r w:rsidRPr="00086C49">
        <w:rPr>
          <w:rFonts w:ascii="Times New Roman" w:hAnsi="Times New Roman" w:cs="Times New Roman"/>
          <w:sz w:val="24"/>
          <w:szCs w:val="24"/>
        </w:rPr>
        <w:t xml:space="preserve">was not able to counter the arguments advanced by Mr </w:t>
      </w:r>
      <w:r w:rsidRPr="00086C49">
        <w:rPr>
          <w:rFonts w:ascii="Times New Roman" w:hAnsi="Times New Roman" w:cs="Times New Roman"/>
          <w:i/>
          <w:sz w:val="24"/>
          <w:szCs w:val="24"/>
        </w:rPr>
        <w:t>Magwaliba</w:t>
      </w:r>
      <w:r w:rsidRPr="00086C49">
        <w:rPr>
          <w:rFonts w:ascii="Times New Roman" w:hAnsi="Times New Roman" w:cs="Times New Roman"/>
          <w:sz w:val="24"/>
          <w:szCs w:val="24"/>
        </w:rPr>
        <w:t xml:space="preserve"> in respect of the apparent defects in the first ground of appeal</w:t>
      </w:r>
      <w:r w:rsidR="00EF1B73" w:rsidRPr="00086C49">
        <w:rPr>
          <w:rFonts w:ascii="Times New Roman" w:hAnsi="Times New Roman" w:cs="Times New Roman"/>
          <w:sz w:val="24"/>
          <w:szCs w:val="24"/>
        </w:rPr>
        <w:t>. H</w:t>
      </w:r>
      <w:r w:rsidRPr="00086C49">
        <w:rPr>
          <w:rFonts w:ascii="Times New Roman" w:hAnsi="Times New Roman" w:cs="Times New Roman"/>
          <w:sz w:val="24"/>
          <w:szCs w:val="24"/>
        </w:rPr>
        <w:t xml:space="preserve">er concession </w:t>
      </w:r>
      <w:r w:rsidR="00EF1B73" w:rsidRPr="00086C49">
        <w:rPr>
          <w:rFonts w:ascii="Times New Roman" w:hAnsi="Times New Roman" w:cs="Times New Roman"/>
          <w:sz w:val="24"/>
          <w:szCs w:val="24"/>
        </w:rPr>
        <w:t xml:space="preserve">that the </w:t>
      </w:r>
      <w:r w:rsidR="004C5F7B" w:rsidRPr="00086C49">
        <w:rPr>
          <w:rFonts w:ascii="Times New Roman" w:hAnsi="Times New Roman" w:cs="Times New Roman"/>
          <w:sz w:val="24"/>
          <w:szCs w:val="24"/>
        </w:rPr>
        <w:t>ground of appeal was not well taken</w:t>
      </w:r>
      <w:r w:rsidRPr="00086C49">
        <w:rPr>
          <w:rFonts w:ascii="Times New Roman" w:hAnsi="Times New Roman" w:cs="Times New Roman"/>
          <w:sz w:val="24"/>
          <w:szCs w:val="24"/>
        </w:rPr>
        <w:t xml:space="preserve"> in our view was well made.</w:t>
      </w:r>
    </w:p>
    <w:p w:rsidR="00C71B63" w:rsidRPr="00086C49" w:rsidRDefault="00C71B63" w:rsidP="00086C49">
      <w:pPr>
        <w:spacing w:after="0" w:line="480" w:lineRule="auto"/>
        <w:ind w:firstLine="1440"/>
        <w:jc w:val="both"/>
        <w:rPr>
          <w:rFonts w:ascii="Times New Roman" w:hAnsi="Times New Roman" w:cs="Times New Roman"/>
          <w:sz w:val="24"/>
          <w:szCs w:val="24"/>
        </w:rPr>
      </w:pPr>
    </w:p>
    <w:p w:rsidR="00FE06B7" w:rsidRPr="00086C49" w:rsidRDefault="009D74B6" w:rsidP="00086C49">
      <w:pPr>
        <w:spacing w:after="0" w:line="480" w:lineRule="auto"/>
        <w:jc w:val="both"/>
        <w:rPr>
          <w:rFonts w:ascii="Times New Roman" w:hAnsi="Times New Roman" w:cs="Times New Roman"/>
          <w:b/>
          <w:sz w:val="24"/>
          <w:szCs w:val="24"/>
          <w:u w:val="single"/>
        </w:rPr>
      </w:pPr>
      <w:r w:rsidRPr="00086C49">
        <w:rPr>
          <w:rFonts w:ascii="Times New Roman" w:hAnsi="Times New Roman" w:cs="Times New Roman"/>
          <w:b/>
          <w:sz w:val="24"/>
          <w:szCs w:val="24"/>
          <w:u w:val="single"/>
        </w:rPr>
        <w:t>THE SECOND GROUND OF APPEAL</w:t>
      </w:r>
    </w:p>
    <w:p w:rsidR="002A5443" w:rsidRPr="00086C49" w:rsidRDefault="00FE06B7" w:rsidP="00086C49">
      <w:pPr>
        <w:spacing w:after="0" w:line="480" w:lineRule="auto"/>
        <w:ind w:firstLine="1350"/>
        <w:jc w:val="both"/>
        <w:rPr>
          <w:rFonts w:ascii="Times New Roman" w:hAnsi="Times New Roman" w:cs="Times New Roman"/>
          <w:sz w:val="24"/>
          <w:szCs w:val="24"/>
        </w:rPr>
      </w:pPr>
      <w:r w:rsidRPr="00086C49">
        <w:rPr>
          <w:rFonts w:ascii="Times New Roman" w:hAnsi="Times New Roman" w:cs="Times New Roman"/>
          <w:sz w:val="24"/>
          <w:szCs w:val="24"/>
        </w:rPr>
        <w:t xml:space="preserve">Basically, this ground of appeal alleged that the court </w:t>
      </w:r>
      <w:r w:rsidRPr="00086C49">
        <w:rPr>
          <w:rFonts w:ascii="Times New Roman" w:hAnsi="Times New Roman" w:cs="Times New Roman"/>
          <w:i/>
          <w:sz w:val="24"/>
          <w:szCs w:val="24"/>
        </w:rPr>
        <w:t>a quo</w:t>
      </w:r>
      <w:r w:rsidRPr="00086C49">
        <w:rPr>
          <w:rFonts w:ascii="Times New Roman" w:hAnsi="Times New Roman" w:cs="Times New Roman"/>
          <w:sz w:val="24"/>
          <w:szCs w:val="24"/>
        </w:rPr>
        <w:t xml:space="preserve"> misdirected itself in concluding that teller</w:t>
      </w:r>
      <w:r w:rsidR="007B179A" w:rsidRPr="00086C49">
        <w:rPr>
          <w:rFonts w:ascii="Times New Roman" w:hAnsi="Times New Roman" w:cs="Times New Roman"/>
          <w:sz w:val="24"/>
          <w:szCs w:val="24"/>
        </w:rPr>
        <w:t>s</w:t>
      </w:r>
      <w:r w:rsidRPr="00086C49">
        <w:rPr>
          <w:rFonts w:ascii="Times New Roman" w:hAnsi="Times New Roman" w:cs="Times New Roman"/>
          <w:sz w:val="24"/>
          <w:szCs w:val="24"/>
        </w:rPr>
        <w:t xml:space="preserve"> were not allowed to take cash into their cubicles. A reading of the court </w:t>
      </w:r>
      <w:r w:rsidRPr="00086C49">
        <w:rPr>
          <w:rFonts w:ascii="Times New Roman" w:hAnsi="Times New Roman" w:cs="Times New Roman"/>
          <w:i/>
          <w:sz w:val="24"/>
          <w:szCs w:val="24"/>
        </w:rPr>
        <w:t>a quo’s</w:t>
      </w:r>
      <w:r w:rsidRPr="00086C49">
        <w:rPr>
          <w:rFonts w:ascii="Times New Roman" w:hAnsi="Times New Roman" w:cs="Times New Roman"/>
          <w:sz w:val="24"/>
          <w:szCs w:val="24"/>
        </w:rPr>
        <w:t xml:space="preserve"> judgment clearly shows that the court made a specific factual finding that tellers were</w:t>
      </w:r>
      <w:r w:rsidR="002A5443" w:rsidRPr="00086C49">
        <w:rPr>
          <w:rFonts w:ascii="Times New Roman" w:hAnsi="Times New Roman" w:cs="Times New Roman"/>
          <w:sz w:val="24"/>
          <w:szCs w:val="24"/>
        </w:rPr>
        <w:t xml:space="preserve"> </w:t>
      </w:r>
      <w:r w:rsidRPr="00086C49">
        <w:rPr>
          <w:rFonts w:ascii="Times New Roman" w:hAnsi="Times New Roman" w:cs="Times New Roman"/>
          <w:sz w:val="24"/>
          <w:szCs w:val="24"/>
        </w:rPr>
        <w:t>not allowed to take t</w:t>
      </w:r>
      <w:r w:rsidR="002A5443" w:rsidRPr="00086C49">
        <w:rPr>
          <w:rFonts w:ascii="Times New Roman" w:hAnsi="Times New Roman" w:cs="Times New Roman"/>
          <w:sz w:val="24"/>
          <w:szCs w:val="24"/>
        </w:rPr>
        <w:t xml:space="preserve">heir own cash into the cubicles. Based on this factual finding, the court </w:t>
      </w:r>
      <w:r w:rsidR="002A5443" w:rsidRPr="00086C49">
        <w:rPr>
          <w:rFonts w:ascii="Times New Roman" w:hAnsi="Times New Roman" w:cs="Times New Roman"/>
          <w:i/>
          <w:sz w:val="24"/>
          <w:szCs w:val="24"/>
        </w:rPr>
        <w:t>a quo</w:t>
      </w:r>
      <w:r w:rsidR="002A5443" w:rsidRPr="00086C49">
        <w:rPr>
          <w:rFonts w:ascii="Times New Roman" w:hAnsi="Times New Roman" w:cs="Times New Roman"/>
          <w:sz w:val="24"/>
          <w:szCs w:val="24"/>
        </w:rPr>
        <w:t xml:space="preserve"> then inferred connivance between the appellant and the principal offender in exchanging the US$40</w:t>
      </w:r>
      <w:r w:rsidR="007B179A" w:rsidRPr="00086C49">
        <w:rPr>
          <w:rFonts w:ascii="Times New Roman" w:hAnsi="Times New Roman" w:cs="Times New Roman"/>
          <w:sz w:val="24"/>
          <w:szCs w:val="24"/>
        </w:rPr>
        <w:t>.00</w:t>
      </w:r>
      <w:r w:rsidR="002A5443" w:rsidRPr="00086C49">
        <w:rPr>
          <w:rFonts w:ascii="Times New Roman" w:hAnsi="Times New Roman" w:cs="Times New Roman"/>
          <w:sz w:val="24"/>
          <w:szCs w:val="24"/>
        </w:rPr>
        <w:t>, the amount by which the principal offender failed to balance her money on the day in question.</w:t>
      </w:r>
    </w:p>
    <w:p w:rsidR="002A5443" w:rsidRPr="00086C49" w:rsidRDefault="002A5443" w:rsidP="00086C49">
      <w:pPr>
        <w:spacing w:after="0" w:line="480" w:lineRule="auto"/>
        <w:jc w:val="both"/>
        <w:rPr>
          <w:rFonts w:ascii="Times New Roman" w:hAnsi="Times New Roman" w:cs="Times New Roman"/>
          <w:sz w:val="24"/>
          <w:szCs w:val="24"/>
        </w:rPr>
      </w:pPr>
    </w:p>
    <w:p w:rsidR="00311730" w:rsidRPr="00086C49" w:rsidRDefault="002A5443" w:rsidP="00086C49">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lastRenderedPageBreak/>
        <w:t xml:space="preserve">The </w:t>
      </w:r>
      <w:r w:rsidR="00051D11" w:rsidRPr="00086C49">
        <w:rPr>
          <w:rFonts w:ascii="Times New Roman" w:hAnsi="Times New Roman" w:cs="Times New Roman"/>
          <w:sz w:val="24"/>
          <w:szCs w:val="24"/>
        </w:rPr>
        <w:t>a</w:t>
      </w:r>
      <w:r w:rsidR="007B179A" w:rsidRPr="00086C49">
        <w:rPr>
          <w:rFonts w:ascii="Times New Roman" w:hAnsi="Times New Roman" w:cs="Times New Roman"/>
          <w:sz w:val="24"/>
          <w:szCs w:val="24"/>
        </w:rPr>
        <w:t xml:space="preserve">ppellant’s Counsel </w:t>
      </w:r>
      <w:r w:rsidRPr="00086C49">
        <w:rPr>
          <w:rFonts w:ascii="Times New Roman" w:hAnsi="Times New Roman" w:cs="Times New Roman"/>
          <w:sz w:val="24"/>
          <w:szCs w:val="24"/>
        </w:rPr>
        <w:t xml:space="preserve">argued that the correct position which accords well with the evidence adduced in this case in fact </w:t>
      </w:r>
      <w:r w:rsidR="00C71B63" w:rsidRPr="00086C49">
        <w:rPr>
          <w:rFonts w:ascii="Times New Roman" w:hAnsi="Times New Roman" w:cs="Times New Roman"/>
          <w:sz w:val="24"/>
          <w:szCs w:val="24"/>
        </w:rPr>
        <w:t xml:space="preserve">points to </w:t>
      </w:r>
      <w:r w:rsidRPr="00086C49">
        <w:rPr>
          <w:rFonts w:ascii="Times New Roman" w:hAnsi="Times New Roman" w:cs="Times New Roman"/>
          <w:sz w:val="24"/>
          <w:szCs w:val="24"/>
        </w:rPr>
        <w:t xml:space="preserve">the opposite of the factual findings of the court </w:t>
      </w:r>
      <w:r w:rsidRPr="00086C49">
        <w:rPr>
          <w:rFonts w:ascii="Times New Roman" w:hAnsi="Times New Roman" w:cs="Times New Roman"/>
          <w:i/>
          <w:sz w:val="24"/>
          <w:szCs w:val="24"/>
        </w:rPr>
        <w:t>a</w:t>
      </w:r>
      <w:r w:rsidR="00311730" w:rsidRPr="00086C49">
        <w:rPr>
          <w:rFonts w:ascii="Times New Roman" w:hAnsi="Times New Roman" w:cs="Times New Roman"/>
          <w:i/>
          <w:sz w:val="24"/>
          <w:szCs w:val="24"/>
        </w:rPr>
        <w:t xml:space="preserve"> </w:t>
      </w:r>
      <w:r w:rsidRPr="00086C49">
        <w:rPr>
          <w:rFonts w:ascii="Times New Roman" w:hAnsi="Times New Roman" w:cs="Times New Roman"/>
          <w:i/>
          <w:sz w:val="24"/>
          <w:szCs w:val="24"/>
        </w:rPr>
        <w:t>quo</w:t>
      </w:r>
      <w:r w:rsidRPr="00086C49">
        <w:rPr>
          <w:rFonts w:ascii="Times New Roman" w:hAnsi="Times New Roman" w:cs="Times New Roman"/>
          <w:sz w:val="24"/>
          <w:szCs w:val="24"/>
        </w:rPr>
        <w:t xml:space="preserve"> </w:t>
      </w:r>
      <w:r w:rsidR="00311730" w:rsidRPr="00086C49">
        <w:rPr>
          <w:rFonts w:ascii="Times New Roman" w:hAnsi="Times New Roman" w:cs="Times New Roman"/>
          <w:sz w:val="24"/>
          <w:szCs w:val="24"/>
        </w:rPr>
        <w:t xml:space="preserve">on this issue. </w:t>
      </w:r>
      <w:r w:rsidR="004C5F7B" w:rsidRPr="00086C49">
        <w:rPr>
          <w:rFonts w:ascii="Times New Roman" w:hAnsi="Times New Roman" w:cs="Times New Roman"/>
          <w:sz w:val="24"/>
          <w:szCs w:val="24"/>
        </w:rPr>
        <w:t>W</w:t>
      </w:r>
      <w:r w:rsidR="00311730" w:rsidRPr="00086C49">
        <w:rPr>
          <w:rFonts w:ascii="Times New Roman" w:hAnsi="Times New Roman" w:cs="Times New Roman"/>
          <w:sz w:val="24"/>
          <w:szCs w:val="24"/>
        </w:rPr>
        <w:t xml:space="preserve">hilst conceding that the court </w:t>
      </w:r>
      <w:r w:rsidR="00311730" w:rsidRPr="00086C49">
        <w:rPr>
          <w:rFonts w:ascii="Times New Roman" w:hAnsi="Times New Roman" w:cs="Times New Roman"/>
          <w:i/>
          <w:sz w:val="24"/>
          <w:szCs w:val="24"/>
        </w:rPr>
        <w:t>a quo</w:t>
      </w:r>
      <w:r w:rsidR="00311730" w:rsidRPr="00086C49">
        <w:rPr>
          <w:rFonts w:ascii="Times New Roman" w:hAnsi="Times New Roman" w:cs="Times New Roman"/>
          <w:sz w:val="24"/>
          <w:szCs w:val="24"/>
        </w:rPr>
        <w:t xml:space="preserve"> had made an error in its findings on this point</w:t>
      </w:r>
      <w:r w:rsidR="004C5F7B" w:rsidRPr="00086C49">
        <w:rPr>
          <w:rFonts w:ascii="Times New Roman" w:hAnsi="Times New Roman" w:cs="Times New Roman"/>
          <w:sz w:val="24"/>
          <w:szCs w:val="24"/>
        </w:rPr>
        <w:t>, the respondents</w:t>
      </w:r>
      <w:r w:rsidR="00311730" w:rsidRPr="00086C49">
        <w:rPr>
          <w:rFonts w:ascii="Times New Roman" w:hAnsi="Times New Roman" w:cs="Times New Roman"/>
          <w:sz w:val="24"/>
          <w:szCs w:val="24"/>
        </w:rPr>
        <w:t xml:space="preserve"> nevertheless argued that the error was inconsequential as the general conduct </w:t>
      </w:r>
      <w:r w:rsidR="006B47C1" w:rsidRPr="00086C49">
        <w:rPr>
          <w:rFonts w:ascii="Times New Roman" w:hAnsi="Times New Roman" w:cs="Times New Roman"/>
          <w:sz w:val="24"/>
          <w:szCs w:val="24"/>
        </w:rPr>
        <w:t>of the</w:t>
      </w:r>
      <w:r w:rsidR="00311730" w:rsidRPr="00086C49">
        <w:rPr>
          <w:rFonts w:ascii="Times New Roman" w:hAnsi="Times New Roman" w:cs="Times New Roman"/>
          <w:sz w:val="24"/>
          <w:szCs w:val="24"/>
        </w:rPr>
        <w:t xml:space="preserve"> appellant </w:t>
      </w:r>
      <w:r w:rsidR="004C5F7B" w:rsidRPr="00086C49">
        <w:rPr>
          <w:rFonts w:ascii="Times New Roman" w:hAnsi="Times New Roman" w:cs="Times New Roman"/>
          <w:sz w:val="24"/>
          <w:szCs w:val="24"/>
        </w:rPr>
        <w:t>was</w:t>
      </w:r>
      <w:r w:rsidR="00311730" w:rsidRPr="00086C49">
        <w:rPr>
          <w:rFonts w:ascii="Times New Roman" w:hAnsi="Times New Roman" w:cs="Times New Roman"/>
          <w:sz w:val="24"/>
          <w:szCs w:val="24"/>
        </w:rPr>
        <w:t xml:space="preserve"> </w:t>
      </w:r>
      <w:r w:rsidR="006B47C1" w:rsidRPr="00086C49">
        <w:rPr>
          <w:rFonts w:ascii="Times New Roman" w:hAnsi="Times New Roman" w:cs="Times New Roman"/>
          <w:sz w:val="24"/>
          <w:szCs w:val="24"/>
        </w:rPr>
        <w:t>suspicious and</w:t>
      </w:r>
      <w:r w:rsidR="00311730" w:rsidRPr="00086C49">
        <w:rPr>
          <w:rFonts w:ascii="Times New Roman" w:hAnsi="Times New Roman" w:cs="Times New Roman"/>
          <w:sz w:val="24"/>
          <w:szCs w:val="24"/>
        </w:rPr>
        <w:t xml:space="preserve"> therefore</w:t>
      </w:r>
      <w:r w:rsidR="006B47C1" w:rsidRPr="00086C49">
        <w:rPr>
          <w:rFonts w:ascii="Times New Roman" w:hAnsi="Times New Roman" w:cs="Times New Roman"/>
          <w:sz w:val="24"/>
          <w:szCs w:val="24"/>
        </w:rPr>
        <w:t xml:space="preserve"> </w:t>
      </w:r>
      <w:r w:rsidR="004C5F7B" w:rsidRPr="00086C49">
        <w:rPr>
          <w:rFonts w:ascii="Times New Roman" w:hAnsi="Times New Roman" w:cs="Times New Roman"/>
          <w:sz w:val="24"/>
          <w:szCs w:val="24"/>
        </w:rPr>
        <w:t xml:space="preserve">the appellant </w:t>
      </w:r>
      <w:r w:rsidR="006B47C1" w:rsidRPr="00086C49">
        <w:rPr>
          <w:rFonts w:ascii="Times New Roman" w:hAnsi="Times New Roman" w:cs="Times New Roman"/>
          <w:sz w:val="24"/>
          <w:szCs w:val="24"/>
        </w:rPr>
        <w:t>remained guilty.</w:t>
      </w:r>
    </w:p>
    <w:p w:rsidR="009D74B6" w:rsidRPr="00086C49" w:rsidRDefault="009D74B6" w:rsidP="00086C49">
      <w:pPr>
        <w:spacing w:after="0" w:line="480" w:lineRule="auto"/>
        <w:ind w:firstLine="1440"/>
        <w:jc w:val="both"/>
        <w:rPr>
          <w:rFonts w:ascii="Times New Roman" w:hAnsi="Times New Roman" w:cs="Times New Roman"/>
          <w:sz w:val="24"/>
          <w:szCs w:val="24"/>
        </w:rPr>
      </w:pPr>
    </w:p>
    <w:p w:rsidR="006B47C1" w:rsidRPr="00086C49" w:rsidRDefault="006B47C1" w:rsidP="00086C49">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t>In advancing this point</w:t>
      </w:r>
      <w:r w:rsidR="004C5F7B" w:rsidRPr="00086C49">
        <w:rPr>
          <w:rFonts w:ascii="Times New Roman" w:hAnsi="Times New Roman" w:cs="Times New Roman"/>
          <w:sz w:val="24"/>
          <w:szCs w:val="24"/>
        </w:rPr>
        <w:t>,</w:t>
      </w:r>
      <w:r w:rsidRPr="00086C49">
        <w:rPr>
          <w:rFonts w:ascii="Times New Roman" w:hAnsi="Times New Roman" w:cs="Times New Roman"/>
          <w:sz w:val="24"/>
          <w:szCs w:val="24"/>
        </w:rPr>
        <w:t xml:space="preserve"> </w:t>
      </w:r>
      <w:r w:rsidR="00051D11" w:rsidRPr="00086C49">
        <w:rPr>
          <w:rFonts w:ascii="Times New Roman" w:hAnsi="Times New Roman" w:cs="Times New Roman"/>
          <w:sz w:val="24"/>
          <w:szCs w:val="24"/>
        </w:rPr>
        <w:t>r</w:t>
      </w:r>
      <w:r w:rsidR="007B179A" w:rsidRPr="00086C49">
        <w:rPr>
          <w:rFonts w:ascii="Times New Roman" w:hAnsi="Times New Roman" w:cs="Times New Roman"/>
          <w:sz w:val="24"/>
          <w:szCs w:val="24"/>
        </w:rPr>
        <w:t>espond</w:t>
      </w:r>
      <w:r w:rsidRPr="00086C49">
        <w:rPr>
          <w:rFonts w:ascii="Times New Roman" w:hAnsi="Times New Roman" w:cs="Times New Roman"/>
          <w:sz w:val="24"/>
          <w:szCs w:val="24"/>
        </w:rPr>
        <w:t>en</w:t>
      </w:r>
      <w:r w:rsidR="00051D11" w:rsidRPr="00086C49">
        <w:rPr>
          <w:rFonts w:ascii="Times New Roman" w:hAnsi="Times New Roman" w:cs="Times New Roman"/>
          <w:sz w:val="24"/>
          <w:szCs w:val="24"/>
        </w:rPr>
        <w:t>t’s c</w:t>
      </w:r>
      <w:r w:rsidRPr="00086C49">
        <w:rPr>
          <w:rFonts w:ascii="Times New Roman" w:hAnsi="Times New Roman" w:cs="Times New Roman"/>
          <w:sz w:val="24"/>
          <w:szCs w:val="24"/>
        </w:rPr>
        <w:t xml:space="preserve">ounsel argued that despite the appellant having seen the principal offender taking some money and handing it over </w:t>
      </w:r>
      <w:r w:rsidR="007540D1" w:rsidRPr="00086C49">
        <w:rPr>
          <w:rFonts w:ascii="Times New Roman" w:hAnsi="Times New Roman" w:cs="Times New Roman"/>
          <w:sz w:val="24"/>
          <w:szCs w:val="24"/>
        </w:rPr>
        <w:t>to him</w:t>
      </w:r>
      <w:r w:rsidRPr="00086C49">
        <w:rPr>
          <w:rFonts w:ascii="Times New Roman" w:hAnsi="Times New Roman" w:cs="Times New Roman"/>
          <w:sz w:val="24"/>
          <w:szCs w:val="24"/>
        </w:rPr>
        <w:t xml:space="preserve">, </w:t>
      </w:r>
      <w:r w:rsidR="004C5F7B" w:rsidRPr="00086C49">
        <w:rPr>
          <w:rFonts w:ascii="Times New Roman" w:hAnsi="Times New Roman" w:cs="Times New Roman"/>
          <w:sz w:val="24"/>
          <w:szCs w:val="24"/>
        </w:rPr>
        <w:t>he</w:t>
      </w:r>
      <w:r w:rsidRPr="00086C49">
        <w:rPr>
          <w:rFonts w:ascii="Times New Roman" w:hAnsi="Times New Roman" w:cs="Times New Roman"/>
          <w:sz w:val="24"/>
          <w:szCs w:val="24"/>
        </w:rPr>
        <w:t xml:space="preserve"> neither reported this incident nor explained why he was given this money. Counsel further argued that the mer</w:t>
      </w:r>
      <w:r w:rsidR="00C71B63" w:rsidRPr="00086C49">
        <w:rPr>
          <w:rFonts w:ascii="Times New Roman" w:hAnsi="Times New Roman" w:cs="Times New Roman"/>
          <w:sz w:val="24"/>
          <w:szCs w:val="24"/>
        </w:rPr>
        <w:t>e exchange of the money placed a</w:t>
      </w:r>
      <w:r w:rsidRPr="00086C49">
        <w:rPr>
          <w:rFonts w:ascii="Times New Roman" w:hAnsi="Times New Roman" w:cs="Times New Roman"/>
          <w:sz w:val="24"/>
          <w:szCs w:val="24"/>
        </w:rPr>
        <w:t xml:space="preserve">n onus on </w:t>
      </w:r>
      <w:r w:rsidR="00C71B63" w:rsidRPr="00086C49">
        <w:rPr>
          <w:rFonts w:ascii="Times New Roman" w:hAnsi="Times New Roman" w:cs="Times New Roman"/>
          <w:sz w:val="24"/>
          <w:szCs w:val="24"/>
        </w:rPr>
        <w:t>the appellant to “speak up</w:t>
      </w:r>
      <w:r w:rsidRPr="00086C49">
        <w:rPr>
          <w:rFonts w:ascii="Times New Roman" w:hAnsi="Times New Roman" w:cs="Times New Roman"/>
          <w:sz w:val="24"/>
          <w:szCs w:val="24"/>
        </w:rPr>
        <w:t>” to his senior about this money.</w:t>
      </w:r>
    </w:p>
    <w:p w:rsidR="009D74B6" w:rsidRPr="00086C49" w:rsidRDefault="009D74B6" w:rsidP="00086C49">
      <w:pPr>
        <w:spacing w:after="0" w:line="480" w:lineRule="auto"/>
        <w:ind w:firstLine="1440"/>
        <w:jc w:val="both"/>
        <w:rPr>
          <w:rFonts w:ascii="Times New Roman" w:hAnsi="Times New Roman" w:cs="Times New Roman"/>
          <w:sz w:val="24"/>
          <w:szCs w:val="24"/>
        </w:rPr>
      </w:pPr>
    </w:p>
    <w:p w:rsidR="009D74B6" w:rsidRPr="00086C49" w:rsidRDefault="006B47C1" w:rsidP="00086C49">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t>It would seem that this g</w:t>
      </w:r>
      <w:r w:rsidR="0090349E">
        <w:rPr>
          <w:rFonts w:ascii="Times New Roman" w:hAnsi="Times New Roman" w:cs="Times New Roman"/>
          <w:sz w:val="24"/>
          <w:szCs w:val="24"/>
        </w:rPr>
        <w:t>round of appeal is the principal</w:t>
      </w:r>
      <w:r w:rsidRPr="00086C49">
        <w:rPr>
          <w:rFonts w:ascii="Times New Roman" w:hAnsi="Times New Roman" w:cs="Times New Roman"/>
          <w:sz w:val="24"/>
          <w:szCs w:val="24"/>
        </w:rPr>
        <w:t xml:space="preserve"> and decisive one in this matter. I propose to deal with it in greater detail later in this judgment.</w:t>
      </w:r>
    </w:p>
    <w:p w:rsidR="00561234" w:rsidRPr="00086C49" w:rsidRDefault="00561234" w:rsidP="00086C49">
      <w:pPr>
        <w:spacing w:after="0" w:line="480" w:lineRule="auto"/>
        <w:jc w:val="both"/>
        <w:rPr>
          <w:rFonts w:ascii="Times New Roman" w:hAnsi="Times New Roman" w:cs="Times New Roman"/>
          <w:sz w:val="24"/>
          <w:szCs w:val="24"/>
        </w:rPr>
      </w:pPr>
    </w:p>
    <w:p w:rsidR="006B47C1" w:rsidRPr="00086C49" w:rsidRDefault="009D74B6" w:rsidP="00086C49">
      <w:pPr>
        <w:spacing w:after="0" w:line="480" w:lineRule="auto"/>
        <w:jc w:val="both"/>
        <w:rPr>
          <w:rFonts w:ascii="Times New Roman" w:hAnsi="Times New Roman" w:cs="Times New Roman"/>
          <w:b/>
          <w:sz w:val="24"/>
          <w:szCs w:val="24"/>
          <w:u w:val="single"/>
        </w:rPr>
      </w:pPr>
      <w:r w:rsidRPr="00086C49">
        <w:rPr>
          <w:rFonts w:ascii="Times New Roman" w:hAnsi="Times New Roman" w:cs="Times New Roman"/>
          <w:b/>
          <w:sz w:val="24"/>
          <w:szCs w:val="24"/>
          <w:u w:val="single"/>
        </w:rPr>
        <w:t>THE THIRD GROUND OF APPEAL</w:t>
      </w:r>
    </w:p>
    <w:p w:rsidR="006B47C1" w:rsidRPr="00086C49" w:rsidRDefault="00C71B63" w:rsidP="00086C49">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t>A perusal of the record of proceedings suggests that</w:t>
      </w:r>
      <w:r w:rsidR="006B47C1" w:rsidRPr="00086C49">
        <w:rPr>
          <w:rFonts w:ascii="Times New Roman" w:hAnsi="Times New Roman" w:cs="Times New Roman"/>
          <w:sz w:val="24"/>
          <w:szCs w:val="24"/>
        </w:rPr>
        <w:t xml:space="preserve"> this ground of appeal was framed </w:t>
      </w:r>
      <w:r w:rsidRPr="00086C49">
        <w:rPr>
          <w:rFonts w:ascii="Times New Roman" w:hAnsi="Times New Roman" w:cs="Times New Roman"/>
          <w:sz w:val="24"/>
          <w:szCs w:val="24"/>
        </w:rPr>
        <w:t>based on</w:t>
      </w:r>
      <w:r w:rsidR="006B47C1" w:rsidRPr="00086C49">
        <w:rPr>
          <w:rFonts w:ascii="Times New Roman" w:hAnsi="Times New Roman" w:cs="Times New Roman"/>
          <w:sz w:val="24"/>
          <w:szCs w:val="24"/>
        </w:rPr>
        <w:t xml:space="preserve"> the video footage which failed to capture the principal offender receiving money from the appellant.</w:t>
      </w:r>
    </w:p>
    <w:p w:rsidR="00627E1C" w:rsidRPr="00086C49" w:rsidRDefault="00627E1C" w:rsidP="00086C49">
      <w:pPr>
        <w:spacing w:after="0" w:line="480" w:lineRule="auto"/>
        <w:ind w:firstLine="1440"/>
        <w:jc w:val="both"/>
        <w:rPr>
          <w:rFonts w:ascii="Times New Roman" w:hAnsi="Times New Roman" w:cs="Times New Roman"/>
          <w:sz w:val="24"/>
          <w:szCs w:val="24"/>
        </w:rPr>
      </w:pPr>
    </w:p>
    <w:p w:rsidR="006B47C1" w:rsidRPr="00086C49" w:rsidRDefault="00B92397" w:rsidP="00086C49">
      <w:pPr>
        <w:spacing w:after="0" w:line="480" w:lineRule="auto"/>
        <w:ind w:firstLine="1350"/>
        <w:jc w:val="both"/>
        <w:rPr>
          <w:rFonts w:ascii="Times New Roman" w:hAnsi="Times New Roman" w:cs="Times New Roman"/>
          <w:sz w:val="24"/>
          <w:szCs w:val="24"/>
        </w:rPr>
      </w:pPr>
      <w:r w:rsidRPr="00086C49">
        <w:rPr>
          <w:rFonts w:ascii="Times New Roman" w:hAnsi="Times New Roman" w:cs="Times New Roman"/>
          <w:sz w:val="24"/>
          <w:szCs w:val="24"/>
        </w:rPr>
        <w:t>In our</w:t>
      </w:r>
      <w:r w:rsidR="006B47C1" w:rsidRPr="00086C49">
        <w:rPr>
          <w:rFonts w:ascii="Times New Roman" w:hAnsi="Times New Roman" w:cs="Times New Roman"/>
          <w:sz w:val="24"/>
          <w:szCs w:val="24"/>
        </w:rPr>
        <w:t xml:space="preserve"> view, nothing </w:t>
      </w:r>
      <w:r w:rsidR="004C5F7B" w:rsidRPr="00086C49">
        <w:rPr>
          <w:rFonts w:ascii="Times New Roman" w:hAnsi="Times New Roman" w:cs="Times New Roman"/>
          <w:sz w:val="24"/>
          <w:szCs w:val="24"/>
        </w:rPr>
        <w:t xml:space="preserve">much </w:t>
      </w:r>
      <w:r w:rsidR="006B47C1" w:rsidRPr="00086C49">
        <w:rPr>
          <w:rFonts w:ascii="Times New Roman" w:hAnsi="Times New Roman" w:cs="Times New Roman"/>
          <w:sz w:val="24"/>
          <w:szCs w:val="24"/>
        </w:rPr>
        <w:t xml:space="preserve">turns on this ground of appeal because in his recorded explanation </w:t>
      </w:r>
      <w:r w:rsidR="008570BD" w:rsidRPr="00086C49">
        <w:rPr>
          <w:rFonts w:ascii="Times New Roman" w:hAnsi="Times New Roman" w:cs="Times New Roman"/>
          <w:sz w:val="24"/>
          <w:szCs w:val="24"/>
        </w:rPr>
        <w:t>the appellant admitte</w:t>
      </w:r>
      <w:r w:rsidR="0090349E">
        <w:rPr>
          <w:rFonts w:ascii="Times New Roman" w:hAnsi="Times New Roman" w:cs="Times New Roman"/>
          <w:sz w:val="24"/>
          <w:szCs w:val="24"/>
        </w:rPr>
        <w:t>d to have handed back the US$4</w:t>
      </w:r>
      <w:r w:rsidR="007B179A" w:rsidRPr="00086C49">
        <w:rPr>
          <w:rFonts w:ascii="Times New Roman" w:hAnsi="Times New Roman" w:cs="Times New Roman"/>
          <w:sz w:val="24"/>
          <w:szCs w:val="24"/>
        </w:rPr>
        <w:t>0.</w:t>
      </w:r>
      <w:r w:rsidR="008570BD" w:rsidRPr="00086C49">
        <w:rPr>
          <w:rFonts w:ascii="Times New Roman" w:hAnsi="Times New Roman" w:cs="Times New Roman"/>
          <w:sz w:val="24"/>
          <w:szCs w:val="24"/>
        </w:rPr>
        <w:t xml:space="preserve">00 to the principal offender.  The returning of the money is therefore not in issue at all and this ground is consistent with the </w:t>
      </w:r>
      <w:r w:rsidR="008570BD" w:rsidRPr="00086C49">
        <w:rPr>
          <w:rFonts w:ascii="Times New Roman" w:hAnsi="Times New Roman" w:cs="Times New Roman"/>
          <w:sz w:val="24"/>
          <w:szCs w:val="24"/>
        </w:rPr>
        <w:lastRenderedPageBreak/>
        <w:t xml:space="preserve">findings of the court </w:t>
      </w:r>
      <w:r w:rsidR="008570BD" w:rsidRPr="00086C49">
        <w:rPr>
          <w:rFonts w:ascii="Times New Roman" w:hAnsi="Times New Roman" w:cs="Times New Roman"/>
          <w:i/>
          <w:sz w:val="24"/>
          <w:szCs w:val="24"/>
        </w:rPr>
        <w:t>a quo</w:t>
      </w:r>
      <w:r w:rsidR="008570BD" w:rsidRPr="00086C49">
        <w:rPr>
          <w:rFonts w:ascii="Times New Roman" w:hAnsi="Times New Roman" w:cs="Times New Roman"/>
          <w:sz w:val="24"/>
          <w:szCs w:val="24"/>
        </w:rPr>
        <w:t xml:space="preserve">. The point is that this ground of appeal does not carry the appeal </w:t>
      </w:r>
      <w:r w:rsidR="00C71B63" w:rsidRPr="00086C49">
        <w:rPr>
          <w:rFonts w:ascii="Times New Roman" w:hAnsi="Times New Roman" w:cs="Times New Roman"/>
          <w:sz w:val="24"/>
          <w:szCs w:val="24"/>
        </w:rPr>
        <w:t>any further</w:t>
      </w:r>
      <w:r w:rsidR="008570BD" w:rsidRPr="00086C49">
        <w:rPr>
          <w:rFonts w:ascii="Times New Roman" w:hAnsi="Times New Roman" w:cs="Times New Roman"/>
          <w:sz w:val="24"/>
          <w:szCs w:val="24"/>
        </w:rPr>
        <w:t>, it is inconsequential.</w:t>
      </w:r>
    </w:p>
    <w:p w:rsidR="00627E1C" w:rsidRPr="00086C49" w:rsidRDefault="00627E1C" w:rsidP="00086C49">
      <w:pPr>
        <w:spacing w:after="0" w:line="480" w:lineRule="auto"/>
        <w:jc w:val="both"/>
        <w:rPr>
          <w:rFonts w:ascii="Times New Roman" w:hAnsi="Times New Roman" w:cs="Times New Roman"/>
          <w:sz w:val="24"/>
          <w:szCs w:val="24"/>
        </w:rPr>
      </w:pPr>
    </w:p>
    <w:p w:rsidR="008570BD" w:rsidRPr="00086C49" w:rsidRDefault="00627E1C" w:rsidP="00086C49">
      <w:pPr>
        <w:spacing w:after="0" w:line="480" w:lineRule="auto"/>
        <w:jc w:val="both"/>
        <w:rPr>
          <w:rFonts w:ascii="Times New Roman" w:hAnsi="Times New Roman" w:cs="Times New Roman"/>
          <w:b/>
          <w:sz w:val="24"/>
          <w:szCs w:val="24"/>
          <w:u w:val="single"/>
        </w:rPr>
      </w:pPr>
      <w:r w:rsidRPr="00086C49">
        <w:rPr>
          <w:rFonts w:ascii="Times New Roman" w:hAnsi="Times New Roman" w:cs="Times New Roman"/>
          <w:b/>
          <w:sz w:val="24"/>
          <w:szCs w:val="24"/>
          <w:u w:val="single"/>
        </w:rPr>
        <w:t>THE FOURTH GROUND OF APPEAL</w:t>
      </w:r>
    </w:p>
    <w:p w:rsidR="008570BD" w:rsidRPr="00086C49" w:rsidRDefault="008570BD" w:rsidP="00086C49">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t xml:space="preserve">The criticism raised in this </w:t>
      </w:r>
      <w:r w:rsidR="00FE79D1" w:rsidRPr="00086C49">
        <w:rPr>
          <w:rFonts w:ascii="Times New Roman" w:hAnsi="Times New Roman" w:cs="Times New Roman"/>
          <w:sz w:val="24"/>
          <w:szCs w:val="24"/>
        </w:rPr>
        <w:t>ground</w:t>
      </w:r>
      <w:r w:rsidRPr="00086C49">
        <w:rPr>
          <w:rFonts w:ascii="Times New Roman" w:hAnsi="Times New Roman" w:cs="Times New Roman"/>
          <w:sz w:val="24"/>
          <w:szCs w:val="24"/>
        </w:rPr>
        <w:t xml:space="preserve"> </w:t>
      </w:r>
      <w:r w:rsidR="00C71B63" w:rsidRPr="00086C49">
        <w:rPr>
          <w:rFonts w:ascii="Times New Roman" w:hAnsi="Times New Roman" w:cs="Times New Roman"/>
          <w:sz w:val="24"/>
          <w:szCs w:val="24"/>
        </w:rPr>
        <w:t xml:space="preserve">of appeal </w:t>
      </w:r>
      <w:r w:rsidRPr="00086C49">
        <w:rPr>
          <w:rFonts w:ascii="Times New Roman" w:hAnsi="Times New Roman" w:cs="Times New Roman"/>
          <w:sz w:val="24"/>
          <w:szCs w:val="24"/>
        </w:rPr>
        <w:t xml:space="preserve">by the </w:t>
      </w:r>
      <w:r w:rsidR="007B179A" w:rsidRPr="00086C49">
        <w:rPr>
          <w:rFonts w:ascii="Times New Roman" w:hAnsi="Times New Roman" w:cs="Times New Roman"/>
          <w:sz w:val="24"/>
          <w:szCs w:val="24"/>
        </w:rPr>
        <w:t>A</w:t>
      </w:r>
      <w:r w:rsidRPr="00086C49">
        <w:rPr>
          <w:rFonts w:ascii="Times New Roman" w:hAnsi="Times New Roman" w:cs="Times New Roman"/>
          <w:sz w:val="24"/>
          <w:szCs w:val="24"/>
        </w:rPr>
        <w:t xml:space="preserve">ppellant’s Counsel is that the court </w:t>
      </w:r>
      <w:r w:rsidRPr="00086C49">
        <w:rPr>
          <w:rFonts w:ascii="Times New Roman" w:hAnsi="Times New Roman" w:cs="Times New Roman"/>
          <w:i/>
          <w:sz w:val="24"/>
          <w:szCs w:val="24"/>
        </w:rPr>
        <w:t>a quo</w:t>
      </w:r>
      <w:r w:rsidRPr="00086C49">
        <w:rPr>
          <w:rFonts w:ascii="Times New Roman" w:hAnsi="Times New Roman" w:cs="Times New Roman"/>
          <w:sz w:val="24"/>
          <w:szCs w:val="24"/>
        </w:rPr>
        <w:t xml:space="preserve"> erred in </w:t>
      </w:r>
      <w:r w:rsidR="004C5F7B" w:rsidRPr="00086C49">
        <w:rPr>
          <w:rFonts w:ascii="Times New Roman" w:hAnsi="Times New Roman" w:cs="Times New Roman"/>
          <w:sz w:val="24"/>
          <w:szCs w:val="24"/>
        </w:rPr>
        <w:t>grounding</w:t>
      </w:r>
      <w:r w:rsidR="0090349E">
        <w:rPr>
          <w:rFonts w:ascii="Times New Roman" w:hAnsi="Times New Roman" w:cs="Times New Roman"/>
          <w:sz w:val="24"/>
          <w:szCs w:val="24"/>
        </w:rPr>
        <w:t xml:space="preserve"> the guilt</w:t>
      </w:r>
      <w:r w:rsidRPr="00086C49">
        <w:rPr>
          <w:rFonts w:ascii="Times New Roman" w:hAnsi="Times New Roman" w:cs="Times New Roman"/>
          <w:sz w:val="24"/>
          <w:szCs w:val="24"/>
        </w:rPr>
        <w:t xml:space="preserve"> of the appellant on the basis of “an investigation report” instead of holistically looking at the evidence which included the written report made by the appellant.</w:t>
      </w:r>
    </w:p>
    <w:p w:rsidR="00627E1C" w:rsidRPr="00086C49" w:rsidRDefault="00627E1C" w:rsidP="00086C49">
      <w:pPr>
        <w:spacing w:after="0" w:line="480" w:lineRule="auto"/>
        <w:ind w:firstLine="1440"/>
        <w:jc w:val="both"/>
        <w:rPr>
          <w:rFonts w:ascii="Times New Roman" w:hAnsi="Times New Roman" w:cs="Times New Roman"/>
          <w:sz w:val="24"/>
          <w:szCs w:val="24"/>
        </w:rPr>
      </w:pPr>
    </w:p>
    <w:p w:rsidR="008570BD" w:rsidRDefault="008570BD" w:rsidP="00086C49">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t xml:space="preserve">The </w:t>
      </w:r>
      <w:r w:rsidR="00051D11" w:rsidRPr="00086C49">
        <w:rPr>
          <w:rFonts w:ascii="Times New Roman" w:hAnsi="Times New Roman" w:cs="Times New Roman"/>
          <w:sz w:val="24"/>
          <w:szCs w:val="24"/>
        </w:rPr>
        <w:t>r</w:t>
      </w:r>
      <w:r w:rsidR="007540D1" w:rsidRPr="00086C49">
        <w:rPr>
          <w:rFonts w:ascii="Times New Roman" w:hAnsi="Times New Roman" w:cs="Times New Roman"/>
          <w:sz w:val="24"/>
          <w:szCs w:val="24"/>
        </w:rPr>
        <w:t>espondent’s</w:t>
      </w:r>
      <w:r w:rsidR="00051D11" w:rsidRPr="00086C49">
        <w:rPr>
          <w:rFonts w:ascii="Times New Roman" w:hAnsi="Times New Roman" w:cs="Times New Roman"/>
          <w:sz w:val="24"/>
          <w:szCs w:val="24"/>
        </w:rPr>
        <w:t xml:space="preserve"> c</w:t>
      </w:r>
      <w:r w:rsidRPr="00086C49">
        <w:rPr>
          <w:rFonts w:ascii="Times New Roman" w:hAnsi="Times New Roman" w:cs="Times New Roman"/>
          <w:sz w:val="24"/>
          <w:szCs w:val="24"/>
        </w:rPr>
        <w:t>ounsel took the view that the investigation report</w:t>
      </w:r>
      <w:r w:rsidR="0090349E">
        <w:rPr>
          <w:rFonts w:ascii="Times New Roman" w:hAnsi="Times New Roman" w:cs="Times New Roman"/>
          <w:sz w:val="24"/>
          <w:szCs w:val="24"/>
        </w:rPr>
        <w:t>,</w:t>
      </w:r>
      <w:r w:rsidRPr="00086C49">
        <w:rPr>
          <w:rFonts w:ascii="Times New Roman" w:hAnsi="Times New Roman" w:cs="Times New Roman"/>
          <w:sz w:val="24"/>
          <w:szCs w:val="24"/>
        </w:rPr>
        <w:t xml:space="preserve"> and it alone</w:t>
      </w:r>
      <w:r w:rsidR="00C71B63" w:rsidRPr="00086C49">
        <w:rPr>
          <w:rFonts w:ascii="Times New Roman" w:hAnsi="Times New Roman" w:cs="Times New Roman"/>
          <w:sz w:val="24"/>
          <w:szCs w:val="24"/>
        </w:rPr>
        <w:t>,</w:t>
      </w:r>
      <w:r w:rsidRPr="00086C49">
        <w:rPr>
          <w:rFonts w:ascii="Times New Roman" w:hAnsi="Times New Roman" w:cs="Times New Roman"/>
          <w:sz w:val="24"/>
          <w:szCs w:val="24"/>
        </w:rPr>
        <w:t xml:space="preserve"> </w:t>
      </w:r>
      <w:r w:rsidR="007540D1" w:rsidRPr="00086C49">
        <w:rPr>
          <w:rFonts w:ascii="Times New Roman" w:hAnsi="Times New Roman" w:cs="Times New Roman"/>
          <w:sz w:val="24"/>
          <w:szCs w:val="24"/>
        </w:rPr>
        <w:t>was decisive</w:t>
      </w:r>
      <w:r w:rsidRPr="00086C49">
        <w:rPr>
          <w:rFonts w:ascii="Times New Roman" w:hAnsi="Times New Roman" w:cs="Times New Roman"/>
          <w:sz w:val="24"/>
          <w:szCs w:val="24"/>
        </w:rPr>
        <w:t xml:space="preserve"> because the appellant had not </w:t>
      </w:r>
      <w:r w:rsidR="007540D1" w:rsidRPr="00086C49">
        <w:rPr>
          <w:rFonts w:ascii="Times New Roman" w:hAnsi="Times New Roman" w:cs="Times New Roman"/>
          <w:sz w:val="24"/>
          <w:szCs w:val="24"/>
        </w:rPr>
        <w:t>discre</w:t>
      </w:r>
      <w:r w:rsidR="007B179A" w:rsidRPr="00086C49">
        <w:rPr>
          <w:rFonts w:ascii="Times New Roman" w:hAnsi="Times New Roman" w:cs="Times New Roman"/>
          <w:sz w:val="24"/>
          <w:szCs w:val="24"/>
        </w:rPr>
        <w:t>di</w:t>
      </w:r>
      <w:r w:rsidR="007540D1" w:rsidRPr="00086C49">
        <w:rPr>
          <w:rFonts w:ascii="Times New Roman" w:hAnsi="Times New Roman" w:cs="Times New Roman"/>
          <w:sz w:val="24"/>
          <w:szCs w:val="24"/>
        </w:rPr>
        <w:t>ted</w:t>
      </w:r>
      <w:r w:rsidRPr="00086C49">
        <w:rPr>
          <w:rFonts w:ascii="Times New Roman" w:hAnsi="Times New Roman" w:cs="Times New Roman"/>
          <w:sz w:val="24"/>
          <w:szCs w:val="24"/>
        </w:rPr>
        <w:t xml:space="preserve"> that report. Counsel went on to argue that the appellant had not dissociated himself from that report.</w:t>
      </w:r>
    </w:p>
    <w:p w:rsidR="0090349E" w:rsidRPr="00086C49" w:rsidRDefault="0090349E" w:rsidP="00086C49">
      <w:pPr>
        <w:spacing w:after="0" w:line="480" w:lineRule="auto"/>
        <w:ind w:firstLine="1440"/>
        <w:jc w:val="both"/>
        <w:rPr>
          <w:rFonts w:ascii="Times New Roman" w:hAnsi="Times New Roman" w:cs="Times New Roman"/>
          <w:sz w:val="24"/>
          <w:szCs w:val="24"/>
        </w:rPr>
      </w:pPr>
    </w:p>
    <w:p w:rsidR="008570BD" w:rsidRPr="00086C49" w:rsidRDefault="008570BD" w:rsidP="0090349E">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t xml:space="preserve">A closer look at the court </w:t>
      </w:r>
      <w:r w:rsidRPr="00086C49">
        <w:rPr>
          <w:rFonts w:ascii="Times New Roman" w:hAnsi="Times New Roman" w:cs="Times New Roman"/>
          <w:i/>
          <w:sz w:val="24"/>
          <w:szCs w:val="24"/>
        </w:rPr>
        <w:t>a quo’s</w:t>
      </w:r>
      <w:r w:rsidRPr="00086C49">
        <w:rPr>
          <w:rFonts w:ascii="Times New Roman" w:hAnsi="Times New Roman" w:cs="Times New Roman"/>
          <w:sz w:val="24"/>
          <w:szCs w:val="24"/>
        </w:rPr>
        <w:t xml:space="preserve"> judgment shows that indeed the court </w:t>
      </w:r>
      <w:r w:rsidR="00C71B63" w:rsidRPr="00086C49">
        <w:rPr>
          <w:rFonts w:ascii="Times New Roman" w:hAnsi="Times New Roman" w:cs="Times New Roman"/>
          <w:i/>
          <w:sz w:val="24"/>
          <w:szCs w:val="24"/>
        </w:rPr>
        <w:t>a quo</w:t>
      </w:r>
      <w:r w:rsidR="00C71B63" w:rsidRPr="00086C49">
        <w:rPr>
          <w:rFonts w:ascii="Times New Roman" w:hAnsi="Times New Roman" w:cs="Times New Roman"/>
          <w:sz w:val="24"/>
          <w:szCs w:val="24"/>
        </w:rPr>
        <w:t xml:space="preserve"> </w:t>
      </w:r>
      <w:r w:rsidRPr="00086C49">
        <w:rPr>
          <w:rFonts w:ascii="Times New Roman" w:hAnsi="Times New Roman" w:cs="Times New Roman"/>
          <w:sz w:val="24"/>
          <w:szCs w:val="24"/>
        </w:rPr>
        <w:t>was largely guided and influenced by the report in question despite the indisputable fact that the appellant had provided a written report which was not consistent with the investigation report.</w:t>
      </w:r>
    </w:p>
    <w:p w:rsidR="007B179A" w:rsidRPr="00086C49" w:rsidRDefault="007B179A" w:rsidP="00086C49">
      <w:pPr>
        <w:spacing w:after="0" w:line="480" w:lineRule="auto"/>
        <w:jc w:val="both"/>
        <w:rPr>
          <w:rFonts w:ascii="Times New Roman" w:hAnsi="Times New Roman" w:cs="Times New Roman"/>
          <w:sz w:val="24"/>
          <w:szCs w:val="24"/>
        </w:rPr>
      </w:pPr>
    </w:p>
    <w:p w:rsidR="008570BD" w:rsidRPr="00086C49" w:rsidRDefault="00627E1C" w:rsidP="00086C49">
      <w:pPr>
        <w:spacing w:after="0" w:line="480" w:lineRule="auto"/>
        <w:jc w:val="both"/>
        <w:rPr>
          <w:rFonts w:ascii="Times New Roman" w:hAnsi="Times New Roman" w:cs="Times New Roman"/>
          <w:b/>
          <w:sz w:val="24"/>
          <w:szCs w:val="24"/>
          <w:u w:val="single"/>
        </w:rPr>
      </w:pPr>
      <w:r w:rsidRPr="00086C49">
        <w:rPr>
          <w:rFonts w:ascii="Times New Roman" w:hAnsi="Times New Roman" w:cs="Times New Roman"/>
          <w:b/>
          <w:sz w:val="24"/>
          <w:szCs w:val="24"/>
          <w:u w:val="single"/>
        </w:rPr>
        <w:t>THE LEGAL POSITION AS PERCEIVED</w:t>
      </w:r>
    </w:p>
    <w:p w:rsidR="00627E1C" w:rsidRPr="00086C49" w:rsidRDefault="00C71B63" w:rsidP="00086C49">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t>It is a time-</w:t>
      </w:r>
      <w:r w:rsidR="008570BD" w:rsidRPr="00086C49">
        <w:rPr>
          <w:rFonts w:ascii="Times New Roman" w:hAnsi="Times New Roman" w:cs="Times New Roman"/>
          <w:sz w:val="24"/>
          <w:szCs w:val="24"/>
        </w:rPr>
        <w:t xml:space="preserve">honoured principle of </w:t>
      </w:r>
      <w:r w:rsidRPr="00086C49">
        <w:rPr>
          <w:rFonts w:ascii="Times New Roman" w:hAnsi="Times New Roman" w:cs="Times New Roman"/>
          <w:sz w:val="24"/>
          <w:szCs w:val="24"/>
        </w:rPr>
        <w:t xml:space="preserve">our </w:t>
      </w:r>
      <w:r w:rsidR="008570BD" w:rsidRPr="00086C49">
        <w:rPr>
          <w:rFonts w:ascii="Times New Roman" w:hAnsi="Times New Roman" w:cs="Times New Roman"/>
          <w:sz w:val="24"/>
          <w:szCs w:val="24"/>
        </w:rPr>
        <w:t xml:space="preserve">law which has been </w:t>
      </w:r>
      <w:r w:rsidRPr="00086C49">
        <w:rPr>
          <w:rFonts w:ascii="Times New Roman" w:hAnsi="Times New Roman" w:cs="Times New Roman"/>
          <w:sz w:val="24"/>
          <w:szCs w:val="24"/>
        </w:rPr>
        <w:t>repeated</w:t>
      </w:r>
      <w:r w:rsidR="008570BD" w:rsidRPr="00086C49">
        <w:rPr>
          <w:rFonts w:ascii="Times New Roman" w:hAnsi="Times New Roman" w:cs="Times New Roman"/>
          <w:sz w:val="24"/>
          <w:szCs w:val="24"/>
        </w:rPr>
        <w:t xml:space="preserve"> and </w:t>
      </w:r>
      <w:r w:rsidR="00180A6E" w:rsidRPr="00086C49">
        <w:rPr>
          <w:rFonts w:ascii="Times New Roman" w:hAnsi="Times New Roman" w:cs="Times New Roman"/>
          <w:sz w:val="24"/>
          <w:szCs w:val="24"/>
        </w:rPr>
        <w:t xml:space="preserve">emphasized in a plethora of cases that an </w:t>
      </w:r>
      <w:r w:rsidR="007B179A" w:rsidRPr="00086C49">
        <w:rPr>
          <w:rFonts w:ascii="Times New Roman" w:hAnsi="Times New Roman" w:cs="Times New Roman"/>
          <w:sz w:val="24"/>
          <w:szCs w:val="24"/>
        </w:rPr>
        <w:t xml:space="preserve">Appellate Court </w:t>
      </w:r>
      <w:r w:rsidR="00180A6E" w:rsidRPr="00086C49">
        <w:rPr>
          <w:rFonts w:ascii="Times New Roman" w:hAnsi="Times New Roman" w:cs="Times New Roman"/>
          <w:sz w:val="24"/>
          <w:szCs w:val="24"/>
        </w:rPr>
        <w:t xml:space="preserve">must not derive pleasure in interfering with the exercise of discretion of a lower court unless such exercise was afflicted by a serious misdirection or irrationality. It must be clear that the lower court made a genuine error in its assessment or </w:t>
      </w:r>
      <w:r w:rsidR="00180A6E" w:rsidRPr="00086C49">
        <w:rPr>
          <w:rFonts w:ascii="Times New Roman" w:hAnsi="Times New Roman" w:cs="Times New Roman"/>
          <w:sz w:val="24"/>
          <w:szCs w:val="24"/>
        </w:rPr>
        <w:lastRenderedPageBreak/>
        <w:t xml:space="preserve">appreciation of the evidence upon which its decision is hinged. </w:t>
      </w:r>
      <w:r w:rsidR="00561234" w:rsidRPr="00086C49">
        <w:rPr>
          <w:rFonts w:ascii="Times New Roman" w:hAnsi="Times New Roman" w:cs="Times New Roman"/>
          <w:sz w:val="24"/>
          <w:szCs w:val="24"/>
        </w:rPr>
        <w:t>KOSAH</w:t>
      </w:r>
      <w:r w:rsidR="00180A6E" w:rsidRPr="00086C49">
        <w:rPr>
          <w:rFonts w:ascii="Times New Roman" w:hAnsi="Times New Roman" w:cs="Times New Roman"/>
          <w:sz w:val="24"/>
          <w:szCs w:val="24"/>
        </w:rPr>
        <w:t xml:space="preserve"> JA put it this way in the </w:t>
      </w:r>
      <w:r w:rsidR="00FE79D1" w:rsidRPr="00086C49">
        <w:rPr>
          <w:rFonts w:ascii="Times New Roman" w:hAnsi="Times New Roman" w:cs="Times New Roman"/>
          <w:sz w:val="24"/>
          <w:szCs w:val="24"/>
        </w:rPr>
        <w:t xml:space="preserve">case of </w:t>
      </w:r>
      <w:r w:rsidR="00FE79D1" w:rsidRPr="00086C49">
        <w:rPr>
          <w:rFonts w:ascii="Times New Roman" w:hAnsi="Times New Roman" w:cs="Times New Roman"/>
          <w:i/>
          <w:sz w:val="24"/>
          <w:szCs w:val="24"/>
        </w:rPr>
        <w:t>Hama vs National Railways of Zimbabwe</w:t>
      </w:r>
      <w:r w:rsidR="00F02AD5" w:rsidRPr="00086C49">
        <w:rPr>
          <w:rStyle w:val="FootnoteReference"/>
          <w:rFonts w:ascii="Times New Roman" w:hAnsi="Times New Roman" w:cs="Times New Roman"/>
          <w:i/>
          <w:sz w:val="24"/>
          <w:szCs w:val="24"/>
        </w:rPr>
        <w:footnoteReference w:id="4"/>
      </w:r>
      <w:r w:rsidR="00627E1C" w:rsidRPr="00086C49">
        <w:rPr>
          <w:rFonts w:ascii="Times New Roman" w:hAnsi="Times New Roman" w:cs="Times New Roman"/>
          <w:sz w:val="24"/>
          <w:szCs w:val="24"/>
        </w:rPr>
        <w:t>.</w:t>
      </w:r>
    </w:p>
    <w:p w:rsidR="008570BD" w:rsidRPr="00086C49" w:rsidRDefault="00FE79D1" w:rsidP="00086C49">
      <w:pPr>
        <w:spacing w:after="0" w:line="240" w:lineRule="auto"/>
        <w:ind w:left="1440"/>
        <w:jc w:val="both"/>
        <w:rPr>
          <w:rFonts w:ascii="Times New Roman" w:hAnsi="Times New Roman" w:cs="Times New Roman"/>
          <w:i/>
          <w:sz w:val="24"/>
          <w:szCs w:val="24"/>
        </w:rPr>
      </w:pPr>
      <w:r w:rsidRPr="00086C49">
        <w:rPr>
          <w:rFonts w:ascii="Times New Roman" w:hAnsi="Times New Roman" w:cs="Times New Roman"/>
          <w:sz w:val="24"/>
          <w:szCs w:val="24"/>
        </w:rPr>
        <w:t xml:space="preserve">“The general rule of law, as regards irrationality is that an </w:t>
      </w:r>
      <w:r w:rsidR="007B179A" w:rsidRPr="00086C49">
        <w:rPr>
          <w:rFonts w:ascii="Times New Roman" w:hAnsi="Times New Roman" w:cs="Times New Roman"/>
          <w:sz w:val="24"/>
          <w:szCs w:val="24"/>
        </w:rPr>
        <w:t xml:space="preserve">Appellate Court </w:t>
      </w:r>
      <w:r w:rsidRPr="00086C49">
        <w:rPr>
          <w:rFonts w:ascii="Times New Roman" w:hAnsi="Times New Roman" w:cs="Times New Roman"/>
          <w:sz w:val="24"/>
          <w:szCs w:val="24"/>
        </w:rPr>
        <w:t xml:space="preserve">will not interfere with a decision of a </w:t>
      </w:r>
      <w:r w:rsidR="007B179A" w:rsidRPr="00086C49">
        <w:rPr>
          <w:rFonts w:ascii="Times New Roman" w:hAnsi="Times New Roman" w:cs="Times New Roman"/>
          <w:sz w:val="24"/>
          <w:szCs w:val="24"/>
        </w:rPr>
        <w:t>Trial C</w:t>
      </w:r>
      <w:r w:rsidRPr="00086C49">
        <w:rPr>
          <w:rFonts w:ascii="Times New Roman" w:hAnsi="Times New Roman" w:cs="Times New Roman"/>
          <w:sz w:val="24"/>
          <w:szCs w:val="24"/>
        </w:rPr>
        <w:t xml:space="preserve">ourt based purely on a finding of fact unless it is satisfied that, having regard to the evidence placed before the </w:t>
      </w:r>
      <w:r w:rsidR="007B179A" w:rsidRPr="00086C49">
        <w:rPr>
          <w:rFonts w:ascii="Times New Roman" w:hAnsi="Times New Roman" w:cs="Times New Roman"/>
          <w:sz w:val="24"/>
          <w:szCs w:val="24"/>
        </w:rPr>
        <w:t>Trial Court</w:t>
      </w:r>
      <w:r w:rsidRPr="00086C49">
        <w:rPr>
          <w:rFonts w:ascii="Times New Roman" w:hAnsi="Times New Roman" w:cs="Times New Roman"/>
          <w:sz w:val="24"/>
          <w:szCs w:val="24"/>
        </w:rPr>
        <w:t xml:space="preserve">, the finding complained of is so outrageous in its defiance of logic or of accepted moral standards that no sensible person who had applied his mind to the question to be decided could have arrived at such a conclusion: </w:t>
      </w:r>
      <w:r w:rsidRPr="00086C49">
        <w:rPr>
          <w:rFonts w:ascii="Times New Roman" w:hAnsi="Times New Roman" w:cs="Times New Roman"/>
          <w:i/>
          <w:sz w:val="24"/>
          <w:szCs w:val="24"/>
        </w:rPr>
        <w:t xml:space="preserve">Bitcon vs Rosenberg 1936 </w:t>
      </w:r>
      <w:r w:rsidRPr="00943FBF">
        <w:rPr>
          <w:rFonts w:ascii="Times New Roman" w:hAnsi="Times New Roman" w:cs="Times New Roman"/>
          <w:sz w:val="24"/>
          <w:szCs w:val="24"/>
        </w:rPr>
        <w:t>AD380 at 395 -7;</w:t>
      </w:r>
      <w:r w:rsidRPr="00086C49">
        <w:rPr>
          <w:rFonts w:ascii="Times New Roman" w:hAnsi="Times New Roman" w:cs="Times New Roman"/>
          <w:sz w:val="24"/>
          <w:szCs w:val="24"/>
        </w:rPr>
        <w:t xml:space="preserve"> </w:t>
      </w:r>
      <w:r w:rsidRPr="00086C49">
        <w:rPr>
          <w:rFonts w:ascii="Times New Roman" w:hAnsi="Times New Roman" w:cs="Times New Roman"/>
          <w:i/>
          <w:sz w:val="24"/>
          <w:szCs w:val="24"/>
        </w:rPr>
        <w:t xml:space="preserve">Secretary of State for Education and Science vs Metropolitan Borough of Tamerside </w:t>
      </w:r>
      <w:r w:rsidRPr="00943FBF">
        <w:rPr>
          <w:rFonts w:ascii="Times New Roman" w:hAnsi="Times New Roman" w:cs="Times New Roman"/>
          <w:sz w:val="24"/>
          <w:szCs w:val="24"/>
        </w:rPr>
        <w:t>[1976] 3 ALL ER 665 (CA) at 671E-H;</w:t>
      </w:r>
      <w:r w:rsidRPr="00086C49">
        <w:rPr>
          <w:rFonts w:ascii="Times New Roman" w:hAnsi="Times New Roman" w:cs="Times New Roman"/>
          <w:i/>
          <w:sz w:val="24"/>
          <w:szCs w:val="24"/>
        </w:rPr>
        <w:t xml:space="preserve"> CCSU vs Ministry of the Civil Service </w:t>
      </w:r>
      <w:r w:rsidRPr="00943FBF">
        <w:rPr>
          <w:rFonts w:ascii="Times New Roman" w:hAnsi="Times New Roman" w:cs="Times New Roman"/>
          <w:sz w:val="24"/>
          <w:szCs w:val="24"/>
        </w:rPr>
        <w:t>[1984] 3 ALL ER 935 (HL) at 950h</w:t>
      </w:r>
      <w:r w:rsidRPr="00086C49">
        <w:rPr>
          <w:rFonts w:ascii="Times New Roman" w:hAnsi="Times New Roman" w:cs="Times New Roman"/>
          <w:i/>
          <w:sz w:val="24"/>
          <w:szCs w:val="24"/>
        </w:rPr>
        <w:t>.”</w:t>
      </w:r>
    </w:p>
    <w:p w:rsidR="00627E1C" w:rsidRPr="00086C49" w:rsidRDefault="00627E1C" w:rsidP="00086C49">
      <w:pPr>
        <w:spacing w:after="0" w:line="480" w:lineRule="auto"/>
        <w:ind w:left="1440"/>
        <w:jc w:val="both"/>
        <w:rPr>
          <w:rFonts w:ascii="Times New Roman" w:hAnsi="Times New Roman" w:cs="Times New Roman"/>
          <w:sz w:val="24"/>
          <w:szCs w:val="24"/>
        </w:rPr>
      </w:pPr>
    </w:p>
    <w:p w:rsidR="00051D11" w:rsidRPr="00086C49" w:rsidRDefault="00051D11" w:rsidP="00086C49">
      <w:pPr>
        <w:spacing w:after="0" w:line="240" w:lineRule="auto"/>
        <w:ind w:left="1440"/>
        <w:jc w:val="both"/>
        <w:rPr>
          <w:rFonts w:ascii="Times New Roman" w:hAnsi="Times New Roman" w:cs="Times New Roman"/>
          <w:sz w:val="24"/>
          <w:szCs w:val="24"/>
        </w:rPr>
      </w:pPr>
    </w:p>
    <w:p w:rsidR="00FE79D1" w:rsidRPr="00086C49" w:rsidRDefault="00561234" w:rsidP="00086C49">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t>ZIYAMBI</w:t>
      </w:r>
      <w:r w:rsidR="00FE79D1" w:rsidRPr="00086C49">
        <w:rPr>
          <w:rFonts w:ascii="Times New Roman" w:hAnsi="Times New Roman" w:cs="Times New Roman"/>
          <w:sz w:val="24"/>
          <w:szCs w:val="24"/>
        </w:rPr>
        <w:t xml:space="preserve"> JA reaffirmed </w:t>
      </w:r>
      <w:r w:rsidR="00EE37D5" w:rsidRPr="00086C49">
        <w:rPr>
          <w:rFonts w:ascii="Times New Roman" w:hAnsi="Times New Roman" w:cs="Times New Roman"/>
          <w:sz w:val="24"/>
          <w:szCs w:val="24"/>
        </w:rPr>
        <w:t xml:space="preserve">this position of </w:t>
      </w:r>
      <w:r w:rsidR="00D5136B" w:rsidRPr="00086C49">
        <w:rPr>
          <w:rFonts w:ascii="Times New Roman" w:hAnsi="Times New Roman" w:cs="Times New Roman"/>
          <w:sz w:val="24"/>
          <w:szCs w:val="24"/>
        </w:rPr>
        <w:t>the</w:t>
      </w:r>
      <w:r w:rsidR="00EE37D5" w:rsidRPr="00086C49">
        <w:rPr>
          <w:rFonts w:ascii="Times New Roman" w:hAnsi="Times New Roman" w:cs="Times New Roman"/>
          <w:sz w:val="24"/>
          <w:szCs w:val="24"/>
        </w:rPr>
        <w:t xml:space="preserve"> law in the case of </w:t>
      </w:r>
      <w:r w:rsidR="00EE37D5" w:rsidRPr="00086C49">
        <w:rPr>
          <w:rFonts w:ascii="Times New Roman" w:hAnsi="Times New Roman" w:cs="Times New Roman"/>
          <w:i/>
          <w:sz w:val="24"/>
          <w:szCs w:val="24"/>
        </w:rPr>
        <w:t>ZB Bank vs Maria Masunda</w:t>
      </w:r>
      <w:r w:rsidR="00D507E5" w:rsidRPr="00086C49">
        <w:rPr>
          <w:rStyle w:val="FootnoteReference"/>
          <w:rFonts w:ascii="Times New Roman" w:hAnsi="Times New Roman" w:cs="Times New Roman"/>
          <w:i/>
          <w:sz w:val="24"/>
          <w:szCs w:val="24"/>
        </w:rPr>
        <w:footnoteReference w:id="5"/>
      </w:r>
      <w:r w:rsidR="008C188C">
        <w:rPr>
          <w:rFonts w:ascii="Times New Roman" w:hAnsi="Times New Roman" w:cs="Times New Roman"/>
          <w:sz w:val="24"/>
          <w:szCs w:val="24"/>
        </w:rPr>
        <w:t xml:space="preserve"> by re</w:t>
      </w:r>
      <w:r w:rsidR="00EE37D5" w:rsidRPr="00086C49">
        <w:rPr>
          <w:rFonts w:ascii="Times New Roman" w:hAnsi="Times New Roman" w:cs="Times New Roman"/>
          <w:sz w:val="24"/>
          <w:szCs w:val="24"/>
        </w:rPr>
        <w:t>marking as follows:</w:t>
      </w:r>
    </w:p>
    <w:p w:rsidR="00727C1D" w:rsidRDefault="00627E1C" w:rsidP="00943FBF">
      <w:pPr>
        <w:spacing w:after="0" w:line="240" w:lineRule="auto"/>
        <w:ind w:left="720"/>
        <w:jc w:val="both"/>
        <w:rPr>
          <w:rFonts w:ascii="Times New Roman" w:hAnsi="Times New Roman" w:cs="Times New Roman"/>
          <w:sz w:val="24"/>
          <w:szCs w:val="24"/>
        </w:rPr>
      </w:pPr>
      <w:r w:rsidRPr="00086C49">
        <w:rPr>
          <w:rFonts w:ascii="Times New Roman" w:hAnsi="Times New Roman" w:cs="Times New Roman"/>
          <w:sz w:val="24"/>
          <w:szCs w:val="24"/>
        </w:rPr>
        <w:t>“I</w:t>
      </w:r>
      <w:r w:rsidR="00EE37D5" w:rsidRPr="00086C49">
        <w:rPr>
          <w:rFonts w:ascii="Times New Roman" w:hAnsi="Times New Roman" w:cs="Times New Roman"/>
          <w:sz w:val="24"/>
          <w:szCs w:val="24"/>
        </w:rPr>
        <w:t xml:space="preserve">t is a trite principle of our law that an </w:t>
      </w:r>
      <w:r w:rsidR="007B179A" w:rsidRPr="00086C49">
        <w:rPr>
          <w:rFonts w:ascii="Times New Roman" w:hAnsi="Times New Roman" w:cs="Times New Roman"/>
          <w:sz w:val="24"/>
          <w:szCs w:val="24"/>
        </w:rPr>
        <w:t>Appellate Court</w:t>
      </w:r>
      <w:r w:rsidR="00EE37D5" w:rsidRPr="00086C49">
        <w:rPr>
          <w:rFonts w:ascii="Times New Roman" w:hAnsi="Times New Roman" w:cs="Times New Roman"/>
          <w:sz w:val="24"/>
          <w:szCs w:val="24"/>
        </w:rPr>
        <w:t xml:space="preserve"> should not interfere with an exercise of discretion by a lower court or Tribunal unless there has been a clear misdirection on the part of the lower court. In other words, the decision must have been irrational, </w:t>
      </w:r>
      <w:r w:rsidR="00510FA2" w:rsidRPr="00086C49">
        <w:rPr>
          <w:rFonts w:ascii="Times New Roman" w:hAnsi="Times New Roman" w:cs="Times New Roman"/>
          <w:sz w:val="24"/>
          <w:szCs w:val="24"/>
        </w:rPr>
        <w:t xml:space="preserve">in the sense that of being so </w:t>
      </w:r>
      <w:r w:rsidR="007540D1" w:rsidRPr="00086C49">
        <w:rPr>
          <w:rFonts w:ascii="Times New Roman" w:hAnsi="Times New Roman" w:cs="Times New Roman"/>
          <w:sz w:val="24"/>
          <w:szCs w:val="24"/>
        </w:rPr>
        <w:t>outrageous</w:t>
      </w:r>
      <w:r w:rsidR="00510FA2" w:rsidRPr="00086C49">
        <w:rPr>
          <w:rFonts w:ascii="Times New Roman" w:hAnsi="Times New Roman" w:cs="Times New Roman"/>
          <w:sz w:val="24"/>
          <w:szCs w:val="24"/>
        </w:rPr>
        <w:t xml:space="preserve"> in its defiance of logic or of accepted moral standards that no sensible person who applied his mind to the question </w:t>
      </w:r>
      <w:r w:rsidR="007540D1" w:rsidRPr="00086C49">
        <w:rPr>
          <w:rFonts w:ascii="Times New Roman" w:hAnsi="Times New Roman" w:cs="Times New Roman"/>
          <w:sz w:val="24"/>
          <w:szCs w:val="24"/>
        </w:rPr>
        <w:t>could</w:t>
      </w:r>
      <w:r w:rsidR="00510FA2" w:rsidRPr="00086C49">
        <w:rPr>
          <w:rFonts w:ascii="Times New Roman" w:hAnsi="Times New Roman" w:cs="Times New Roman"/>
          <w:sz w:val="24"/>
          <w:szCs w:val="24"/>
        </w:rPr>
        <w:t xml:space="preserve"> have </w:t>
      </w:r>
      <w:r w:rsidR="00A37715">
        <w:rPr>
          <w:rFonts w:ascii="Times New Roman" w:hAnsi="Times New Roman" w:cs="Times New Roman"/>
          <w:sz w:val="24"/>
          <w:szCs w:val="24"/>
        </w:rPr>
        <w:t>arrived</w:t>
      </w:r>
      <w:r w:rsidR="00510FA2" w:rsidRPr="00086C49">
        <w:rPr>
          <w:rFonts w:ascii="Times New Roman" w:hAnsi="Times New Roman" w:cs="Times New Roman"/>
          <w:sz w:val="24"/>
          <w:szCs w:val="24"/>
        </w:rPr>
        <w:t xml:space="preserve"> at such a conclusion”.</w:t>
      </w:r>
    </w:p>
    <w:p w:rsidR="00943FBF" w:rsidRDefault="00943FBF" w:rsidP="00943FBF">
      <w:pPr>
        <w:spacing w:after="0" w:line="240" w:lineRule="auto"/>
        <w:ind w:left="720"/>
        <w:jc w:val="both"/>
        <w:rPr>
          <w:rFonts w:ascii="Times New Roman" w:hAnsi="Times New Roman" w:cs="Times New Roman"/>
          <w:sz w:val="24"/>
          <w:szCs w:val="24"/>
        </w:rPr>
      </w:pPr>
    </w:p>
    <w:p w:rsidR="00943FBF" w:rsidRDefault="00943FBF" w:rsidP="00943FBF">
      <w:pPr>
        <w:spacing w:after="0" w:line="240" w:lineRule="auto"/>
        <w:ind w:left="720"/>
        <w:jc w:val="both"/>
        <w:rPr>
          <w:rFonts w:ascii="Times New Roman" w:hAnsi="Times New Roman" w:cs="Times New Roman"/>
          <w:sz w:val="24"/>
          <w:szCs w:val="24"/>
        </w:rPr>
      </w:pPr>
    </w:p>
    <w:p w:rsidR="00943FBF" w:rsidRPr="00086C49" w:rsidRDefault="00943FBF" w:rsidP="00943FBF">
      <w:pPr>
        <w:spacing w:after="0" w:line="240" w:lineRule="auto"/>
        <w:ind w:left="720"/>
        <w:jc w:val="both"/>
        <w:rPr>
          <w:rFonts w:ascii="Times New Roman" w:hAnsi="Times New Roman" w:cs="Times New Roman"/>
          <w:sz w:val="24"/>
          <w:szCs w:val="24"/>
        </w:rPr>
      </w:pPr>
    </w:p>
    <w:p w:rsidR="00A23245" w:rsidRPr="00086C49" w:rsidRDefault="00727C1D" w:rsidP="00086C49">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t>One also need</w:t>
      </w:r>
      <w:r w:rsidR="00561234" w:rsidRPr="00086C49">
        <w:rPr>
          <w:rFonts w:ascii="Times New Roman" w:hAnsi="Times New Roman" w:cs="Times New Roman"/>
          <w:sz w:val="24"/>
          <w:szCs w:val="24"/>
        </w:rPr>
        <w:t>s</w:t>
      </w:r>
      <w:r w:rsidRPr="00086C49">
        <w:rPr>
          <w:rFonts w:ascii="Times New Roman" w:hAnsi="Times New Roman" w:cs="Times New Roman"/>
          <w:sz w:val="24"/>
          <w:szCs w:val="24"/>
        </w:rPr>
        <w:t xml:space="preserve"> to be conscious of the kind of proof required to find liability given the nature of the allegations which confronted the appellant in this matter. After carrying out a detailed analysis of a number</w:t>
      </w:r>
      <w:r w:rsidR="00A23245" w:rsidRPr="00086C49">
        <w:rPr>
          <w:rFonts w:ascii="Times New Roman" w:hAnsi="Times New Roman" w:cs="Times New Roman"/>
          <w:sz w:val="24"/>
          <w:szCs w:val="24"/>
        </w:rPr>
        <w:t xml:space="preserve"> of cases that dealt on the issue GWAUNZA DCJ concluded that the amount of proof required to find liability is proof on a balance of probabilities. In a recent judgment of this </w:t>
      </w:r>
      <w:r w:rsidR="003E663E" w:rsidRPr="00086C49">
        <w:rPr>
          <w:rFonts w:ascii="Times New Roman" w:hAnsi="Times New Roman" w:cs="Times New Roman"/>
          <w:sz w:val="24"/>
          <w:szCs w:val="24"/>
        </w:rPr>
        <w:t>C</w:t>
      </w:r>
      <w:r w:rsidR="00A23245" w:rsidRPr="00086C49">
        <w:rPr>
          <w:rFonts w:ascii="Times New Roman" w:hAnsi="Times New Roman" w:cs="Times New Roman"/>
          <w:sz w:val="24"/>
          <w:szCs w:val="24"/>
        </w:rPr>
        <w:t xml:space="preserve">ourt, </w:t>
      </w:r>
      <w:r w:rsidR="00A23245" w:rsidRPr="00086C49">
        <w:rPr>
          <w:rFonts w:ascii="Times New Roman" w:hAnsi="Times New Roman" w:cs="Times New Roman"/>
          <w:i/>
          <w:sz w:val="24"/>
          <w:szCs w:val="24"/>
        </w:rPr>
        <w:t>viz</w:t>
      </w:r>
      <w:r w:rsidR="00A23245" w:rsidRPr="00086C49">
        <w:rPr>
          <w:rFonts w:ascii="Times New Roman" w:hAnsi="Times New Roman" w:cs="Times New Roman"/>
          <w:sz w:val="24"/>
          <w:szCs w:val="24"/>
        </w:rPr>
        <w:t xml:space="preserve">, </w:t>
      </w:r>
      <w:r w:rsidR="00A23245" w:rsidRPr="00086C49">
        <w:rPr>
          <w:rFonts w:ascii="Times New Roman" w:hAnsi="Times New Roman" w:cs="Times New Roman"/>
          <w:i/>
          <w:sz w:val="24"/>
          <w:szCs w:val="24"/>
        </w:rPr>
        <w:t>Charles Marevesa v Telone (Pvt) Ltd</w:t>
      </w:r>
      <w:r w:rsidR="003E663E" w:rsidRPr="00086C49">
        <w:rPr>
          <w:rStyle w:val="FootnoteReference"/>
          <w:rFonts w:ascii="Times New Roman" w:hAnsi="Times New Roman" w:cs="Times New Roman"/>
          <w:i/>
          <w:sz w:val="24"/>
          <w:szCs w:val="24"/>
        </w:rPr>
        <w:footnoteReference w:id="6"/>
      </w:r>
      <w:r w:rsidR="00A23245" w:rsidRPr="00086C49">
        <w:rPr>
          <w:rFonts w:ascii="Times New Roman" w:hAnsi="Times New Roman" w:cs="Times New Roman"/>
          <w:sz w:val="24"/>
          <w:szCs w:val="24"/>
        </w:rPr>
        <w:t xml:space="preserve"> the learned </w:t>
      </w:r>
      <w:r w:rsidR="00A37715">
        <w:rPr>
          <w:rFonts w:ascii="Times New Roman" w:hAnsi="Times New Roman" w:cs="Times New Roman"/>
          <w:sz w:val="24"/>
          <w:szCs w:val="24"/>
        </w:rPr>
        <w:t>DCJ</w:t>
      </w:r>
      <w:r w:rsidR="00A23245" w:rsidRPr="00086C49">
        <w:rPr>
          <w:rFonts w:ascii="Times New Roman" w:hAnsi="Times New Roman" w:cs="Times New Roman"/>
          <w:sz w:val="24"/>
          <w:szCs w:val="24"/>
        </w:rPr>
        <w:t xml:space="preserve"> put the legal position as follows:</w:t>
      </w:r>
    </w:p>
    <w:p w:rsidR="003E663E" w:rsidRDefault="003E663E" w:rsidP="00943FBF">
      <w:pPr>
        <w:spacing w:after="0" w:line="240" w:lineRule="auto"/>
        <w:ind w:left="720"/>
        <w:jc w:val="both"/>
        <w:rPr>
          <w:rFonts w:ascii="Times New Roman" w:hAnsi="Times New Roman" w:cs="Times New Roman"/>
          <w:sz w:val="24"/>
          <w:szCs w:val="24"/>
        </w:rPr>
      </w:pPr>
      <w:r w:rsidRPr="00086C49">
        <w:rPr>
          <w:rFonts w:ascii="Times New Roman" w:hAnsi="Times New Roman" w:cs="Times New Roman"/>
          <w:sz w:val="24"/>
          <w:szCs w:val="24"/>
        </w:rPr>
        <w:lastRenderedPageBreak/>
        <w:t>“</w:t>
      </w:r>
      <w:r w:rsidR="00A23245" w:rsidRPr="00086C49">
        <w:rPr>
          <w:rFonts w:ascii="Times New Roman" w:hAnsi="Times New Roman" w:cs="Times New Roman"/>
          <w:sz w:val="24"/>
          <w:szCs w:val="24"/>
        </w:rPr>
        <w:t xml:space="preserve">[15] From the above analysis of relevant </w:t>
      </w:r>
      <w:r w:rsidR="00A23245" w:rsidRPr="00086C49">
        <w:rPr>
          <w:rFonts w:ascii="Times New Roman" w:hAnsi="Times New Roman" w:cs="Times New Roman"/>
          <w:i/>
          <w:sz w:val="24"/>
          <w:szCs w:val="24"/>
        </w:rPr>
        <w:t>dic</w:t>
      </w:r>
      <w:r w:rsidRPr="00086C49">
        <w:rPr>
          <w:rFonts w:ascii="Times New Roman" w:hAnsi="Times New Roman" w:cs="Times New Roman"/>
          <w:i/>
          <w:sz w:val="24"/>
          <w:szCs w:val="24"/>
        </w:rPr>
        <w:t>ta</w:t>
      </w:r>
      <w:r w:rsidR="00A23245" w:rsidRPr="00086C49">
        <w:rPr>
          <w:rFonts w:ascii="Times New Roman" w:hAnsi="Times New Roman" w:cs="Times New Roman"/>
          <w:sz w:val="24"/>
          <w:szCs w:val="24"/>
        </w:rPr>
        <w:t xml:space="preserve">, I am satisfied that the position spelt out in </w:t>
      </w:r>
      <w:r w:rsidR="00A23245" w:rsidRPr="00086C49">
        <w:rPr>
          <w:rFonts w:ascii="Times New Roman" w:hAnsi="Times New Roman" w:cs="Times New Roman"/>
          <w:i/>
          <w:sz w:val="24"/>
          <w:szCs w:val="24"/>
        </w:rPr>
        <w:t>ZESA v Dera (supra</w:t>
      </w:r>
      <w:r w:rsidR="00A23245" w:rsidRPr="00086C49">
        <w:rPr>
          <w:rFonts w:ascii="Times New Roman" w:hAnsi="Times New Roman" w:cs="Times New Roman"/>
          <w:sz w:val="24"/>
          <w:szCs w:val="24"/>
        </w:rPr>
        <w:t xml:space="preserve">) remains the correct position of the law. The burden of proof in labour proceedings is proof on a balance </w:t>
      </w:r>
      <w:r w:rsidRPr="00086C49">
        <w:rPr>
          <w:rFonts w:ascii="Times New Roman" w:hAnsi="Times New Roman" w:cs="Times New Roman"/>
          <w:sz w:val="24"/>
          <w:szCs w:val="24"/>
        </w:rPr>
        <w:t>of probabilities. This is so regardless of whether or not the charge in point has criminal connotations. The Labour Court does not sit as a criminal court, and proceedings before it are civil in nature.”</w:t>
      </w:r>
    </w:p>
    <w:p w:rsidR="00943FBF" w:rsidRPr="00086C49" w:rsidRDefault="00943FBF" w:rsidP="00943FBF">
      <w:pPr>
        <w:spacing w:after="0" w:line="240" w:lineRule="auto"/>
        <w:ind w:left="720"/>
        <w:jc w:val="both"/>
        <w:rPr>
          <w:rFonts w:ascii="Times New Roman" w:hAnsi="Times New Roman" w:cs="Times New Roman"/>
          <w:sz w:val="24"/>
          <w:szCs w:val="24"/>
        </w:rPr>
      </w:pPr>
    </w:p>
    <w:p w:rsidR="003E663E" w:rsidRPr="00086C49" w:rsidRDefault="003E663E" w:rsidP="00086C49">
      <w:pPr>
        <w:spacing w:after="0" w:line="480" w:lineRule="auto"/>
        <w:ind w:firstLine="1440"/>
        <w:jc w:val="both"/>
        <w:rPr>
          <w:rFonts w:ascii="Times New Roman" w:hAnsi="Times New Roman" w:cs="Times New Roman"/>
          <w:sz w:val="24"/>
          <w:szCs w:val="24"/>
        </w:rPr>
      </w:pPr>
    </w:p>
    <w:p w:rsidR="00510FA2" w:rsidRPr="00086C49" w:rsidRDefault="00510FA2" w:rsidP="00086C49">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t xml:space="preserve">It </w:t>
      </w:r>
      <w:r w:rsidR="003233BB" w:rsidRPr="00086C49">
        <w:rPr>
          <w:rFonts w:ascii="Times New Roman" w:hAnsi="Times New Roman" w:cs="Times New Roman"/>
          <w:sz w:val="24"/>
          <w:szCs w:val="24"/>
        </w:rPr>
        <w:t>is within the contex</w:t>
      </w:r>
      <w:r w:rsidR="007540D1" w:rsidRPr="00086C49">
        <w:rPr>
          <w:rFonts w:ascii="Times New Roman" w:hAnsi="Times New Roman" w:cs="Times New Roman"/>
          <w:sz w:val="24"/>
          <w:szCs w:val="24"/>
        </w:rPr>
        <w:t xml:space="preserve">t of these guiding principles that I must now look at the decision of the court </w:t>
      </w:r>
      <w:r w:rsidR="007540D1" w:rsidRPr="00086C49">
        <w:rPr>
          <w:rFonts w:ascii="Times New Roman" w:hAnsi="Times New Roman" w:cs="Times New Roman"/>
          <w:i/>
          <w:sz w:val="24"/>
          <w:szCs w:val="24"/>
        </w:rPr>
        <w:t>a quo</w:t>
      </w:r>
      <w:r w:rsidR="007540D1" w:rsidRPr="00086C49">
        <w:rPr>
          <w:rFonts w:ascii="Times New Roman" w:hAnsi="Times New Roman" w:cs="Times New Roman"/>
          <w:sz w:val="24"/>
          <w:szCs w:val="24"/>
        </w:rPr>
        <w:t xml:space="preserve"> to see if it warrants any interference </w:t>
      </w:r>
      <w:r w:rsidR="00051D11" w:rsidRPr="00086C49">
        <w:rPr>
          <w:rFonts w:ascii="Times New Roman" w:hAnsi="Times New Roman" w:cs="Times New Roman"/>
          <w:sz w:val="24"/>
          <w:szCs w:val="24"/>
        </w:rPr>
        <w:t>by this C</w:t>
      </w:r>
      <w:r w:rsidR="00D5136B" w:rsidRPr="00086C49">
        <w:rPr>
          <w:rFonts w:ascii="Times New Roman" w:hAnsi="Times New Roman" w:cs="Times New Roman"/>
          <w:sz w:val="24"/>
          <w:szCs w:val="24"/>
        </w:rPr>
        <w:t>ourt</w:t>
      </w:r>
      <w:r w:rsidR="007540D1" w:rsidRPr="00086C49">
        <w:rPr>
          <w:rFonts w:ascii="Times New Roman" w:hAnsi="Times New Roman" w:cs="Times New Roman"/>
          <w:sz w:val="24"/>
          <w:szCs w:val="24"/>
        </w:rPr>
        <w:t>.</w:t>
      </w:r>
    </w:p>
    <w:p w:rsidR="00627E1C" w:rsidRPr="00086C49" w:rsidRDefault="00627E1C" w:rsidP="00086C49">
      <w:pPr>
        <w:spacing w:after="0" w:line="480" w:lineRule="auto"/>
        <w:ind w:firstLine="1440"/>
        <w:jc w:val="both"/>
        <w:rPr>
          <w:rFonts w:ascii="Times New Roman" w:hAnsi="Times New Roman" w:cs="Times New Roman"/>
          <w:sz w:val="24"/>
          <w:szCs w:val="24"/>
        </w:rPr>
      </w:pPr>
    </w:p>
    <w:p w:rsidR="007540D1" w:rsidRPr="00086C49" w:rsidRDefault="007540D1" w:rsidP="00086C49">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t xml:space="preserve">There can be no doubt </w:t>
      </w:r>
      <w:r w:rsidR="00D5136B" w:rsidRPr="00086C49">
        <w:rPr>
          <w:rFonts w:ascii="Times New Roman" w:hAnsi="Times New Roman" w:cs="Times New Roman"/>
          <w:sz w:val="24"/>
          <w:szCs w:val="24"/>
        </w:rPr>
        <w:t xml:space="preserve">that </w:t>
      </w:r>
      <w:r w:rsidRPr="00086C49">
        <w:rPr>
          <w:rFonts w:ascii="Times New Roman" w:hAnsi="Times New Roman" w:cs="Times New Roman"/>
          <w:sz w:val="24"/>
          <w:szCs w:val="24"/>
        </w:rPr>
        <w:t>in the instant case and as already highlighted</w:t>
      </w:r>
      <w:r w:rsidR="00D5136B" w:rsidRPr="00086C49">
        <w:rPr>
          <w:rFonts w:ascii="Times New Roman" w:hAnsi="Times New Roman" w:cs="Times New Roman"/>
          <w:sz w:val="24"/>
          <w:szCs w:val="24"/>
        </w:rPr>
        <w:t xml:space="preserve">, the court </w:t>
      </w:r>
      <w:r w:rsidR="00D5136B" w:rsidRPr="00086C49">
        <w:rPr>
          <w:rFonts w:ascii="Times New Roman" w:hAnsi="Times New Roman" w:cs="Times New Roman"/>
          <w:i/>
          <w:sz w:val="24"/>
          <w:szCs w:val="24"/>
        </w:rPr>
        <w:t>a quo</w:t>
      </w:r>
      <w:r w:rsidR="00D5136B" w:rsidRPr="00086C49">
        <w:rPr>
          <w:rFonts w:ascii="Times New Roman" w:hAnsi="Times New Roman" w:cs="Times New Roman"/>
          <w:sz w:val="24"/>
          <w:szCs w:val="24"/>
        </w:rPr>
        <w:t>,</w:t>
      </w:r>
      <w:r w:rsidRPr="00086C49">
        <w:rPr>
          <w:rFonts w:ascii="Times New Roman" w:hAnsi="Times New Roman" w:cs="Times New Roman"/>
          <w:sz w:val="24"/>
          <w:szCs w:val="24"/>
        </w:rPr>
        <w:t xml:space="preserve"> </w:t>
      </w:r>
      <w:r w:rsidR="007B179A" w:rsidRPr="00086C49">
        <w:rPr>
          <w:rFonts w:ascii="Times New Roman" w:hAnsi="Times New Roman" w:cs="Times New Roman"/>
          <w:sz w:val="24"/>
          <w:szCs w:val="24"/>
        </w:rPr>
        <w:t>in coming to the conclusion it</w:t>
      </w:r>
      <w:r w:rsidR="00DB17EF" w:rsidRPr="00086C49">
        <w:rPr>
          <w:rFonts w:ascii="Times New Roman" w:hAnsi="Times New Roman" w:cs="Times New Roman"/>
          <w:sz w:val="24"/>
          <w:szCs w:val="24"/>
        </w:rPr>
        <w:t xml:space="preserve"> </w:t>
      </w:r>
      <w:r w:rsidR="003233BB" w:rsidRPr="00086C49">
        <w:rPr>
          <w:rFonts w:ascii="Times New Roman" w:hAnsi="Times New Roman" w:cs="Times New Roman"/>
          <w:sz w:val="24"/>
          <w:szCs w:val="24"/>
        </w:rPr>
        <w:t xml:space="preserve">did, </w:t>
      </w:r>
      <w:r w:rsidR="00D5136B" w:rsidRPr="00086C49">
        <w:rPr>
          <w:rFonts w:ascii="Times New Roman" w:hAnsi="Times New Roman" w:cs="Times New Roman"/>
          <w:sz w:val="24"/>
          <w:szCs w:val="24"/>
        </w:rPr>
        <w:t>concluded that</w:t>
      </w:r>
      <w:r w:rsidR="00DB17EF" w:rsidRPr="00086C49">
        <w:rPr>
          <w:rFonts w:ascii="Times New Roman" w:hAnsi="Times New Roman" w:cs="Times New Roman"/>
          <w:sz w:val="24"/>
          <w:szCs w:val="24"/>
        </w:rPr>
        <w:t xml:space="preserve"> </w:t>
      </w:r>
      <w:r w:rsidR="00D5136B" w:rsidRPr="00086C49">
        <w:rPr>
          <w:rFonts w:ascii="Times New Roman" w:hAnsi="Times New Roman" w:cs="Times New Roman"/>
          <w:sz w:val="24"/>
          <w:szCs w:val="24"/>
        </w:rPr>
        <w:t>t</w:t>
      </w:r>
      <w:r w:rsidR="00097549" w:rsidRPr="00086C49">
        <w:rPr>
          <w:rFonts w:ascii="Times New Roman" w:hAnsi="Times New Roman" w:cs="Times New Roman"/>
          <w:sz w:val="24"/>
          <w:szCs w:val="24"/>
        </w:rPr>
        <w:t>ellers</w:t>
      </w:r>
      <w:r w:rsidR="00DB17EF" w:rsidRPr="00086C49">
        <w:rPr>
          <w:rFonts w:ascii="Times New Roman" w:hAnsi="Times New Roman" w:cs="Times New Roman"/>
          <w:sz w:val="24"/>
          <w:szCs w:val="24"/>
        </w:rPr>
        <w:t xml:space="preserve"> were not allowed to take their money into the bank’s cubicles</w:t>
      </w:r>
      <w:r w:rsidR="00097549" w:rsidRPr="00086C49">
        <w:rPr>
          <w:rFonts w:ascii="Times New Roman" w:hAnsi="Times New Roman" w:cs="Times New Roman"/>
          <w:sz w:val="24"/>
          <w:szCs w:val="24"/>
        </w:rPr>
        <w:t xml:space="preserve">. This position was clearly </w:t>
      </w:r>
      <w:r w:rsidR="005F2D7B" w:rsidRPr="00086C49">
        <w:rPr>
          <w:rFonts w:ascii="Times New Roman" w:hAnsi="Times New Roman" w:cs="Times New Roman"/>
          <w:sz w:val="24"/>
          <w:szCs w:val="24"/>
        </w:rPr>
        <w:t>erroneous as it went against the weight of evidence which pointed to the contrary</w:t>
      </w:r>
      <w:r w:rsidR="00DD7D4A" w:rsidRPr="00086C49">
        <w:rPr>
          <w:rFonts w:ascii="Times New Roman" w:hAnsi="Times New Roman" w:cs="Times New Roman"/>
          <w:sz w:val="24"/>
          <w:szCs w:val="24"/>
        </w:rPr>
        <w:t xml:space="preserve">. There </w:t>
      </w:r>
      <w:r w:rsidR="00D5136B" w:rsidRPr="00086C49">
        <w:rPr>
          <w:rFonts w:ascii="Times New Roman" w:hAnsi="Times New Roman" w:cs="Times New Roman"/>
          <w:sz w:val="24"/>
          <w:szCs w:val="24"/>
        </w:rPr>
        <w:t>was no such restriction on the t</w:t>
      </w:r>
      <w:r w:rsidR="00DD7D4A" w:rsidRPr="00086C49">
        <w:rPr>
          <w:rFonts w:ascii="Times New Roman" w:hAnsi="Times New Roman" w:cs="Times New Roman"/>
          <w:sz w:val="24"/>
          <w:szCs w:val="24"/>
        </w:rPr>
        <w:t xml:space="preserve">ellers and the court </w:t>
      </w:r>
      <w:r w:rsidR="00DD7D4A" w:rsidRPr="00086C49">
        <w:rPr>
          <w:rFonts w:ascii="Times New Roman" w:hAnsi="Times New Roman" w:cs="Times New Roman"/>
          <w:i/>
          <w:sz w:val="24"/>
          <w:szCs w:val="24"/>
        </w:rPr>
        <w:t>a quo</w:t>
      </w:r>
      <w:r w:rsidR="00DD7D4A" w:rsidRPr="00086C49">
        <w:rPr>
          <w:rFonts w:ascii="Times New Roman" w:hAnsi="Times New Roman" w:cs="Times New Roman"/>
          <w:sz w:val="24"/>
          <w:szCs w:val="24"/>
        </w:rPr>
        <w:t xml:space="preserve">’s decision was underpinned </w:t>
      </w:r>
      <w:r w:rsidR="003233BB" w:rsidRPr="00086C49">
        <w:rPr>
          <w:rFonts w:ascii="Times New Roman" w:hAnsi="Times New Roman" w:cs="Times New Roman"/>
          <w:sz w:val="24"/>
          <w:szCs w:val="24"/>
        </w:rPr>
        <w:t>by</w:t>
      </w:r>
      <w:r w:rsidR="00DD7D4A" w:rsidRPr="00086C49">
        <w:rPr>
          <w:rFonts w:ascii="Times New Roman" w:hAnsi="Times New Roman" w:cs="Times New Roman"/>
          <w:sz w:val="24"/>
          <w:szCs w:val="24"/>
        </w:rPr>
        <w:t xml:space="preserve"> a wrong factual finding which obviously clouded </w:t>
      </w:r>
      <w:r w:rsidR="00B92397" w:rsidRPr="00086C49">
        <w:rPr>
          <w:rFonts w:ascii="Times New Roman" w:hAnsi="Times New Roman" w:cs="Times New Roman"/>
          <w:sz w:val="24"/>
          <w:szCs w:val="24"/>
        </w:rPr>
        <w:t xml:space="preserve">its mind </w:t>
      </w:r>
      <w:r w:rsidR="00DD7D4A" w:rsidRPr="00086C49">
        <w:rPr>
          <w:rFonts w:ascii="Times New Roman" w:hAnsi="Times New Roman" w:cs="Times New Roman"/>
          <w:sz w:val="24"/>
          <w:szCs w:val="24"/>
        </w:rPr>
        <w:t xml:space="preserve">in </w:t>
      </w:r>
      <w:r w:rsidR="003233BB" w:rsidRPr="00086C49">
        <w:rPr>
          <w:rFonts w:ascii="Times New Roman" w:hAnsi="Times New Roman" w:cs="Times New Roman"/>
          <w:sz w:val="24"/>
          <w:szCs w:val="24"/>
        </w:rPr>
        <w:t>determining</w:t>
      </w:r>
      <w:r w:rsidR="00DD7D4A" w:rsidRPr="00086C49">
        <w:rPr>
          <w:rFonts w:ascii="Times New Roman" w:hAnsi="Times New Roman" w:cs="Times New Roman"/>
          <w:sz w:val="24"/>
          <w:szCs w:val="24"/>
        </w:rPr>
        <w:t xml:space="preserve"> the guilt of the appellant.</w:t>
      </w:r>
    </w:p>
    <w:p w:rsidR="00B92397" w:rsidRPr="00086C49" w:rsidRDefault="00B92397" w:rsidP="00086C49">
      <w:pPr>
        <w:spacing w:after="0" w:line="480" w:lineRule="auto"/>
        <w:ind w:firstLine="1440"/>
        <w:jc w:val="both"/>
        <w:rPr>
          <w:rFonts w:ascii="Times New Roman" w:hAnsi="Times New Roman" w:cs="Times New Roman"/>
          <w:sz w:val="24"/>
          <w:szCs w:val="24"/>
        </w:rPr>
      </w:pPr>
    </w:p>
    <w:p w:rsidR="00DD7D4A" w:rsidRPr="00086C49" w:rsidRDefault="00DD7D4A" w:rsidP="00086C49">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t xml:space="preserve">It is quite significant that even the </w:t>
      </w:r>
      <w:r w:rsidR="007B179A" w:rsidRPr="00086C49">
        <w:rPr>
          <w:rFonts w:ascii="Times New Roman" w:hAnsi="Times New Roman" w:cs="Times New Roman"/>
          <w:sz w:val="24"/>
          <w:szCs w:val="24"/>
        </w:rPr>
        <w:t>R</w:t>
      </w:r>
      <w:r w:rsidRPr="00086C49">
        <w:rPr>
          <w:rFonts w:ascii="Times New Roman" w:hAnsi="Times New Roman" w:cs="Times New Roman"/>
          <w:sz w:val="24"/>
          <w:szCs w:val="24"/>
        </w:rPr>
        <w:t xml:space="preserve">espondent’s Counsel </w:t>
      </w:r>
      <w:r w:rsidR="003233BB" w:rsidRPr="00086C49">
        <w:rPr>
          <w:rFonts w:ascii="Times New Roman" w:hAnsi="Times New Roman" w:cs="Times New Roman"/>
          <w:sz w:val="24"/>
          <w:szCs w:val="24"/>
        </w:rPr>
        <w:t>accepted</w:t>
      </w:r>
      <w:r w:rsidRPr="00086C49">
        <w:rPr>
          <w:rFonts w:ascii="Times New Roman" w:hAnsi="Times New Roman" w:cs="Times New Roman"/>
          <w:sz w:val="24"/>
          <w:szCs w:val="24"/>
        </w:rPr>
        <w:t xml:space="preserve"> that the court </w:t>
      </w:r>
      <w:r w:rsidR="008A57A2">
        <w:rPr>
          <w:rFonts w:ascii="Times New Roman" w:hAnsi="Times New Roman" w:cs="Times New Roman"/>
          <w:sz w:val="24"/>
          <w:szCs w:val="24"/>
        </w:rPr>
        <w:t xml:space="preserve">   </w:t>
      </w:r>
      <w:r w:rsidRPr="00086C49">
        <w:rPr>
          <w:rFonts w:ascii="Times New Roman" w:hAnsi="Times New Roman" w:cs="Times New Roman"/>
          <w:i/>
          <w:sz w:val="24"/>
          <w:szCs w:val="24"/>
        </w:rPr>
        <w:t>a quo</w:t>
      </w:r>
      <w:r w:rsidRPr="00086C49">
        <w:rPr>
          <w:rFonts w:ascii="Times New Roman" w:hAnsi="Times New Roman" w:cs="Times New Roman"/>
          <w:sz w:val="24"/>
          <w:szCs w:val="24"/>
        </w:rPr>
        <w:t xml:space="preserve"> had premised its finding</w:t>
      </w:r>
      <w:r w:rsidR="003233BB" w:rsidRPr="00086C49">
        <w:rPr>
          <w:rFonts w:ascii="Times New Roman" w:hAnsi="Times New Roman" w:cs="Times New Roman"/>
          <w:sz w:val="24"/>
          <w:szCs w:val="24"/>
        </w:rPr>
        <w:t>s</w:t>
      </w:r>
      <w:r w:rsidR="00856F8B" w:rsidRPr="00086C49">
        <w:rPr>
          <w:rFonts w:ascii="Times New Roman" w:hAnsi="Times New Roman" w:cs="Times New Roman"/>
          <w:sz w:val="24"/>
          <w:szCs w:val="24"/>
        </w:rPr>
        <w:t xml:space="preserve"> on</w:t>
      </w:r>
      <w:r w:rsidRPr="00086C49">
        <w:rPr>
          <w:rFonts w:ascii="Times New Roman" w:hAnsi="Times New Roman" w:cs="Times New Roman"/>
          <w:sz w:val="24"/>
          <w:szCs w:val="24"/>
        </w:rPr>
        <w:t xml:space="preserve"> </w:t>
      </w:r>
      <w:r w:rsidR="000B28FF">
        <w:rPr>
          <w:rFonts w:ascii="Times New Roman" w:hAnsi="Times New Roman" w:cs="Times New Roman"/>
          <w:sz w:val="24"/>
          <w:szCs w:val="24"/>
        </w:rPr>
        <w:t xml:space="preserve">a </w:t>
      </w:r>
      <w:r w:rsidRPr="00086C49">
        <w:rPr>
          <w:rFonts w:ascii="Times New Roman" w:hAnsi="Times New Roman" w:cs="Times New Roman"/>
          <w:sz w:val="24"/>
          <w:szCs w:val="24"/>
        </w:rPr>
        <w:t xml:space="preserve">wrong factual finding. </w:t>
      </w:r>
      <w:r w:rsidR="00D5136B" w:rsidRPr="00086C49">
        <w:rPr>
          <w:rFonts w:ascii="Times New Roman" w:hAnsi="Times New Roman" w:cs="Times New Roman"/>
          <w:sz w:val="24"/>
          <w:szCs w:val="24"/>
        </w:rPr>
        <w:t>H</w:t>
      </w:r>
      <w:r w:rsidRPr="00086C49">
        <w:rPr>
          <w:rFonts w:ascii="Times New Roman" w:hAnsi="Times New Roman" w:cs="Times New Roman"/>
          <w:sz w:val="24"/>
          <w:szCs w:val="24"/>
        </w:rPr>
        <w:t xml:space="preserve">owever, </w:t>
      </w:r>
      <w:r w:rsidR="00D5136B" w:rsidRPr="00086C49">
        <w:rPr>
          <w:rFonts w:ascii="Times New Roman" w:hAnsi="Times New Roman" w:cs="Times New Roman"/>
          <w:sz w:val="24"/>
          <w:szCs w:val="24"/>
        </w:rPr>
        <w:t xml:space="preserve">despite this, the </w:t>
      </w:r>
      <w:r w:rsidRPr="00086C49">
        <w:rPr>
          <w:rFonts w:ascii="Times New Roman" w:hAnsi="Times New Roman" w:cs="Times New Roman"/>
          <w:sz w:val="24"/>
          <w:szCs w:val="24"/>
        </w:rPr>
        <w:t>Respondent’s Counsel</w:t>
      </w:r>
      <w:r w:rsidR="00312567" w:rsidRPr="00086C49">
        <w:rPr>
          <w:rFonts w:ascii="Times New Roman" w:hAnsi="Times New Roman" w:cs="Times New Roman"/>
          <w:sz w:val="24"/>
          <w:szCs w:val="24"/>
        </w:rPr>
        <w:t xml:space="preserve"> </w:t>
      </w:r>
      <w:r w:rsidRPr="00086C49">
        <w:rPr>
          <w:rFonts w:ascii="Times New Roman" w:hAnsi="Times New Roman" w:cs="Times New Roman"/>
          <w:sz w:val="24"/>
          <w:szCs w:val="24"/>
        </w:rPr>
        <w:t xml:space="preserve">urged the court to disregard this error and view it as inconsequential as he argued </w:t>
      </w:r>
      <w:r w:rsidR="00312567" w:rsidRPr="00086C49">
        <w:rPr>
          <w:rFonts w:ascii="Times New Roman" w:hAnsi="Times New Roman" w:cs="Times New Roman"/>
          <w:sz w:val="24"/>
          <w:szCs w:val="24"/>
        </w:rPr>
        <w:t xml:space="preserve">that the general conduct of the appellant projected him in bad light and </w:t>
      </w:r>
      <w:r w:rsidR="003233BB" w:rsidRPr="00086C49">
        <w:rPr>
          <w:rFonts w:ascii="Times New Roman" w:hAnsi="Times New Roman" w:cs="Times New Roman"/>
          <w:sz w:val="24"/>
          <w:szCs w:val="24"/>
        </w:rPr>
        <w:t xml:space="preserve">he </w:t>
      </w:r>
      <w:r w:rsidR="00312567" w:rsidRPr="00086C49">
        <w:rPr>
          <w:rFonts w:ascii="Times New Roman" w:hAnsi="Times New Roman" w:cs="Times New Roman"/>
          <w:sz w:val="24"/>
          <w:szCs w:val="24"/>
        </w:rPr>
        <w:t xml:space="preserve">therefore remained guilty. Counsel criticized the appellant for receiving the money from the principal </w:t>
      </w:r>
      <w:r w:rsidR="00373A04" w:rsidRPr="00086C49">
        <w:rPr>
          <w:rFonts w:ascii="Times New Roman" w:hAnsi="Times New Roman" w:cs="Times New Roman"/>
          <w:sz w:val="24"/>
          <w:szCs w:val="24"/>
        </w:rPr>
        <w:t>offender</w:t>
      </w:r>
      <w:r w:rsidR="00312567" w:rsidRPr="00086C49">
        <w:rPr>
          <w:rFonts w:ascii="Times New Roman" w:hAnsi="Times New Roman" w:cs="Times New Roman"/>
          <w:sz w:val="24"/>
          <w:szCs w:val="24"/>
        </w:rPr>
        <w:t xml:space="preserve"> a</w:t>
      </w:r>
      <w:r w:rsidR="00373A04" w:rsidRPr="00086C49">
        <w:rPr>
          <w:rFonts w:ascii="Times New Roman" w:hAnsi="Times New Roman" w:cs="Times New Roman"/>
          <w:sz w:val="24"/>
          <w:szCs w:val="24"/>
        </w:rPr>
        <w:t>n</w:t>
      </w:r>
      <w:r w:rsidR="00312567" w:rsidRPr="00086C49">
        <w:rPr>
          <w:rFonts w:ascii="Times New Roman" w:hAnsi="Times New Roman" w:cs="Times New Roman"/>
          <w:sz w:val="24"/>
          <w:szCs w:val="24"/>
        </w:rPr>
        <w:t xml:space="preserve">d failing to either </w:t>
      </w:r>
      <w:r w:rsidR="00D5136B" w:rsidRPr="00086C49">
        <w:rPr>
          <w:rFonts w:ascii="Times New Roman" w:hAnsi="Times New Roman" w:cs="Times New Roman"/>
          <w:sz w:val="24"/>
          <w:szCs w:val="24"/>
        </w:rPr>
        <w:t>“speak up</w:t>
      </w:r>
      <w:r w:rsidR="00312567" w:rsidRPr="00086C49">
        <w:rPr>
          <w:rFonts w:ascii="Times New Roman" w:hAnsi="Times New Roman" w:cs="Times New Roman"/>
          <w:sz w:val="24"/>
          <w:szCs w:val="24"/>
        </w:rPr>
        <w:t xml:space="preserve">” to </w:t>
      </w:r>
      <w:r w:rsidR="00D5136B" w:rsidRPr="00086C49">
        <w:rPr>
          <w:rFonts w:ascii="Times New Roman" w:hAnsi="Times New Roman" w:cs="Times New Roman"/>
          <w:sz w:val="24"/>
          <w:szCs w:val="24"/>
        </w:rPr>
        <w:t>his</w:t>
      </w:r>
      <w:r w:rsidR="00312567" w:rsidRPr="00086C49">
        <w:rPr>
          <w:rFonts w:ascii="Times New Roman" w:hAnsi="Times New Roman" w:cs="Times New Roman"/>
          <w:sz w:val="24"/>
          <w:szCs w:val="24"/>
        </w:rPr>
        <w:t xml:space="preserve"> supervisor or to explain why he was given the money. For </w:t>
      </w:r>
      <w:r w:rsidR="00373A04" w:rsidRPr="00086C49">
        <w:rPr>
          <w:rFonts w:ascii="Times New Roman" w:hAnsi="Times New Roman" w:cs="Times New Roman"/>
          <w:sz w:val="24"/>
          <w:szCs w:val="24"/>
        </w:rPr>
        <w:t>this</w:t>
      </w:r>
      <w:r w:rsidR="00A37715">
        <w:rPr>
          <w:rFonts w:ascii="Times New Roman" w:hAnsi="Times New Roman" w:cs="Times New Roman"/>
          <w:sz w:val="24"/>
          <w:szCs w:val="24"/>
        </w:rPr>
        <w:t>,</w:t>
      </w:r>
      <w:r w:rsidR="00373A04" w:rsidRPr="00086C49">
        <w:rPr>
          <w:rFonts w:ascii="Times New Roman" w:hAnsi="Times New Roman" w:cs="Times New Roman"/>
          <w:sz w:val="24"/>
          <w:szCs w:val="24"/>
        </w:rPr>
        <w:t xml:space="preserve"> Counsel urged t</w:t>
      </w:r>
      <w:r w:rsidR="00312567" w:rsidRPr="00086C49">
        <w:rPr>
          <w:rFonts w:ascii="Times New Roman" w:hAnsi="Times New Roman" w:cs="Times New Roman"/>
          <w:sz w:val="24"/>
          <w:szCs w:val="24"/>
        </w:rPr>
        <w:t>he court</w:t>
      </w:r>
      <w:r w:rsidR="00656D87" w:rsidRPr="00086C49">
        <w:rPr>
          <w:rFonts w:ascii="Times New Roman" w:hAnsi="Times New Roman" w:cs="Times New Roman"/>
          <w:sz w:val="24"/>
          <w:szCs w:val="24"/>
        </w:rPr>
        <w:t xml:space="preserve"> </w:t>
      </w:r>
      <w:r w:rsidR="00373A04" w:rsidRPr="00086C49">
        <w:rPr>
          <w:rFonts w:ascii="Times New Roman" w:hAnsi="Times New Roman" w:cs="Times New Roman"/>
          <w:sz w:val="24"/>
          <w:szCs w:val="24"/>
        </w:rPr>
        <w:t>to still find the appellant guilt</w:t>
      </w:r>
      <w:r w:rsidR="00B92397" w:rsidRPr="00086C49">
        <w:rPr>
          <w:rFonts w:ascii="Times New Roman" w:hAnsi="Times New Roman" w:cs="Times New Roman"/>
          <w:sz w:val="24"/>
          <w:szCs w:val="24"/>
        </w:rPr>
        <w:t>y</w:t>
      </w:r>
      <w:r w:rsidR="00373A04" w:rsidRPr="00086C49">
        <w:rPr>
          <w:rFonts w:ascii="Times New Roman" w:hAnsi="Times New Roman" w:cs="Times New Roman"/>
          <w:sz w:val="24"/>
          <w:szCs w:val="24"/>
        </w:rPr>
        <w:t>.</w:t>
      </w:r>
    </w:p>
    <w:p w:rsidR="00D5136B" w:rsidRPr="00086C49" w:rsidRDefault="00D5136B" w:rsidP="00086C49">
      <w:pPr>
        <w:spacing w:after="0" w:line="480" w:lineRule="auto"/>
        <w:jc w:val="both"/>
        <w:rPr>
          <w:rFonts w:ascii="Times New Roman" w:hAnsi="Times New Roman" w:cs="Times New Roman"/>
          <w:sz w:val="24"/>
          <w:szCs w:val="24"/>
        </w:rPr>
      </w:pPr>
    </w:p>
    <w:p w:rsidR="00627E1C" w:rsidRPr="00086C49" w:rsidRDefault="00373A04" w:rsidP="00B014AC">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t xml:space="preserve">In </w:t>
      </w:r>
      <w:r w:rsidR="00561234" w:rsidRPr="00086C49">
        <w:rPr>
          <w:rFonts w:ascii="Times New Roman" w:hAnsi="Times New Roman" w:cs="Times New Roman"/>
          <w:sz w:val="24"/>
          <w:szCs w:val="24"/>
        </w:rPr>
        <w:t xml:space="preserve">my </w:t>
      </w:r>
      <w:r w:rsidRPr="00086C49">
        <w:rPr>
          <w:rFonts w:ascii="Times New Roman" w:hAnsi="Times New Roman" w:cs="Times New Roman"/>
          <w:sz w:val="24"/>
          <w:szCs w:val="24"/>
        </w:rPr>
        <w:t xml:space="preserve">view this argument is </w:t>
      </w:r>
      <w:r w:rsidR="003233BB" w:rsidRPr="00086C49">
        <w:rPr>
          <w:rFonts w:ascii="Times New Roman" w:hAnsi="Times New Roman" w:cs="Times New Roman"/>
          <w:sz w:val="24"/>
          <w:szCs w:val="24"/>
        </w:rPr>
        <w:t xml:space="preserve">not persuasive enough </w:t>
      </w:r>
      <w:r w:rsidRPr="00086C49">
        <w:rPr>
          <w:rFonts w:ascii="Times New Roman" w:hAnsi="Times New Roman" w:cs="Times New Roman"/>
          <w:sz w:val="24"/>
          <w:szCs w:val="24"/>
        </w:rPr>
        <w:t>virtually for two reasons</w:t>
      </w:r>
      <w:r w:rsidR="008C188C">
        <w:rPr>
          <w:rFonts w:ascii="Times New Roman" w:hAnsi="Times New Roman" w:cs="Times New Roman"/>
          <w:sz w:val="24"/>
          <w:szCs w:val="24"/>
        </w:rPr>
        <w:t>.</w:t>
      </w:r>
    </w:p>
    <w:p w:rsidR="00373A04" w:rsidRPr="00086C49" w:rsidRDefault="00373A04" w:rsidP="00943FBF">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lastRenderedPageBreak/>
        <w:t xml:space="preserve">Firstly, once it is accepted that the court </w:t>
      </w:r>
      <w:r w:rsidRPr="00086C49">
        <w:rPr>
          <w:rFonts w:ascii="Times New Roman" w:hAnsi="Times New Roman" w:cs="Times New Roman"/>
          <w:i/>
          <w:sz w:val="24"/>
          <w:szCs w:val="24"/>
        </w:rPr>
        <w:t>a quo</w:t>
      </w:r>
      <w:r w:rsidRPr="00086C49">
        <w:rPr>
          <w:rFonts w:ascii="Times New Roman" w:hAnsi="Times New Roman" w:cs="Times New Roman"/>
          <w:sz w:val="24"/>
          <w:szCs w:val="24"/>
        </w:rPr>
        <w:t xml:space="preserve"> made a funda</w:t>
      </w:r>
      <w:r w:rsidR="001F45A7" w:rsidRPr="00086C49">
        <w:rPr>
          <w:rFonts w:ascii="Times New Roman" w:hAnsi="Times New Roman" w:cs="Times New Roman"/>
          <w:sz w:val="24"/>
          <w:szCs w:val="24"/>
        </w:rPr>
        <w:t>mental error as it did in this cas</w:t>
      </w:r>
      <w:r w:rsidRPr="00086C49">
        <w:rPr>
          <w:rFonts w:ascii="Times New Roman" w:hAnsi="Times New Roman" w:cs="Times New Roman"/>
          <w:sz w:val="24"/>
          <w:szCs w:val="24"/>
        </w:rPr>
        <w:t>e</w:t>
      </w:r>
      <w:r w:rsidR="001F45A7" w:rsidRPr="00086C49">
        <w:rPr>
          <w:rFonts w:ascii="Times New Roman" w:hAnsi="Times New Roman" w:cs="Times New Roman"/>
          <w:sz w:val="24"/>
          <w:szCs w:val="24"/>
        </w:rPr>
        <w:t>,</w:t>
      </w:r>
      <w:r w:rsidRPr="00086C49">
        <w:rPr>
          <w:rFonts w:ascii="Times New Roman" w:hAnsi="Times New Roman" w:cs="Times New Roman"/>
          <w:sz w:val="24"/>
          <w:szCs w:val="24"/>
        </w:rPr>
        <w:t xml:space="preserve"> then the appeal</w:t>
      </w:r>
      <w:r w:rsidR="001F45A7" w:rsidRPr="00086C49">
        <w:rPr>
          <w:rFonts w:ascii="Times New Roman" w:hAnsi="Times New Roman" w:cs="Times New Roman"/>
          <w:sz w:val="24"/>
          <w:szCs w:val="24"/>
        </w:rPr>
        <w:t xml:space="preserve"> court remain</w:t>
      </w:r>
      <w:r w:rsidR="00D2002D" w:rsidRPr="00086C49">
        <w:rPr>
          <w:rFonts w:ascii="Times New Roman" w:hAnsi="Times New Roman" w:cs="Times New Roman"/>
          <w:sz w:val="24"/>
          <w:szCs w:val="24"/>
        </w:rPr>
        <w:t>s</w:t>
      </w:r>
      <w:r w:rsidR="001F45A7" w:rsidRPr="00086C49">
        <w:rPr>
          <w:rFonts w:ascii="Times New Roman" w:hAnsi="Times New Roman" w:cs="Times New Roman"/>
          <w:sz w:val="24"/>
          <w:szCs w:val="24"/>
        </w:rPr>
        <w:t xml:space="preserve"> at large.</w:t>
      </w:r>
      <w:r w:rsidRPr="00086C49">
        <w:rPr>
          <w:rFonts w:ascii="Times New Roman" w:hAnsi="Times New Roman" w:cs="Times New Roman"/>
          <w:sz w:val="24"/>
          <w:szCs w:val="24"/>
        </w:rPr>
        <w:t xml:space="preserve"> </w:t>
      </w:r>
      <w:r w:rsidR="0035191E" w:rsidRPr="00086C49">
        <w:rPr>
          <w:rFonts w:ascii="Times New Roman" w:hAnsi="Times New Roman" w:cs="Times New Roman"/>
          <w:sz w:val="24"/>
          <w:szCs w:val="24"/>
        </w:rPr>
        <w:t xml:space="preserve">The appeal court cannot ignore the error and proceed to uphold the conviction of the appellant anyhow or on the basis of a consideration of issues to which the appellant was not asked to plead in the court </w:t>
      </w:r>
      <w:r w:rsidR="0035191E" w:rsidRPr="00086C49">
        <w:rPr>
          <w:rFonts w:ascii="Times New Roman" w:hAnsi="Times New Roman" w:cs="Times New Roman"/>
          <w:i/>
          <w:sz w:val="24"/>
          <w:szCs w:val="24"/>
        </w:rPr>
        <w:t>a quo</w:t>
      </w:r>
      <w:r w:rsidR="0035191E" w:rsidRPr="00086C49">
        <w:rPr>
          <w:rFonts w:ascii="Times New Roman" w:hAnsi="Times New Roman" w:cs="Times New Roman"/>
          <w:sz w:val="24"/>
          <w:szCs w:val="24"/>
        </w:rPr>
        <w:t xml:space="preserve">. Doing so would be missing one of the primary roles of </w:t>
      </w:r>
      <w:r w:rsidR="00D2002D" w:rsidRPr="00086C49">
        <w:rPr>
          <w:rFonts w:ascii="Times New Roman" w:hAnsi="Times New Roman" w:cs="Times New Roman"/>
          <w:sz w:val="24"/>
          <w:szCs w:val="24"/>
        </w:rPr>
        <w:t>an</w:t>
      </w:r>
      <w:r w:rsidR="0035191E" w:rsidRPr="00086C49">
        <w:rPr>
          <w:rFonts w:ascii="Times New Roman" w:hAnsi="Times New Roman" w:cs="Times New Roman"/>
          <w:sz w:val="24"/>
          <w:szCs w:val="24"/>
        </w:rPr>
        <w:t xml:space="preserve"> </w:t>
      </w:r>
      <w:r w:rsidR="001F45A7" w:rsidRPr="00086C49">
        <w:rPr>
          <w:rFonts w:ascii="Times New Roman" w:hAnsi="Times New Roman" w:cs="Times New Roman"/>
          <w:sz w:val="24"/>
          <w:szCs w:val="24"/>
        </w:rPr>
        <w:t>Appellate Court</w:t>
      </w:r>
      <w:r w:rsidR="0035191E" w:rsidRPr="00086C49">
        <w:rPr>
          <w:rFonts w:ascii="Times New Roman" w:hAnsi="Times New Roman" w:cs="Times New Roman"/>
          <w:sz w:val="24"/>
          <w:szCs w:val="24"/>
        </w:rPr>
        <w:t xml:space="preserve"> which requires it to </w:t>
      </w:r>
      <w:r w:rsidR="0035191E" w:rsidRPr="00086C49">
        <w:rPr>
          <w:rFonts w:ascii="Times New Roman" w:hAnsi="Times New Roman" w:cs="Times New Roman"/>
          <w:i/>
          <w:sz w:val="24"/>
          <w:szCs w:val="24"/>
        </w:rPr>
        <w:t>inter alia</w:t>
      </w:r>
      <w:r w:rsidR="0035191E" w:rsidRPr="00086C49">
        <w:rPr>
          <w:rFonts w:ascii="Times New Roman" w:hAnsi="Times New Roman" w:cs="Times New Roman"/>
          <w:sz w:val="24"/>
          <w:szCs w:val="24"/>
        </w:rPr>
        <w:t xml:space="preserve"> consider the thought processes which guided the court </w:t>
      </w:r>
      <w:r w:rsidR="0035191E" w:rsidRPr="00086C49">
        <w:rPr>
          <w:rFonts w:ascii="Times New Roman" w:hAnsi="Times New Roman" w:cs="Times New Roman"/>
          <w:i/>
          <w:sz w:val="24"/>
          <w:szCs w:val="24"/>
        </w:rPr>
        <w:t>a quo</w:t>
      </w:r>
      <w:r w:rsidR="0035191E" w:rsidRPr="00086C49">
        <w:rPr>
          <w:rFonts w:ascii="Times New Roman" w:hAnsi="Times New Roman" w:cs="Times New Roman"/>
          <w:sz w:val="24"/>
          <w:szCs w:val="24"/>
        </w:rPr>
        <w:t xml:space="preserve"> in its effort to arrive at an appropriate decision.</w:t>
      </w:r>
      <w:r w:rsidR="00D2002D" w:rsidRPr="00086C49">
        <w:rPr>
          <w:rFonts w:ascii="Times New Roman" w:hAnsi="Times New Roman" w:cs="Times New Roman"/>
          <w:sz w:val="24"/>
          <w:szCs w:val="24"/>
        </w:rPr>
        <w:t xml:space="preserve"> The decision of the </w:t>
      </w:r>
      <w:r w:rsidR="007207D6" w:rsidRPr="00086C49">
        <w:rPr>
          <w:rFonts w:ascii="Times New Roman" w:hAnsi="Times New Roman" w:cs="Times New Roman"/>
          <w:sz w:val="24"/>
          <w:szCs w:val="24"/>
        </w:rPr>
        <w:t xml:space="preserve">court </w:t>
      </w:r>
      <w:r w:rsidR="007207D6" w:rsidRPr="00086C49">
        <w:rPr>
          <w:rFonts w:ascii="Times New Roman" w:hAnsi="Times New Roman" w:cs="Times New Roman"/>
          <w:i/>
          <w:sz w:val="24"/>
          <w:szCs w:val="24"/>
        </w:rPr>
        <w:t>a quo</w:t>
      </w:r>
      <w:r w:rsidR="007207D6" w:rsidRPr="00086C49">
        <w:rPr>
          <w:rFonts w:ascii="Times New Roman" w:hAnsi="Times New Roman" w:cs="Times New Roman"/>
          <w:sz w:val="24"/>
          <w:szCs w:val="24"/>
        </w:rPr>
        <w:t xml:space="preserve"> must be well anchored to survive the </w:t>
      </w:r>
      <w:r w:rsidR="00D2002D" w:rsidRPr="00086C49">
        <w:rPr>
          <w:rFonts w:ascii="Times New Roman" w:hAnsi="Times New Roman" w:cs="Times New Roman"/>
          <w:sz w:val="24"/>
          <w:szCs w:val="24"/>
        </w:rPr>
        <w:t>scrutiny of t</w:t>
      </w:r>
      <w:r w:rsidR="00051D11" w:rsidRPr="00086C49">
        <w:rPr>
          <w:rFonts w:ascii="Times New Roman" w:hAnsi="Times New Roman" w:cs="Times New Roman"/>
          <w:sz w:val="24"/>
          <w:szCs w:val="24"/>
        </w:rPr>
        <w:t>he a</w:t>
      </w:r>
      <w:r w:rsidR="00D2002D" w:rsidRPr="00086C49">
        <w:rPr>
          <w:rFonts w:ascii="Times New Roman" w:hAnsi="Times New Roman" w:cs="Times New Roman"/>
          <w:sz w:val="24"/>
          <w:szCs w:val="24"/>
        </w:rPr>
        <w:t xml:space="preserve">ppellate </w:t>
      </w:r>
      <w:r w:rsidR="00B014AC">
        <w:rPr>
          <w:rFonts w:ascii="Times New Roman" w:hAnsi="Times New Roman" w:cs="Times New Roman"/>
          <w:sz w:val="24"/>
          <w:szCs w:val="24"/>
        </w:rPr>
        <w:t>c</w:t>
      </w:r>
      <w:r w:rsidR="00D2002D" w:rsidRPr="00086C49">
        <w:rPr>
          <w:rFonts w:ascii="Times New Roman" w:hAnsi="Times New Roman" w:cs="Times New Roman"/>
          <w:sz w:val="24"/>
          <w:szCs w:val="24"/>
        </w:rPr>
        <w:t>ourt</w:t>
      </w:r>
      <w:r w:rsidR="007207D6" w:rsidRPr="00086C49">
        <w:rPr>
          <w:rFonts w:ascii="Times New Roman" w:hAnsi="Times New Roman" w:cs="Times New Roman"/>
          <w:sz w:val="24"/>
          <w:szCs w:val="24"/>
        </w:rPr>
        <w:t>.</w:t>
      </w:r>
    </w:p>
    <w:p w:rsidR="00627E1C" w:rsidRPr="00086C49" w:rsidRDefault="00627E1C" w:rsidP="00943FBF">
      <w:pPr>
        <w:spacing w:after="0" w:line="480" w:lineRule="auto"/>
        <w:ind w:firstLine="1350"/>
        <w:jc w:val="both"/>
        <w:rPr>
          <w:rFonts w:ascii="Times New Roman" w:hAnsi="Times New Roman" w:cs="Times New Roman"/>
          <w:sz w:val="24"/>
          <w:szCs w:val="24"/>
        </w:rPr>
      </w:pPr>
    </w:p>
    <w:p w:rsidR="0090386D" w:rsidRPr="00086C49" w:rsidRDefault="0035191E" w:rsidP="00943FBF">
      <w:pPr>
        <w:spacing w:after="12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t xml:space="preserve">Secondly and equally important is that in </w:t>
      </w:r>
      <w:r w:rsidR="00561234" w:rsidRPr="00086C49">
        <w:rPr>
          <w:rFonts w:ascii="Times New Roman" w:hAnsi="Times New Roman" w:cs="Times New Roman"/>
          <w:sz w:val="24"/>
          <w:szCs w:val="24"/>
        </w:rPr>
        <w:t>my</w:t>
      </w:r>
      <w:r w:rsidRPr="00086C49">
        <w:rPr>
          <w:rFonts w:ascii="Times New Roman" w:hAnsi="Times New Roman" w:cs="Times New Roman"/>
          <w:sz w:val="24"/>
          <w:szCs w:val="24"/>
        </w:rPr>
        <w:t xml:space="preserve"> view</w:t>
      </w:r>
      <w:r w:rsidR="005762DA" w:rsidRPr="00086C49">
        <w:rPr>
          <w:rFonts w:ascii="Times New Roman" w:hAnsi="Times New Roman" w:cs="Times New Roman"/>
          <w:sz w:val="24"/>
          <w:szCs w:val="24"/>
        </w:rPr>
        <w:t>,</w:t>
      </w:r>
      <w:r w:rsidRPr="00086C49">
        <w:rPr>
          <w:rFonts w:ascii="Times New Roman" w:hAnsi="Times New Roman" w:cs="Times New Roman"/>
          <w:sz w:val="24"/>
          <w:szCs w:val="24"/>
        </w:rPr>
        <w:t xml:space="preserve"> it was wrong for the court </w:t>
      </w:r>
      <w:r w:rsidRPr="00086C49">
        <w:rPr>
          <w:rFonts w:ascii="Times New Roman" w:hAnsi="Times New Roman" w:cs="Times New Roman"/>
          <w:i/>
          <w:sz w:val="24"/>
          <w:szCs w:val="24"/>
        </w:rPr>
        <w:t>a quo</w:t>
      </w:r>
      <w:r w:rsidRPr="00086C49">
        <w:rPr>
          <w:rFonts w:ascii="Times New Roman" w:hAnsi="Times New Roman" w:cs="Times New Roman"/>
          <w:sz w:val="24"/>
          <w:szCs w:val="24"/>
        </w:rPr>
        <w:t xml:space="preserve"> to premise its decision on the basis of “an investigation report” instead</w:t>
      </w:r>
      <w:r w:rsidR="003233BB" w:rsidRPr="00086C49">
        <w:rPr>
          <w:rFonts w:ascii="Times New Roman" w:hAnsi="Times New Roman" w:cs="Times New Roman"/>
          <w:sz w:val="24"/>
          <w:szCs w:val="24"/>
        </w:rPr>
        <w:t xml:space="preserve"> of </w:t>
      </w:r>
      <w:r w:rsidR="00EC2373" w:rsidRPr="00086C49">
        <w:rPr>
          <w:rFonts w:ascii="Times New Roman" w:hAnsi="Times New Roman" w:cs="Times New Roman"/>
          <w:sz w:val="24"/>
          <w:szCs w:val="24"/>
        </w:rPr>
        <w:t xml:space="preserve">holistically looking at the evidence which included a written report made by the appellant. The court </w:t>
      </w:r>
      <w:r w:rsidR="005762DA" w:rsidRPr="00086C49">
        <w:rPr>
          <w:rFonts w:ascii="Times New Roman" w:hAnsi="Times New Roman" w:cs="Times New Roman"/>
          <w:i/>
          <w:sz w:val="24"/>
          <w:szCs w:val="24"/>
        </w:rPr>
        <w:t>a quo</w:t>
      </w:r>
      <w:r w:rsidR="005762DA" w:rsidRPr="00086C49">
        <w:rPr>
          <w:rFonts w:ascii="Times New Roman" w:hAnsi="Times New Roman" w:cs="Times New Roman"/>
          <w:sz w:val="24"/>
          <w:szCs w:val="24"/>
        </w:rPr>
        <w:t xml:space="preserve"> </w:t>
      </w:r>
      <w:r w:rsidR="00EC2373" w:rsidRPr="00086C49">
        <w:rPr>
          <w:rFonts w:ascii="Times New Roman" w:hAnsi="Times New Roman" w:cs="Times New Roman"/>
          <w:sz w:val="24"/>
          <w:szCs w:val="24"/>
        </w:rPr>
        <w:t xml:space="preserve">could not have just ignored that report without any reasonable justification or </w:t>
      </w:r>
      <w:r w:rsidR="00051D11" w:rsidRPr="00086C49">
        <w:rPr>
          <w:rFonts w:ascii="Times New Roman" w:hAnsi="Times New Roman" w:cs="Times New Roman"/>
          <w:sz w:val="24"/>
          <w:szCs w:val="24"/>
        </w:rPr>
        <w:t>pretend</w:t>
      </w:r>
      <w:r w:rsidR="00EC2373" w:rsidRPr="00086C49">
        <w:rPr>
          <w:rFonts w:ascii="Times New Roman" w:hAnsi="Times New Roman" w:cs="Times New Roman"/>
          <w:sz w:val="24"/>
          <w:szCs w:val="24"/>
        </w:rPr>
        <w:t xml:space="preserve"> that the report did not exist.</w:t>
      </w:r>
      <w:r w:rsidR="005762DA" w:rsidRPr="00086C49">
        <w:rPr>
          <w:rFonts w:ascii="Times New Roman" w:hAnsi="Times New Roman" w:cs="Times New Roman"/>
          <w:sz w:val="24"/>
          <w:szCs w:val="24"/>
        </w:rPr>
        <w:t xml:space="preserve"> </w:t>
      </w:r>
      <w:r w:rsidR="00EC2373" w:rsidRPr="00086C49">
        <w:rPr>
          <w:rFonts w:ascii="Times New Roman" w:hAnsi="Times New Roman" w:cs="Times New Roman"/>
          <w:sz w:val="24"/>
          <w:szCs w:val="24"/>
        </w:rPr>
        <w:t xml:space="preserve">As it turns out and contrary to </w:t>
      </w:r>
      <w:r w:rsidR="005762DA" w:rsidRPr="00086C49">
        <w:rPr>
          <w:rFonts w:ascii="Times New Roman" w:hAnsi="Times New Roman" w:cs="Times New Roman"/>
          <w:sz w:val="24"/>
          <w:szCs w:val="24"/>
        </w:rPr>
        <w:t xml:space="preserve">Mr </w:t>
      </w:r>
      <w:r w:rsidR="00EC2373" w:rsidRPr="00086C49">
        <w:rPr>
          <w:rFonts w:ascii="Times New Roman" w:hAnsi="Times New Roman" w:cs="Times New Roman"/>
          <w:i/>
          <w:sz w:val="24"/>
          <w:szCs w:val="24"/>
        </w:rPr>
        <w:t>Magwaliba</w:t>
      </w:r>
      <w:r w:rsidR="00EC2373" w:rsidRPr="00086C49">
        <w:rPr>
          <w:rFonts w:ascii="Times New Roman" w:hAnsi="Times New Roman" w:cs="Times New Roman"/>
          <w:sz w:val="24"/>
          <w:szCs w:val="24"/>
        </w:rPr>
        <w:t>’s submission</w:t>
      </w:r>
      <w:r w:rsidR="00A37715">
        <w:rPr>
          <w:rFonts w:ascii="Times New Roman" w:hAnsi="Times New Roman" w:cs="Times New Roman"/>
          <w:sz w:val="24"/>
          <w:szCs w:val="24"/>
        </w:rPr>
        <w:t>s</w:t>
      </w:r>
      <w:r w:rsidR="00EC2373" w:rsidRPr="00086C49">
        <w:rPr>
          <w:rFonts w:ascii="Times New Roman" w:hAnsi="Times New Roman" w:cs="Times New Roman"/>
          <w:sz w:val="24"/>
          <w:szCs w:val="24"/>
        </w:rPr>
        <w:t xml:space="preserve"> that the appellant did not explain why he was given the money, the appellant in fact explained everything in his report. The appellant’s report was as follow</w:t>
      </w:r>
      <w:r w:rsidR="009A2422" w:rsidRPr="00086C49">
        <w:rPr>
          <w:rFonts w:ascii="Times New Roman" w:hAnsi="Times New Roman" w:cs="Times New Roman"/>
          <w:sz w:val="24"/>
          <w:szCs w:val="24"/>
        </w:rPr>
        <w:t>s:</w:t>
      </w:r>
    </w:p>
    <w:p w:rsidR="009A2422" w:rsidRPr="00086C49" w:rsidRDefault="00F1395C" w:rsidP="00086C49">
      <w:pPr>
        <w:spacing w:after="0" w:line="240" w:lineRule="auto"/>
        <w:ind w:left="720"/>
        <w:jc w:val="both"/>
        <w:rPr>
          <w:rFonts w:ascii="Times New Roman" w:hAnsi="Times New Roman" w:cs="Times New Roman"/>
          <w:sz w:val="24"/>
          <w:szCs w:val="24"/>
        </w:rPr>
      </w:pPr>
      <w:r w:rsidRPr="00086C49">
        <w:rPr>
          <w:rFonts w:ascii="Times New Roman" w:hAnsi="Times New Roman" w:cs="Times New Roman"/>
          <w:sz w:val="24"/>
          <w:szCs w:val="24"/>
        </w:rPr>
        <w:t>“</w:t>
      </w:r>
      <w:r w:rsidR="009A2422" w:rsidRPr="00086C49">
        <w:rPr>
          <w:rFonts w:ascii="Times New Roman" w:hAnsi="Times New Roman" w:cs="Times New Roman"/>
          <w:sz w:val="24"/>
          <w:szCs w:val="24"/>
        </w:rPr>
        <w:t>On the day in question 26 August 2015 after the back doors for the bank closed doors for the clients and done with my balancing, Fortunate asked me to k</w:t>
      </w:r>
      <w:r w:rsidR="001F45A7" w:rsidRPr="00086C49">
        <w:rPr>
          <w:rFonts w:ascii="Times New Roman" w:hAnsi="Times New Roman" w:cs="Times New Roman"/>
          <w:sz w:val="24"/>
          <w:szCs w:val="24"/>
        </w:rPr>
        <w:t>eep his cash amounting to US$50.</w:t>
      </w:r>
      <w:r w:rsidR="009A2422" w:rsidRPr="00086C49">
        <w:rPr>
          <w:rFonts w:ascii="Times New Roman" w:hAnsi="Times New Roman" w:cs="Times New Roman"/>
          <w:sz w:val="24"/>
          <w:szCs w:val="24"/>
        </w:rPr>
        <w:t xml:space="preserve">00 for her which </w:t>
      </w:r>
      <w:r w:rsidR="00FE1751" w:rsidRPr="00086C49">
        <w:rPr>
          <w:rFonts w:ascii="Times New Roman" w:hAnsi="Times New Roman" w:cs="Times New Roman"/>
          <w:sz w:val="24"/>
          <w:szCs w:val="24"/>
        </w:rPr>
        <w:t xml:space="preserve">she was to collect later. To me there was nothing wrong or bad about it as she normally sells some </w:t>
      </w:r>
      <w:r w:rsidR="0090386D" w:rsidRPr="00086C49">
        <w:rPr>
          <w:rFonts w:ascii="Times New Roman" w:hAnsi="Times New Roman" w:cs="Times New Roman"/>
          <w:sz w:val="24"/>
          <w:szCs w:val="24"/>
        </w:rPr>
        <w:t>merchandise to</w:t>
      </w:r>
      <w:r w:rsidR="00FE1751" w:rsidRPr="00086C49">
        <w:rPr>
          <w:rFonts w:ascii="Times New Roman" w:hAnsi="Times New Roman" w:cs="Times New Roman"/>
          <w:sz w:val="24"/>
          <w:szCs w:val="24"/>
        </w:rPr>
        <w:t xml:space="preserve"> her clients. I immediately returned the money to her without taking it out. In all this I did not suspect of any wrong doing or bad intentions</w:t>
      </w:r>
      <w:r w:rsidRPr="00086C49">
        <w:rPr>
          <w:rFonts w:ascii="Times New Roman" w:hAnsi="Times New Roman" w:cs="Times New Roman"/>
          <w:sz w:val="24"/>
          <w:szCs w:val="24"/>
        </w:rPr>
        <w:t>…”</w:t>
      </w:r>
      <w:r w:rsidR="00015BE1" w:rsidRPr="00086C49">
        <w:rPr>
          <w:rFonts w:ascii="Times New Roman" w:hAnsi="Times New Roman" w:cs="Times New Roman"/>
          <w:sz w:val="24"/>
          <w:szCs w:val="24"/>
        </w:rPr>
        <w:t xml:space="preserve"> (</w:t>
      </w:r>
      <w:r w:rsidR="00015BE1" w:rsidRPr="00086C49">
        <w:rPr>
          <w:rFonts w:ascii="Times New Roman" w:hAnsi="Times New Roman" w:cs="Times New Roman"/>
          <w:i/>
          <w:sz w:val="24"/>
          <w:szCs w:val="24"/>
        </w:rPr>
        <w:t>sic</w:t>
      </w:r>
      <w:r w:rsidR="00015BE1" w:rsidRPr="00086C49">
        <w:rPr>
          <w:rFonts w:ascii="Times New Roman" w:hAnsi="Times New Roman" w:cs="Times New Roman"/>
          <w:sz w:val="24"/>
          <w:szCs w:val="24"/>
        </w:rPr>
        <w:t>)</w:t>
      </w:r>
    </w:p>
    <w:p w:rsidR="003233BB" w:rsidRPr="00086C49" w:rsidRDefault="003233BB" w:rsidP="00086C49">
      <w:pPr>
        <w:spacing w:after="0" w:line="240" w:lineRule="auto"/>
        <w:ind w:left="720"/>
        <w:jc w:val="both"/>
        <w:rPr>
          <w:rFonts w:ascii="Times New Roman" w:hAnsi="Times New Roman" w:cs="Times New Roman"/>
          <w:sz w:val="24"/>
          <w:szCs w:val="24"/>
        </w:rPr>
      </w:pPr>
    </w:p>
    <w:p w:rsidR="0090386D" w:rsidRPr="00086C49" w:rsidRDefault="0090386D" w:rsidP="00086C49">
      <w:pPr>
        <w:spacing w:after="0" w:line="480" w:lineRule="auto"/>
        <w:ind w:firstLine="1440"/>
        <w:jc w:val="both"/>
        <w:rPr>
          <w:rFonts w:ascii="Times New Roman" w:hAnsi="Times New Roman" w:cs="Times New Roman"/>
          <w:sz w:val="24"/>
          <w:szCs w:val="24"/>
        </w:rPr>
      </w:pPr>
    </w:p>
    <w:p w:rsidR="00FE1751" w:rsidRPr="00086C49" w:rsidRDefault="00FE1751" w:rsidP="00086C49">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t>It is therefore not true that the appellant did not give a reasonable explanation for getting the money from the principal offender. It is clearly an exaggeration to say that the appellant should have been suspicious of the conduct of the principal offender to</w:t>
      </w:r>
      <w:r w:rsidR="0090386D" w:rsidRPr="00086C49">
        <w:rPr>
          <w:rFonts w:ascii="Times New Roman" w:hAnsi="Times New Roman" w:cs="Times New Roman"/>
          <w:sz w:val="24"/>
          <w:szCs w:val="24"/>
        </w:rPr>
        <w:t xml:space="preserve"> </w:t>
      </w:r>
      <w:r w:rsidRPr="00086C49">
        <w:rPr>
          <w:rFonts w:ascii="Times New Roman" w:hAnsi="Times New Roman" w:cs="Times New Roman"/>
          <w:sz w:val="24"/>
          <w:szCs w:val="24"/>
        </w:rPr>
        <w:t xml:space="preserve">exchange money with the </w:t>
      </w:r>
      <w:r w:rsidRPr="00086C49">
        <w:rPr>
          <w:rFonts w:ascii="Times New Roman" w:hAnsi="Times New Roman" w:cs="Times New Roman"/>
          <w:sz w:val="24"/>
          <w:szCs w:val="24"/>
        </w:rPr>
        <w:lastRenderedPageBreak/>
        <w:t>appellant</w:t>
      </w:r>
      <w:r w:rsidR="0090386D" w:rsidRPr="00086C49">
        <w:rPr>
          <w:rFonts w:ascii="Times New Roman" w:hAnsi="Times New Roman" w:cs="Times New Roman"/>
          <w:sz w:val="24"/>
          <w:szCs w:val="24"/>
        </w:rPr>
        <w:t xml:space="preserve"> </w:t>
      </w:r>
      <w:r w:rsidRPr="00086C49">
        <w:rPr>
          <w:rFonts w:ascii="Times New Roman" w:hAnsi="Times New Roman" w:cs="Times New Roman"/>
          <w:sz w:val="24"/>
          <w:szCs w:val="24"/>
        </w:rPr>
        <w:t xml:space="preserve">when this conduct was not </w:t>
      </w:r>
      <w:r w:rsidR="0090386D" w:rsidRPr="00086C49">
        <w:rPr>
          <w:rFonts w:ascii="Times New Roman" w:hAnsi="Times New Roman" w:cs="Times New Roman"/>
          <w:sz w:val="24"/>
          <w:szCs w:val="24"/>
        </w:rPr>
        <w:t>forbidden</w:t>
      </w:r>
      <w:r w:rsidRPr="00086C49">
        <w:rPr>
          <w:rFonts w:ascii="Times New Roman" w:hAnsi="Times New Roman" w:cs="Times New Roman"/>
          <w:sz w:val="24"/>
          <w:szCs w:val="24"/>
        </w:rPr>
        <w:t xml:space="preserve"> by the respondent. </w:t>
      </w:r>
      <w:r w:rsidR="001F45A7" w:rsidRPr="00086C49">
        <w:rPr>
          <w:rFonts w:ascii="Times New Roman" w:hAnsi="Times New Roman" w:cs="Times New Roman"/>
          <w:sz w:val="24"/>
          <w:szCs w:val="24"/>
        </w:rPr>
        <w:t xml:space="preserve">In </w:t>
      </w:r>
      <w:r w:rsidR="00561234" w:rsidRPr="00086C49">
        <w:rPr>
          <w:rFonts w:ascii="Times New Roman" w:hAnsi="Times New Roman" w:cs="Times New Roman"/>
          <w:sz w:val="24"/>
          <w:szCs w:val="24"/>
        </w:rPr>
        <w:t>my</w:t>
      </w:r>
      <w:r w:rsidRPr="00086C49">
        <w:rPr>
          <w:rFonts w:ascii="Times New Roman" w:hAnsi="Times New Roman" w:cs="Times New Roman"/>
          <w:sz w:val="24"/>
          <w:szCs w:val="24"/>
        </w:rPr>
        <w:t xml:space="preserve"> view the explanation</w:t>
      </w:r>
      <w:r w:rsidR="0090386D" w:rsidRPr="00086C49">
        <w:rPr>
          <w:rFonts w:ascii="Times New Roman" w:hAnsi="Times New Roman" w:cs="Times New Roman"/>
          <w:sz w:val="24"/>
          <w:szCs w:val="24"/>
        </w:rPr>
        <w:t xml:space="preserve"> </w:t>
      </w:r>
      <w:r w:rsidRPr="00086C49">
        <w:rPr>
          <w:rFonts w:ascii="Times New Roman" w:hAnsi="Times New Roman" w:cs="Times New Roman"/>
          <w:sz w:val="24"/>
          <w:szCs w:val="24"/>
        </w:rPr>
        <w:t xml:space="preserve">given </w:t>
      </w:r>
      <w:r w:rsidR="00F1395C" w:rsidRPr="00086C49">
        <w:rPr>
          <w:rFonts w:ascii="Times New Roman" w:hAnsi="Times New Roman" w:cs="Times New Roman"/>
          <w:sz w:val="24"/>
          <w:szCs w:val="24"/>
        </w:rPr>
        <w:t>by the appellant was reasonable.</w:t>
      </w:r>
      <w:r w:rsidRPr="00086C49">
        <w:rPr>
          <w:rFonts w:ascii="Times New Roman" w:hAnsi="Times New Roman" w:cs="Times New Roman"/>
          <w:sz w:val="24"/>
          <w:szCs w:val="24"/>
        </w:rPr>
        <w:t xml:space="preserve"> </w:t>
      </w:r>
      <w:r w:rsidR="00F1395C" w:rsidRPr="00086C49">
        <w:rPr>
          <w:rFonts w:ascii="Times New Roman" w:hAnsi="Times New Roman" w:cs="Times New Roman"/>
          <w:sz w:val="24"/>
          <w:szCs w:val="24"/>
        </w:rPr>
        <w:t>W</w:t>
      </w:r>
      <w:r w:rsidRPr="00086C49">
        <w:rPr>
          <w:rFonts w:ascii="Times New Roman" w:hAnsi="Times New Roman" w:cs="Times New Roman"/>
          <w:sz w:val="24"/>
          <w:szCs w:val="24"/>
        </w:rPr>
        <w:t>hat stands out most</w:t>
      </w:r>
      <w:r w:rsidR="0090386D" w:rsidRPr="00086C49">
        <w:rPr>
          <w:rFonts w:ascii="Times New Roman" w:hAnsi="Times New Roman" w:cs="Times New Roman"/>
          <w:sz w:val="24"/>
          <w:szCs w:val="24"/>
        </w:rPr>
        <w:t xml:space="preserve"> </w:t>
      </w:r>
      <w:r w:rsidRPr="00086C49">
        <w:rPr>
          <w:rFonts w:ascii="Times New Roman" w:hAnsi="Times New Roman" w:cs="Times New Roman"/>
          <w:sz w:val="24"/>
          <w:szCs w:val="24"/>
        </w:rPr>
        <w:t xml:space="preserve">in the </w:t>
      </w:r>
      <w:r w:rsidR="0090386D" w:rsidRPr="00086C49">
        <w:rPr>
          <w:rFonts w:ascii="Times New Roman" w:hAnsi="Times New Roman" w:cs="Times New Roman"/>
          <w:sz w:val="24"/>
          <w:szCs w:val="24"/>
        </w:rPr>
        <w:t>appellant’s</w:t>
      </w:r>
      <w:r w:rsidRPr="00086C49">
        <w:rPr>
          <w:rFonts w:ascii="Times New Roman" w:hAnsi="Times New Roman" w:cs="Times New Roman"/>
          <w:sz w:val="24"/>
          <w:szCs w:val="24"/>
        </w:rPr>
        <w:t xml:space="preserve"> report which the court </w:t>
      </w:r>
      <w:r w:rsidRPr="00086C49">
        <w:rPr>
          <w:rFonts w:ascii="Times New Roman" w:hAnsi="Times New Roman" w:cs="Times New Roman"/>
          <w:i/>
          <w:sz w:val="24"/>
          <w:szCs w:val="24"/>
        </w:rPr>
        <w:t>a quo</w:t>
      </w:r>
      <w:r w:rsidRPr="00086C49">
        <w:rPr>
          <w:rFonts w:ascii="Times New Roman" w:hAnsi="Times New Roman" w:cs="Times New Roman"/>
          <w:sz w:val="24"/>
          <w:szCs w:val="24"/>
        </w:rPr>
        <w:t xml:space="preserve"> completely ignored is the fact that at the time </w:t>
      </w:r>
      <w:r w:rsidR="00F1395C" w:rsidRPr="00086C49">
        <w:rPr>
          <w:rFonts w:ascii="Times New Roman" w:hAnsi="Times New Roman" w:cs="Times New Roman"/>
          <w:sz w:val="24"/>
          <w:szCs w:val="24"/>
        </w:rPr>
        <w:t>t</w:t>
      </w:r>
      <w:r w:rsidRPr="00086C49">
        <w:rPr>
          <w:rFonts w:ascii="Times New Roman" w:hAnsi="Times New Roman" w:cs="Times New Roman"/>
          <w:sz w:val="24"/>
          <w:szCs w:val="24"/>
        </w:rPr>
        <w:t xml:space="preserve">he </w:t>
      </w:r>
      <w:r w:rsidR="00F1395C" w:rsidRPr="00086C49">
        <w:rPr>
          <w:rFonts w:ascii="Times New Roman" w:hAnsi="Times New Roman" w:cs="Times New Roman"/>
          <w:sz w:val="24"/>
          <w:szCs w:val="24"/>
        </w:rPr>
        <w:t xml:space="preserve">appellant </w:t>
      </w:r>
      <w:r w:rsidRPr="00086C49">
        <w:rPr>
          <w:rFonts w:ascii="Times New Roman" w:hAnsi="Times New Roman" w:cs="Times New Roman"/>
          <w:sz w:val="24"/>
          <w:szCs w:val="24"/>
        </w:rPr>
        <w:t>was</w:t>
      </w:r>
      <w:r w:rsidR="00F1395C" w:rsidRPr="00086C49">
        <w:rPr>
          <w:rFonts w:ascii="Times New Roman" w:hAnsi="Times New Roman" w:cs="Times New Roman"/>
          <w:sz w:val="24"/>
          <w:szCs w:val="24"/>
        </w:rPr>
        <w:t xml:space="preserve"> given the money by the principal</w:t>
      </w:r>
      <w:r w:rsidRPr="00086C49">
        <w:rPr>
          <w:rFonts w:ascii="Times New Roman" w:hAnsi="Times New Roman" w:cs="Times New Roman"/>
          <w:sz w:val="24"/>
          <w:szCs w:val="24"/>
        </w:rPr>
        <w:t xml:space="preserve"> offender, the appellant was unaware that the principal of</w:t>
      </w:r>
      <w:r w:rsidR="001F45A7" w:rsidRPr="00086C49">
        <w:rPr>
          <w:rFonts w:ascii="Times New Roman" w:hAnsi="Times New Roman" w:cs="Times New Roman"/>
          <w:sz w:val="24"/>
          <w:szCs w:val="24"/>
        </w:rPr>
        <w:t xml:space="preserve">fender had </w:t>
      </w:r>
      <w:r w:rsidR="000E5F78" w:rsidRPr="00086C49">
        <w:rPr>
          <w:rFonts w:ascii="Times New Roman" w:hAnsi="Times New Roman" w:cs="Times New Roman"/>
          <w:sz w:val="24"/>
          <w:szCs w:val="24"/>
        </w:rPr>
        <w:t xml:space="preserve">either unlawfully taken the money or created </w:t>
      </w:r>
      <w:r w:rsidR="001F45A7" w:rsidRPr="00086C49">
        <w:rPr>
          <w:rFonts w:ascii="Times New Roman" w:hAnsi="Times New Roman" w:cs="Times New Roman"/>
          <w:sz w:val="24"/>
          <w:szCs w:val="24"/>
        </w:rPr>
        <w:t>a shortfall of US$40.</w:t>
      </w:r>
      <w:r w:rsidRPr="00086C49">
        <w:rPr>
          <w:rFonts w:ascii="Times New Roman" w:hAnsi="Times New Roman" w:cs="Times New Roman"/>
          <w:sz w:val="24"/>
          <w:szCs w:val="24"/>
        </w:rPr>
        <w:t>00 in her balancing exercise.</w:t>
      </w:r>
    </w:p>
    <w:p w:rsidR="0090386D" w:rsidRPr="00086C49" w:rsidRDefault="0090386D" w:rsidP="00086C49">
      <w:pPr>
        <w:spacing w:after="0" w:line="480" w:lineRule="auto"/>
        <w:ind w:firstLine="1440"/>
        <w:jc w:val="both"/>
        <w:rPr>
          <w:rFonts w:ascii="Times New Roman" w:hAnsi="Times New Roman" w:cs="Times New Roman"/>
          <w:sz w:val="24"/>
          <w:szCs w:val="24"/>
        </w:rPr>
      </w:pPr>
    </w:p>
    <w:p w:rsidR="00FE1751" w:rsidRPr="00086C49" w:rsidRDefault="00FE1751" w:rsidP="00086C49">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t>The evidence presented shows that the shortfall was only discove</w:t>
      </w:r>
      <w:r w:rsidR="001F45A7" w:rsidRPr="00086C49">
        <w:rPr>
          <w:rFonts w:ascii="Times New Roman" w:hAnsi="Times New Roman" w:cs="Times New Roman"/>
          <w:sz w:val="24"/>
          <w:szCs w:val="24"/>
        </w:rPr>
        <w:t>red two days after the money had</w:t>
      </w:r>
      <w:r w:rsidRPr="00086C49">
        <w:rPr>
          <w:rFonts w:ascii="Times New Roman" w:hAnsi="Times New Roman" w:cs="Times New Roman"/>
          <w:sz w:val="24"/>
          <w:szCs w:val="24"/>
        </w:rPr>
        <w:t xml:space="preserve"> exchanged hands between the appellant and the principal offender. The </w:t>
      </w:r>
      <w:r w:rsidR="00FE4E9B" w:rsidRPr="00086C49">
        <w:rPr>
          <w:rFonts w:ascii="Times New Roman" w:hAnsi="Times New Roman" w:cs="Times New Roman"/>
          <w:sz w:val="24"/>
          <w:szCs w:val="24"/>
        </w:rPr>
        <w:t>appellant</w:t>
      </w:r>
      <w:r w:rsidRPr="00086C49">
        <w:rPr>
          <w:rFonts w:ascii="Times New Roman" w:hAnsi="Times New Roman" w:cs="Times New Roman"/>
          <w:sz w:val="24"/>
          <w:szCs w:val="24"/>
        </w:rPr>
        <w:t xml:space="preserve"> could not possibly have been expected to “speak up” on a suspicion which he was not aware of. The guilt of the appellant could only have been inferred if he was aware of the supposedly criminal or civil liability of the principal offender at the time the </w:t>
      </w:r>
      <w:r w:rsidR="00FE4E9B" w:rsidRPr="00086C49">
        <w:rPr>
          <w:rFonts w:ascii="Times New Roman" w:hAnsi="Times New Roman" w:cs="Times New Roman"/>
          <w:sz w:val="24"/>
          <w:szCs w:val="24"/>
        </w:rPr>
        <w:t>money changed</w:t>
      </w:r>
      <w:r w:rsidRPr="00086C49">
        <w:rPr>
          <w:rFonts w:ascii="Times New Roman" w:hAnsi="Times New Roman" w:cs="Times New Roman"/>
          <w:sz w:val="24"/>
          <w:szCs w:val="24"/>
        </w:rPr>
        <w:t xml:space="preserve"> hands. Whichever way one looks at this cas</w:t>
      </w:r>
      <w:r w:rsidR="00FE4E9B" w:rsidRPr="00086C49">
        <w:rPr>
          <w:rFonts w:ascii="Times New Roman" w:hAnsi="Times New Roman" w:cs="Times New Roman"/>
          <w:sz w:val="24"/>
          <w:szCs w:val="24"/>
        </w:rPr>
        <w:t xml:space="preserve">e, it is clear that the court </w:t>
      </w:r>
      <w:r w:rsidR="00FE4E9B" w:rsidRPr="00086C49">
        <w:rPr>
          <w:rFonts w:ascii="Times New Roman" w:hAnsi="Times New Roman" w:cs="Times New Roman"/>
          <w:i/>
          <w:sz w:val="24"/>
          <w:szCs w:val="24"/>
        </w:rPr>
        <w:t>a quo</w:t>
      </w:r>
      <w:r w:rsidR="00FE4E9B" w:rsidRPr="00086C49">
        <w:rPr>
          <w:rFonts w:ascii="Times New Roman" w:hAnsi="Times New Roman" w:cs="Times New Roman"/>
          <w:sz w:val="24"/>
          <w:szCs w:val="24"/>
        </w:rPr>
        <w:t xml:space="preserve"> made an erroneous factual finding which informed its decision against the appellant as demonstrated above.</w:t>
      </w:r>
    </w:p>
    <w:p w:rsidR="0090386D" w:rsidRPr="00086C49" w:rsidRDefault="0090386D" w:rsidP="00086C49">
      <w:pPr>
        <w:spacing w:after="0" w:line="480" w:lineRule="auto"/>
        <w:ind w:firstLine="1440"/>
        <w:jc w:val="both"/>
        <w:rPr>
          <w:rFonts w:ascii="Times New Roman" w:hAnsi="Times New Roman" w:cs="Times New Roman"/>
          <w:sz w:val="24"/>
          <w:szCs w:val="24"/>
        </w:rPr>
      </w:pPr>
    </w:p>
    <w:p w:rsidR="00FE4E9B" w:rsidRPr="00086C49" w:rsidRDefault="00FE4E9B" w:rsidP="00086C49">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t xml:space="preserve">Secondly, in coming to the conclusion as it did, the court </w:t>
      </w:r>
      <w:r w:rsidRPr="00086C49">
        <w:rPr>
          <w:rFonts w:ascii="Times New Roman" w:hAnsi="Times New Roman" w:cs="Times New Roman"/>
          <w:i/>
          <w:sz w:val="24"/>
          <w:szCs w:val="24"/>
        </w:rPr>
        <w:t>a quo</w:t>
      </w:r>
      <w:r w:rsidRPr="00086C49">
        <w:rPr>
          <w:rFonts w:ascii="Times New Roman" w:hAnsi="Times New Roman" w:cs="Times New Roman"/>
          <w:sz w:val="24"/>
          <w:szCs w:val="24"/>
        </w:rPr>
        <w:t xml:space="preserve"> further misdirected itself by relying on the “investigation report”, compiled by the respondent and completely overlooked the written report compiled by the appellant which spoke to his innocence and was at </w:t>
      </w:r>
      <w:r w:rsidR="00561234" w:rsidRPr="00086C49">
        <w:rPr>
          <w:rFonts w:ascii="Times New Roman" w:hAnsi="Times New Roman" w:cs="Times New Roman"/>
          <w:sz w:val="24"/>
          <w:szCs w:val="24"/>
        </w:rPr>
        <w:t xml:space="preserve">a </w:t>
      </w:r>
      <w:r w:rsidRPr="00086C49">
        <w:rPr>
          <w:rFonts w:ascii="Times New Roman" w:hAnsi="Times New Roman" w:cs="Times New Roman"/>
          <w:sz w:val="24"/>
          <w:szCs w:val="24"/>
        </w:rPr>
        <w:t>tangent with the report.</w:t>
      </w:r>
    </w:p>
    <w:p w:rsidR="0090386D" w:rsidRDefault="0090386D" w:rsidP="00086C49">
      <w:pPr>
        <w:spacing w:after="0" w:line="480" w:lineRule="auto"/>
        <w:ind w:firstLine="1440"/>
        <w:jc w:val="both"/>
        <w:rPr>
          <w:rFonts w:ascii="Times New Roman" w:hAnsi="Times New Roman" w:cs="Times New Roman"/>
          <w:sz w:val="24"/>
          <w:szCs w:val="24"/>
        </w:rPr>
      </w:pPr>
    </w:p>
    <w:p w:rsidR="002E6689" w:rsidRPr="00086C49" w:rsidRDefault="002E6689" w:rsidP="00086C49">
      <w:pPr>
        <w:spacing w:after="0" w:line="480" w:lineRule="auto"/>
        <w:ind w:firstLine="1440"/>
        <w:jc w:val="both"/>
        <w:rPr>
          <w:rFonts w:ascii="Times New Roman" w:hAnsi="Times New Roman" w:cs="Times New Roman"/>
          <w:sz w:val="24"/>
          <w:szCs w:val="24"/>
        </w:rPr>
      </w:pPr>
    </w:p>
    <w:p w:rsidR="00FE4E9B" w:rsidRPr="00086C49" w:rsidRDefault="00FE4E9B" w:rsidP="00086C49">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lastRenderedPageBreak/>
        <w:t xml:space="preserve">It must be this analogous situation which </w:t>
      </w:r>
      <w:r w:rsidR="00051D11" w:rsidRPr="00086C49">
        <w:rPr>
          <w:rFonts w:ascii="Times New Roman" w:hAnsi="Times New Roman" w:cs="Times New Roman"/>
          <w:sz w:val="24"/>
          <w:szCs w:val="24"/>
        </w:rPr>
        <w:t>GUBBAY</w:t>
      </w:r>
      <w:r w:rsidRPr="00086C49">
        <w:rPr>
          <w:rFonts w:ascii="Times New Roman" w:hAnsi="Times New Roman" w:cs="Times New Roman"/>
          <w:sz w:val="24"/>
          <w:szCs w:val="24"/>
        </w:rPr>
        <w:t xml:space="preserve"> CJ</w:t>
      </w:r>
      <w:r w:rsidR="001F45A7" w:rsidRPr="00086C49">
        <w:rPr>
          <w:rFonts w:ascii="Times New Roman" w:hAnsi="Times New Roman" w:cs="Times New Roman"/>
          <w:sz w:val="24"/>
          <w:szCs w:val="24"/>
        </w:rPr>
        <w:t>,</w:t>
      </w:r>
      <w:r w:rsidRPr="00086C49">
        <w:rPr>
          <w:rFonts w:ascii="Times New Roman" w:hAnsi="Times New Roman" w:cs="Times New Roman"/>
          <w:sz w:val="24"/>
          <w:szCs w:val="24"/>
        </w:rPr>
        <w:t xml:space="preserve"> had in mind when he remarked in the case of </w:t>
      </w:r>
      <w:r w:rsidRPr="00086C49">
        <w:rPr>
          <w:rFonts w:ascii="Times New Roman" w:hAnsi="Times New Roman" w:cs="Times New Roman"/>
          <w:i/>
          <w:sz w:val="24"/>
          <w:szCs w:val="24"/>
        </w:rPr>
        <w:t>Barros &amp; Anor vs Chimphonda</w:t>
      </w:r>
      <w:r w:rsidR="00015BE1" w:rsidRPr="00086C49">
        <w:rPr>
          <w:rStyle w:val="FootnoteReference"/>
          <w:rFonts w:ascii="Times New Roman" w:hAnsi="Times New Roman" w:cs="Times New Roman"/>
          <w:i/>
          <w:sz w:val="24"/>
          <w:szCs w:val="24"/>
        </w:rPr>
        <w:footnoteReference w:id="7"/>
      </w:r>
      <w:r w:rsidRPr="00086C49">
        <w:rPr>
          <w:rFonts w:ascii="Times New Roman" w:hAnsi="Times New Roman" w:cs="Times New Roman"/>
          <w:sz w:val="24"/>
          <w:szCs w:val="24"/>
        </w:rPr>
        <w:t xml:space="preserve"> as follows: -</w:t>
      </w:r>
    </w:p>
    <w:p w:rsidR="00FE4E9B" w:rsidRPr="00086C49" w:rsidRDefault="000E5F78" w:rsidP="00086C49">
      <w:pPr>
        <w:spacing w:after="0" w:line="240" w:lineRule="auto"/>
        <w:ind w:left="1440"/>
        <w:jc w:val="both"/>
        <w:rPr>
          <w:rFonts w:ascii="Times New Roman" w:hAnsi="Times New Roman" w:cs="Times New Roman"/>
          <w:sz w:val="24"/>
          <w:szCs w:val="24"/>
        </w:rPr>
      </w:pPr>
      <w:r w:rsidRPr="00086C49">
        <w:rPr>
          <w:rFonts w:ascii="Times New Roman" w:hAnsi="Times New Roman" w:cs="Times New Roman"/>
          <w:sz w:val="24"/>
          <w:szCs w:val="24"/>
        </w:rPr>
        <w:t>“…I</w:t>
      </w:r>
      <w:r w:rsidR="00FE4E9B" w:rsidRPr="00086C49">
        <w:rPr>
          <w:rFonts w:ascii="Times New Roman" w:hAnsi="Times New Roman" w:cs="Times New Roman"/>
          <w:sz w:val="24"/>
          <w:szCs w:val="24"/>
        </w:rPr>
        <w:t xml:space="preserve">t must appear that some error has been made in exercising the discretion. If the primary court acts </w:t>
      </w:r>
      <w:r w:rsidR="00561234" w:rsidRPr="00086C49">
        <w:rPr>
          <w:rFonts w:ascii="Times New Roman" w:hAnsi="Times New Roman" w:cs="Times New Roman"/>
          <w:sz w:val="24"/>
          <w:szCs w:val="24"/>
        </w:rPr>
        <w:t>upon</w:t>
      </w:r>
      <w:r w:rsidRPr="00086C49">
        <w:rPr>
          <w:rFonts w:ascii="Times New Roman" w:hAnsi="Times New Roman" w:cs="Times New Roman"/>
          <w:sz w:val="24"/>
          <w:szCs w:val="24"/>
        </w:rPr>
        <w:t xml:space="preserve"> </w:t>
      </w:r>
      <w:r w:rsidR="00FE4E9B" w:rsidRPr="00086C49">
        <w:rPr>
          <w:rFonts w:ascii="Times New Roman" w:hAnsi="Times New Roman" w:cs="Times New Roman"/>
          <w:sz w:val="24"/>
          <w:szCs w:val="24"/>
        </w:rPr>
        <w:t xml:space="preserve">a wrong principle, if it allows extraneous or irrelevant matters to guide or affect it, if it </w:t>
      </w:r>
      <w:r w:rsidR="001F45A7" w:rsidRPr="00086C49">
        <w:rPr>
          <w:rFonts w:ascii="Times New Roman" w:hAnsi="Times New Roman" w:cs="Times New Roman"/>
          <w:sz w:val="24"/>
          <w:szCs w:val="24"/>
        </w:rPr>
        <w:t>mistakes</w:t>
      </w:r>
      <w:r w:rsidR="00FE4E9B" w:rsidRPr="00086C49">
        <w:rPr>
          <w:rFonts w:ascii="Times New Roman" w:hAnsi="Times New Roman" w:cs="Times New Roman"/>
          <w:sz w:val="24"/>
          <w:szCs w:val="24"/>
        </w:rPr>
        <w:t xml:space="preserve"> the facts, if it does not take into account rele</w:t>
      </w:r>
      <w:r w:rsidR="008C188C">
        <w:rPr>
          <w:rFonts w:ascii="Times New Roman" w:hAnsi="Times New Roman" w:cs="Times New Roman"/>
          <w:sz w:val="24"/>
          <w:szCs w:val="24"/>
        </w:rPr>
        <w:t>vant sa</w:t>
      </w:r>
      <w:r w:rsidR="00FE4E9B" w:rsidRPr="00086C49">
        <w:rPr>
          <w:rFonts w:ascii="Times New Roman" w:hAnsi="Times New Roman" w:cs="Times New Roman"/>
          <w:sz w:val="24"/>
          <w:szCs w:val="24"/>
        </w:rPr>
        <w:t xml:space="preserve">me consideration, then its determination should be reviewed and the </w:t>
      </w:r>
      <w:r w:rsidRPr="00086C49">
        <w:rPr>
          <w:rFonts w:ascii="Times New Roman" w:hAnsi="Times New Roman" w:cs="Times New Roman"/>
          <w:sz w:val="24"/>
          <w:szCs w:val="24"/>
        </w:rPr>
        <w:t>appellate c</w:t>
      </w:r>
      <w:r w:rsidR="001F45A7" w:rsidRPr="00086C49">
        <w:rPr>
          <w:rFonts w:ascii="Times New Roman" w:hAnsi="Times New Roman" w:cs="Times New Roman"/>
          <w:sz w:val="24"/>
          <w:szCs w:val="24"/>
        </w:rPr>
        <w:t xml:space="preserve">ourt </w:t>
      </w:r>
      <w:r w:rsidR="00FE4E9B" w:rsidRPr="00086C49">
        <w:rPr>
          <w:rFonts w:ascii="Times New Roman" w:hAnsi="Times New Roman" w:cs="Times New Roman"/>
          <w:sz w:val="24"/>
          <w:szCs w:val="24"/>
        </w:rPr>
        <w:t>may exercise its own discretion in substitution</w:t>
      </w:r>
      <w:r w:rsidRPr="00086C49">
        <w:rPr>
          <w:rFonts w:ascii="Times New Roman" w:hAnsi="Times New Roman" w:cs="Times New Roman"/>
          <w:sz w:val="24"/>
          <w:szCs w:val="24"/>
        </w:rPr>
        <w:t>,</w:t>
      </w:r>
      <w:r w:rsidR="00FE4E9B" w:rsidRPr="00086C49">
        <w:rPr>
          <w:rFonts w:ascii="Times New Roman" w:hAnsi="Times New Roman" w:cs="Times New Roman"/>
          <w:sz w:val="24"/>
          <w:szCs w:val="24"/>
        </w:rPr>
        <w:t xml:space="preserve"> provided always</w:t>
      </w:r>
      <w:r w:rsidRPr="00086C49">
        <w:rPr>
          <w:rFonts w:ascii="Times New Roman" w:hAnsi="Times New Roman" w:cs="Times New Roman"/>
          <w:sz w:val="24"/>
          <w:szCs w:val="24"/>
        </w:rPr>
        <w:t xml:space="preserve"> it</w:t>
      </w:r>
      <w:r w:rsidR="00FE4E9B" w:rsidRPr="00086C49">
        <w:rPr>
          <w:rFonts w:ascii="Times New Roman" w:hAnsi="Times New Roman" w:cs="Times New Roman"/>
          <w:sz w:val="24"/>
          <w:szCs w:val="24"/>
        </w:rPr>
        <w:t xml:space="preserve"> has the materials for </w:t>
      </w:r>
      <w:r w:rsidRPr="00086C49">
        <w:rPr>
          <w:rFonts w:ascii="Times New Roman" w:hAnsi="Times New Roman" w:cs="Times New Roman"/>
          <w:sz w:val="24"/>
          <w:szCs w:val="24"/>
        </w:rPr>
        <w:t xml:space="preserve">so </w:t>
      </w:r>
      <w:r w:rsidR="00FE4E9B" w:rsidRPr="00086C49">
        <w:rPr>
          <w:rFonts w:ascii="Times New Roman" w:hAnsi="Times New Roman" w:cs="Times New Roman"/>
          <w:sz w:val="24"/>
          <w:szCs w:val="24"/>
        </w:rPr>
        <w:t>doing”</w:t>
      </w:r>
    </w:p>
    <w:p w:rsidR="0090386D" w:rsidRPr="00086C49" w:rsidRDefault="0090386D" w:rsidP="00086C49">
      <w:pPr>
        <w:spacing w:after="0" w:line="240" w:lineRule="auto"/>
        <w:ind w:left="1440"/>
        <w:jc w:val="both"/>
        <w:rPr>
          <w:rFonts w:ascii="Times New Roman" w:hAnsi="Times New Roman" w:cs="Times New Roman"/>
          <w:sz w:val="24"/>
          <w:szCs w:val="24"/>
        </w:rPr>
      </w:pPr>
    </w:p>
    <w:p w:rsidR="00306421" w:rsidRPr="00086C49" w:rsidRDefault="00306421" w:rsidP="00086C49">
      <w:pPr>
        <w:spacing w:after="0" w:line="240" w:lineRule="auto"/>
        <w:ind w:left="1440"/>
        <w:jc w:val="both"/>
        <w:rPr>
          <w:rFonts w:ascii="Times New Roman" w:hAnsi="Times New Roman" w:cs="Times New Roman"/>
          <w:sz w:val="24"/>
          <w:szCs w:val="24"/>
        </w:rPr>
      </w:pPr>
    </w:p>
    <w:p w:rsidR="0090386D" w:rsidRPr="00086C49" w:rsidRDefault="0090386D" w:rsidP="00086C49">
      <w:pPr>
        <w:spacing w:after="0" w:line="240" w:lineRule="auto"/>
        <w:ind w:left="1440"/>
        <w:jc w:val="both"/>
        <w:rPr>
          <w:rFonts w:ascii="Times New Roman" w:hAnsi="Times New Roman" w:cs="Times New Roman"/>
          <w:sz w:val="24"/>
          <w:szCs w:val="24"/>
        </w:rPr>
      </w:pPr>
    </w:p>
    <w:p w:rsidR="00051D11" w:rsidRPr="00086C49" w:rsidRDefault="00FE4E9B" w:rsidP="00086C49">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t xml:space="preserve">Clearly, given the cumulative effect of what I have highlighted the decision of the court </w:t>
      </w:r>
      <w:r w:rsidRPr="00086C49">
        <w:rPr>
          <w:rFonts w:ascii="Times New Roman" w:hAnsi="Times New Roman" w:cs="Times New Roman"/>
          <w:i/>
          <w:sz w:val="24"/>
          <w:szCs w:val="24"/>
        </w:rPr>
        <w:t>a quo</w:t>
      </w:r>
      <w:r w:rsidRPr="00086C49">
        <w:rPr>
          <w:rFonts w:ascii="Times New Roman" w:hAnsi="Times New Roman" w:cs="Times New Roman"/>
          <w:sz w:val="24"/>
          <w:szCs w:val="24"/>
        </w:rPr>
        <w:t xml:space="preserve"> must be interfered with</w:t>
      </w:r>
      <w:r w:rsidR="000E5F78" w:rsidRPr="00086C49">
        <w:rPr>
          <w:rFonts w:ascii="Times New Roman" w:hAnsi="Times New Roman" w:cs="Times New Roman"/>
          <w:sz w:val="24"/>
          <w:szCs w:val="24"/>
        </w:rPr>
        <w:t xml:space="preserve"> as it was informed by erroneous factual findings coupled with deliberate ignoring of other factors which were available to the court </w:t>
      </w:r>
      <w:r w:rsidR="000E5F78" w:rsidRPr="00086C49">
        <w:rPr>
          <w:rFonts w:ascii="Times New Roman" w:hAnsi="Times New Roman" w:cs="Times New Roman"/>
          <w:i/>
          <w:sz w:val="24"/>
          <w:szCs w:val="24"/>
        </w:rPr>
        <w:t>a quo</w:t>
      </w:r>
      <w:r w:rsidR="000E5F78" w:rsidRPr="00086C49">
        <w:rPr>
          <w:rFonts w:ascii="Times New Roman" w:hAnsi="Times New Roman" w:cs="Times New Roman"/>
          <w:sz w:val="24"/>
          <w:szCs w:val="24"/>
        </w:rPr>
        <w:t xml:space="preserve"> which pointed to the innocence of the appellant.</w:t>
      </w:r>
      <w:r w:rsidR="003B0B34" w:rsidRPr="00086C49">
        <w:rPr>
          <w:rFonts w:ascii="Times New Roman" w:hAnsi="Times New Roman" w:cs="Times New Roman"/>
          <w:sz w:val="24"/>
          <w:szCs w:val="24"/>
        </w:rPr>
        <w:t xml:space="preserve"> </w:t>
      </w:r>
    </w:p>
    <w:p w:rsidR="00FE4E9B" w:rsidRPr="00086C49" w:rsidRDefault="00FA46DF" w:rsidP="00086C49">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t xml:space="preserve"> </w:t>
      </w:r>
    </w:p>
    <w:p w:rsidR="00FE4E9B" w:rsidRPr="00086C49" w:rsidRDefault="0090386D" w:rsidP="00086C49">
      <w:pPr>
        <w:spacing w:after="0" w:line="480" w:lineRule="auto"/>
        <w:ind w:firstLine="1440"/>
        <w:jc w:val="both"/>
        <w:rPr>
          <w:rFonts w:ascii="Times New Roman" w:hAnsi="Times New Roman" w:cs="Times New Roman"/>
          <w:sz w:val="24"/>
          <w:szCs w:val="24"/>
        </w:rPr>
      </w:pPr>
      <w:r w:rsidRPr="00086C49">
        <w:rPr>
          <w:rFonts w:ascii="Times New Roman" w:hAnsi="Times New Roman" w:cs="Times New Roman"/>
          <w:sz w:val="24"/>
          <w:szCs w:val="24"/>
        </w:rPr>
        <w:t>Consequently</w:t>
      </w:r>
      <w:r w:rsidR="00FE4E9B" w:rsidRPr="00086C49">
        <w:rPr>
          <w:rFonts w:ascii="Times New Roman" w:hAnsi="Times New Roman" w:cs="Times New Roman"/>
          <w:sz w:val="24"/>
          <w:szCs w:val="24"/>
        </w:rPr>
        <w:t xml:space="preserve">, it is ordered as </w:t>
      </w:r>
      <w:r w:rsidRPr="00086C49">
        <w:rPr>
          <w:rFonts w:ascii="Times New Roman" w:hAnsi="Times New Roman" w:cs="Times New Roman"/>
          <w:sz w:val="24"/>
          <w:szCs w:val="24"/>
        </w:rPr>
        <w:t>follows: -</w:t>
      </w:r>
    </w:p>
    <w:p w:rsidR="00FE4E9B" w:rsidRPr="00086C49" w:rsidRDefault="0090386D" w:rsidP="00086C49">
      <w:pPr>
        <w:spacing w:after="0" w:line="480" w:lineRule="auto"/>
        <w:ind w:firstLine="720"/>
        <w:jc w:val="both"/>
        <w:rPr>
          <w:rFonts w:ascii="Times New Roman" w:hAnsi="Times New Roman" w:cs="Times New Roman"/>
          <w:sz w:val="24"/>
          <w:szCs w:val="24"/>
        </w:rPr>
      </w:pPr>
      <w:r w:rsidRPr="00086C49">
        <w:rPr>
          <w:rFonts w:ascii="Times New Roman" w:hAnsi="Times New Roman" w:cs="Times New Roman"/>
          <w:sz w:val="24"/>
          <w:szCs w:val="24"/>
        </w:rPr>
        <w:t xml:space="preserve">1.  </w:t>
      </w:r>
      <w:r w:rsidR="00FE4E9B" w:rsidRPr="00086C49">
        <w:rPr>
          <w:rFonts w:ascii="Times New Roman" w:hAnsi="Times New Roman" w:cs="Times New Roman"/>
          <w:sz w:val="24"/>
          <w:szCs w:val="24"/>
        </w:rPr>
        <w:t>The appeal be and is hereby upheld with costs.</w:t>
      </w:r>
    </w:p>
    <w:p w:rsidR="001F45A7" w:rsidRPr="00086C49" w:rsidRDefault="0090386D" w:rsidP="008A57A2">
      <w:pPr>
        <w:spacing w:after="0" w:line="480" w:lineRule="auto"/>
        <w:ind w:left="720"/>
        <w:jc w:val="both"/>
        <w:rPr>
          <w:rFonts w:ascii="Times New Roman" w:hAnsi="Times New Roman" w:cs="Times New Roman"/>
          <w:sz w:val="24"/>
          <w:szCs w:val="24"/>
        </w:rPr>
      </w:pPr>
      <w:r w:rsidRPr="00086C49">
        <w:rPr>
          <w:rFonts w:ascii="Times New Roman" w:hAnsi="Times New Roman" w:cs="Times New Roman"/>
          <w:sz w:val="24"/>
          <w:szCs w:val="24"/>
        </w:rPr>
        <w:t xml:space="preserve">2. </w:t>
      </w:r>
      <w:r w:rsidR="00FE4E9B" w:rsidRPr="00086C49">
        <w:rPr>
          <w:rFonts w:ascii="Times New Roman" w:hAnsi="Times New Roman" w:cs="Times New Roman"/>
          <w:sz w:val="24"/>
          <w:szCs w:val="24"/>
        </w:rPr>
        <w:t xml:space="preserve">The decision of the court </w:t>
      </w:r>
      <w:r w:rsidR="00FE4E9B" w:rsidRPr="00086C49">
        <w:rPr>
          <w:rFonts w:ascii="Times New Roman" w:hAnsi="Times New Roman" w:cs="Times New Roman"/>
          <w:i/>
          <w:sz w:val="24"/>
          <w:szCs w:val="24"/>
        </w:rPr>
        <w:t>a quo</w:t>
      </w:r>
      <w:r w:rsidR="00FE4E9B" w:rsidRPr="00086C49">
        <w:rPr>
          <w:rFonts w:ascii="Times New Roman" w:hAnsi="Times New Roman" w:cs="Times New Roman"/>
          <w:sz w:val="24"/>
          <w:szCs w:val="24"/>
        </w:rPr>
        <w:t xml:space="preserve"> is set aside and it </w:t>
      </w:r>
      <w:r w:rsidR="000E5F78" w:rsidRPr="00086C49">
        <w:rPr>
          <w:rFonts w:ascii="Times New Roman" w:hAnsi="Times New Roman" w:cs="Times New Roman"/>
          <w:sz w:val="24"/>
          <w:szCs w:val="24"/>
        </w:rPr>
        <w:t>is</w:t>
      </w:r>
      <w:r w:rsidR="008A57A2">
        <w:rPr>
          <w:rFonts w:ascii="Times New Roman" w:hAnsi="Times New Roman" w:cs="Times New Roman"/>
          <w:sz w:val="24"/>
          <w:szCs w:val="24"/>
        </w:rPr>
        <w:t xml:space="preserve"> </w:t>
      </w:r>
      <w:r w:rsidR="001F45A7" w:rsidRPr="00086C49">
        <w:rPr>
          <w:rFonts w:ascii="Times New Roman" w:hAnsi="Times New Roman" w:cs="Times New Roman"/>
          <w:sz w:val="24"/>
          <w:szCs w:val="24"/>
        </w:rPr>
        <w:t>substituted with the following:</w:t>
      </w:r>
      <w:r w:rsidRPr="00086C49">
        <w:rPr>
          <w:rFonts w:ascii="Times New Roman" w:hAnsi="Times New Roman" w:cs="Times New Roman"/>
          <w:sz w:val="24"/>
          <w:szCs w:val="24"/>
        </w:rPr>
        <w:t xml:space="preserve">   </w:t>
      </w:r>
    </w:p>
    <w:p w:rsidR="00FE4E9B" w:rsidRPr="00086C49" w:rsidRDefault="001F45A7" w:rsidP="00086C49">
      <w:pPr>
        <w:spacing w:after="0" w:line="480" w:lineRule="auto"/>
        <w:ind w:left="720"/>
        <w:jc w:val="both"/>
        <w:rPr>
          <w:rFonts w:ascii="Times New Roman" w:hAnsi="Times New Roman" w:cs="Times New Roman"/>
          <w:sz w:val="24"/>
          <w:szCs w:val="24"/>
        </w:rPr>
      </w:pPr>
      <w:r w:rsidRPr="00086C49">
        <w:rPr>
          <w:rFonts w:ascii="Times New Roman" w:hAnsi="Times New Roman" w:cs="Times New Roman"/>
          <w:sz w:val="24"/>
          <w:szCs w:val="24"/>
        </w:rPr>
        <w:t xml:space="preserve">   </w:t>
      </w:r>
      <w:r w:rsidR="0090386D" w:rsidRPr="00086C49">
        <w:rPr>
          <w:rFonts w:ascii="Times New Roman" w:hAnsi="Times New Roman" w:cs="Times New Roman"/>
          <w:sz w:val="24"/>
          <w:szCs w:val="24"/>
        </w:rPr>
        <w:t>“T</w:t>
      </w:r>
      <w:r w:rsidR="00FE4E9B" w:rsidRPr="00086C49">
        <w:rPr>
          <w:rFonts w:ascii="Times New Roman" w:hAnsi="Times New Roman" w:cs="Times New Roman"/>
          <w:sz w:val="24"/>
          <w:szCs w:val="24"/>
        </w:rPr>
        <w:t>he appeal be and is hereby dismissed with costs”</w:t>
      </w:r>
    </w:p>
    <w:p w:rsidR="0090386D" w:rsidRPr="00086C49" w:rsidRDefault="0090386D" w:rsidP="00086C49">
      <w:pPr>
        <w:spacing w:after="0" w:line="480" w:lineRule="auto"/>
        <w:jc w:val="both"/>
        <w:rPr>
          <w:rFonts w:ascii="Times New Roman" w:hAnsi="Times New Roman" w:cs="Times New Roman"/>
          <w:sz w:val="24"/>
          <w:szCs w:val="24"/>
        </w:rPr>
      </w:pPr>
    </w:p>
    <w:p w:rsidR="0090386D" w:rsidRPr="00086C49" w:rsidRDefault="0090386D" w:rsidP="00086C49">
      <w:pPr>
        <w:spacing w:after="0" w:line="480" w:lineRule="auto"/>
        <w:ind w:firstLine="720"/>
        <w:jc w:val="both"/>
        <w:rPr>
          <w:rFonts w:ascii="Times New Roman" w:hAnsi="Times New Roman" w:cs="Times New Roman"/>
          <w:sz w:val="24"/>
          <w:szCs w:val="24"/>
        </w:rPr>
      </w:pPr>
    </w:p>
    <w:p w:rsidR="00533BDA" w:rsidRPr="00086C49" w:rsidRDefault="00306421" w:rsidP="00086C49">
      <w:pPr>
        <w:spacing w:after="0" w:line="480" w:lineRule="auto"/>
        <w:ind w:left="720" w:firstLine="720"/>
        <w:rPr>
          <w:rFonts w:ascii="Times New Roman" w:eastAsia="Calibri" w:hAnsi="Times New Roman" w:cs="Times New Roman"/>
          <w:sz w:val="24"/>
          <w:szCs w:val="24"/>
          <w:lang w:val="en-GB"/>
        </w:rPr>
      </w:pPr>
      <w:r w:rsidRPr="00086C49">
        <w:rPr>
          <w:rFonts w:ascii="Times New Roman" w:eastAsia="Calibri" w:hAnsi="Times New Roman" w:cs="Times New Roman"/>
          <w:b/>
          <w:sz w:val="24"/>
          <w:szCs w:val="24"/>
          <w:lang w:val="en-GB"/>
        </w:rPr>
        <w:t>MAKARAU JA</w:t>
      </w:r>
      <w:r w:rsidR="0090386D" w:rsidRPr="00086C49">
        <w:rPr>
          <w:rFonts w:ascii="Times New Roman" w:eastAsia="Calibri" w:hAnsi="Times New Roman" w:cs="Times New Roman"/>
          <w:sz w:val="24"/>
          <w:szCs w:val="24"/>
          <w:lang w:val="en-GB"/>
        </w:rPr>
        <w:t xml:space="preserve">    </w:t>
      </w:r>
      <w:r w:rsidR="0090386D" w:rsidRPr="00086C49">
        <w:rPr>
          <w:rFonts w:ascii="Times New Roman" w:eastAsia="Calibri" w:hAnsi="Times New Roman" w:cs="Times New Roman"/>
          <w:sz w:val="24"/>
          <w:szCs w:val="24"/>
          <w:lang w:val="en-GB"/>
        </w:rPr>
        <w:tab/>
        <w:t xml:space="preserve"> </w:t>
      </w:r>
      <w:r w:rsidR="0090386D" w:rsidRPr="00086C49">
        <w:rPr>
          <w:rFonts w:ascii="Times New Roman" w:eastAsia="Calibri" w:hAnsi="Times New Roman" w:cs="Times New Roman"/>
          <w:sz w:val="24"/>
          <w:szCs w:val="24"/>
          <w:lang w:val="en-GB"/>
        </w:rPr>
        <w:tab/>
      </w:r>
      <w:r w:rsidR="0090386D" w:rsidRPr="00086C49">
        <w:rPr>
          <w:rFonts w:ascii="Times New Roman" w:eastAsia="Calibri" w:hAnsi="Times New Roman" w:cs="Times New Roman"/>
          <w:sz w:val="24"/>
          <w:szCs w:val="24"/>
          <w:lang w:val="en-GB"/>
        </w:rPr>
        <w:tab/>
        <w:t>I agree</w:t>
      </w:r>
    </w:p>
    <w:p w:rsidR="0090386D" w:rsidRPr="00086C49" w:rsidRDefault="0090386D" w:rsidP="00086C49">
      <w:pPr>
        <w:spacing w:after="0" w:line="480" w:lineRule="auto"/>
        <w:ind w:left="720" w:firstLine="720"/>
        <w:rPr>
          <w:rFonts w:ascii="Times New Roman" w:eastAsia="Calibri" w:hAnsi="Times New Roman" w:cs="Times New Roman"/>
          <w:sz w:val="24"/>
          <w:szCs w:val="24"/>
          <w:lang w:val="en-GB"/>
        </w:rPr>
      </w:pPr>
    </w:p>
    <w:p w:rsidR="0090386D" w:rsidRPr="00086C49" w:rsidRDefault="0090386D" w:rsidP="00086C49">
      <w:pPr>
        <w:spacing w:after="0" w:line="480" w:lineRule="auto"/>
        <w:rPr>
          <w:rFonts w:ascii="Times New Roman" w:eastAsia="Calibri" w:hAnsi="Times New Roman" w:cs="Times New Roman"/>
          <w:sz w:val="24"/>
          <w:szCs w:val="24"/>
          <w:lang w:val="en-GB"/>
        </w:rPr>
      </w:pPr>
    </w:p>
    <w:p w:rsidR="008A57A2" w:rsidRPr="008A57A2" w:rsidRDefault="0090386D" w:rsidP="008A57A2">
      <w:pPr>
        <w:spacing w:after="0" w:line="480" w:lineRule="auto"/>
        <w:rPr>
          <w:rFonts w:ascii="Times New Roman" w:eastAsia="Calibri" w:hAnsi="Times New Roman" w:cs="Times New Roman"/>
          <w:sz w:val="24"/>
          <w:szCs w:val="24"/>
          <w:lang w:val="en-GB"/>
        </w:rPr>
      </w:pPr>
      <w:r w:rsidRPr="00086C49">
        <w:rPr>
          <w:rFonts w:ascii="Times New Roman" w:eastAsia="Calibri" w:hAnsi="Times New Roman" w:cs="Times New Roman"/>
          <w:sz w:val="24"/>
          <w:szCs w:val="24"/>
          <w:lang w:val="en-GB"/>
        </w:rPr>
        <w:tab/>
      </w:r>
      <w:r w:rsidRPr="00086C49">
        <w:rPr>
          <w:rFonts w:ascii="Times New Roman" w:eastAsia="Calibri" w:hAnsi="Times New Roman" w:cs="Times New Roman"/>
          <w:sz w:val="24"/>
          <w:szCs w:val="24"/>
          <w:lang w:val="en-GB"/>
        </w:rPr>
        <w:tab/>
      </w:r>
      <w:r w:rsidR="00306421" w:rsidRPr="00086C49">
        <w:rPr>
          <w:rFonts w:ascii="Times New Roman" w:eastAsia="Calibri" w:hAnsi="Times New Roman" w:cs="Times New Roman"/>
          <w:b/>
          <w:sz w:val="24"/>
          <w:szCs w:val="24"/>
          <w:lang w:val="en-GB"/>
        </w:rPr>
        <w:t>HLATSHWAYO JA</w:t>
      </w:r>
      <w:r w:rsidR="00306421" w:rsidRPr="00086C49">
        <w:rPr>
          <w:rFonts w:ascii="Times New Roman" w:eastAsia="Calibri" w:hAnsi="Times New Roman" w:cs="Times New Roman"/>
          <w:b/>
          <w:sz w:val="24"/>
          <w:szCs w:val="24"/>
          <w:lang w:val="en-GB"/>
        </w:rPr>
        <w:tab/>
      </w:r>
      <w:r w:rsidRPr="00086C49">
        <w:rPr>
          <w:rFonts w:ascii="Times New Roman" w:eastAsia="Calibri" w:hAnsi="Times New Roman" w:cs="Times New Roman"/>
          <w:sz w:val="24"/>
          <w:szCs w:val="24"/>
          <w:lang w:val="en-GB"/>
        </w:rPr>
        <w:tab/>
        <w:t xml:space="preserve"> </w:t>
      </w:r>
      <w:r w:rsidRPr="00086C49">
        <w:rPr>
          <w:rFonts w:ascii="Times New Roman" w:eastAsia="Calibri" w:hAnsi="Times New Roman" w:cs="Times New Roman"/>
          <w:sz w:val="24"/>
          <w:szCs w:val="24"/>
          <w:lang w:val="en-GB"/>
        </w:rPr>
        <w:tab/>
        <w:t>I agree</w:t>
      </w:r>
      <w:r w:rsidR="00C6634B">
        <w:rPr>
          <w:rFonts w:ascii="Times New Roman" w:eastAsia="Calibri" w:hAnsi="Times New Roman" w:cs="Times New Roman"/>
          <w:sz w:val="24"/>
          <w:szCs w:val="24"/>
          <w:lang w:val="en-GB"/>
        </w:rPr>
        <w:t xml:space="preserve">      </w:t>
      </w:r>
    </w:p>
    <w:p w:rsidR="00DE647E" w:rsidRPr="00086C49" w:rsidRDefault="00DE647E" w:rsidP="00086C49">
      <w:pPr>
        <w:spacing w:after="0" w:line="276" w:lineRule="auto"/>
        <w:jc w:val="both"/>
        <w:rPr>
          <w:rFonts w:ascii="Times New Roman" w:eastAsia="Calibri" w:hAnsi="Times New Roman" w:cs="Times New Roman"/>
          <w:sz w:val="24"/>
          <w:szCs w:val="24"/>
        </w:rPr>
      </w:pPr>
      <w:r w:rsidRPr="00086C49">
        <w:rPr>
          <w:rFonts w:ascii="Times New Roman" w:hAnsi="Times New Roman" w:cs="Times New Roman"/>
          <w:i/>
          <w:sz w:val="24"/>
          <w:szCs w:val="24"/>
        </w:rPr>
        <w:lastRenderedPageBreak/>
        <w:t>Messrs Munyaradzi Gwisai &amp; Partners</w:t>
      </w:r>
      <w:r w:rsidRPr="00086C49">
        <w:rPr>
          <w:rFonts w:ascii="Times New Roman" w:hAnsi="Times New Roman" w:cs="Times New Roman"/>
          <w:sz w:val="24"/>
          <w:szCs w:val="24"/>
        </w:rPr>
        <w:t xml:space="preserve">, </w:t>
      </w:r>
      <w:r w:rsidR="000E5F78" w:rsidRPr="00086C49">
        <w:rPr>
          <w:rFonts w:ascii="Times New Roman" w:eastAsia="Calibri" w:hAnsi="Times New Roman" w:cs="Times New Roman"/>
          <w:sz w:val="24"/>
          <w:szCs w:val="24"/>
        </w:rPr>
        <w:t>appellant’s legal practitioners.</w:t>
      </w:r>
    </w:p>
    <w:p w:rsidR="000E5F78" w:rsidRPr="00086C49" w:rsidRDefault="000E5F78" w:rsidP="00086C49">
      <w:pPr>
        <w:spacing w:after="0" w:line="276" w:lineRule="auto"/>
        <w:jc w:val="both"/>
        <w:rPr>
          <w:rFonts w:ascii="Times New Roman" w:eastAsia="Calibri" w:hAnsi="Times New Roman" w:cs="Times New Roman"/>
          <w:sz w:val="24"/>
          <w:szCs w:val="24"/>
        </w:rPr>
      </w:pPr>
    </w:p>
    <w:p w:rsidR="00FE4E9B" w:rsidRPr="00086C49" w:rsidRDefault="00DE647E" w:rsidP="00086C49">
      <w:pPr>
        <w:spacing w:after="0" w:line="276" w:lineRule="auto"/>
        <w:jc w:val="both"/>
        <w:rPr>
          <w:rFonts w:ascii="Times New Roman" w:hAnsi="Times New Roman" w:cs="Times New Roman"/>
          <w:sz w:val="24"/>
          <w:szCs w:val="24"/>
        </w:rPr>
      </w:pPr>
      <w:r w:rsidRPr="00086C49">
        <w:rPr>
          <w:rFonts w:ascii="Times New Roman" w:hAnsi="Times New Roman" w:cs="Times New Roman"/>
          <w:i/>
          <w:sz w:val="24"/>
          <w:szCs w:val="24"/>
        </w:rPr>
        <w:t>Kantor &amp; Immerman</w:t>
      </w:r>
      <w:r w:rsidRPr="00086C49">
        <w:rPr>
          <w:rFonts w:ascii="Times New Roman" w:hAnsi="Times New Roman" w:cs="Times New Roman"/>
          <w:sz w:val="24"/>
          <w:szCs w:val="24"/>
        </w:rPr>
        <w:t xml:space="preserve">, </w:t>
      </w:r>
      <w:r w:rsidR="000E5F78" w:rsidRPr="00086C49">
        <w:rPr>
          <w:rFonts w:ascii="Times New Roman" w:hAnsi="Times New Roman" w:cs="Times New Roman"/>
          <w:sz w:val="24"/>
          <w:szCs w:val="24"/>
        </w:rPr>
        <w:t>respondent’s</w:t>
      </w:r>
      <w:r w:rsidRPr="00086C49">
        <w:rPr>
          <w:rFonts w:ascii="Times New Roman" w:hAnsi="Times New Roman" w:cs="Times New Roman"/>
          <w:sz w:val="24"/>
          <w:szCs w:val="24"/>
        </w:rPr>
        <w:t xml:space="preserve"> legal </w:t>
      </w:r>
      <w:r w:rsidR="008C188C">
        <w:rPr>
          <w:rFonts w:ascii="Times New Roman" w:hAnsi="Times New Roman" w:cs="Times New Roman"/>
          <w:sz w:val="24"/>
          <w:szCs w:val="24"/>
        </w:rPr>
        <w:t>practitioner</w:t>
      </w:r>
      <w:r w:rsidR="000E5F78" w:rsidRPr="00086C49">
        <w:rPr>
          <w:rFonts w:ascii="Times New Roman" w:hAnsi="Times New Roman" w:cs="Times New Roman"/>
          <w:sz w:val="24"/>
          <w:szCs w:val="24"/>
        </w:rPr>
        <w:t>s</w:t>
      </w:r>
      <w:r w:rsidR="000E5F78" w:rsidRPr="00086C49">
        <w:rPr>
          <w:rFonts w:ascii="Times New Roman" w:eastAsia="Calibri" w:hAnsi="Times New Roman" w:cs="Times New Roman"/>
          <w:sz w:val="24"/>
          <w:szCs w:val="24"/>
        </w:rPr>
        <w:t xml:space="preserve"> </w:t>
      </w:r>
    </w:p>
    <w:p w:rsidR="00FE4E9B" w:rsidRPr="00086C49" w:rsidRDefault="00FE4E9B" w:rsidP="00086C49">
      <w:pPr>
        <w:spacing w:after="0" w:line="480" w:lineRule="auto"/>
        <w:jc w:val="both"/>
        <w:rPr>
          <w:rFonts w:ascii="Times New Roman" w:hAnsi="Times New Roman" w:cs="Times New Roman"/>
          <w:sz w:val="24"/>
          <w:szCs w:val="24"/>
        </w:rPr>
      </w:pPr>
    </w:p>
    <w:p w:rsidR="00FE4E9B" w:rsidRPr="00086C49" w:rsidRDefault="00FE4E9B" w:rsidP="00086C49">
      <w:pPr>
        <w:spacing w:after="0" w:line="480" w:lineRule="auto"/>
        <w:jc w:val="both"/>
        <w:rPr>
          <w:rFonts w:ascii="Times New Roman" w:hAnsi="Times New Roman" w:cs="Times New Roman"/>
          <w:sz w:val="24"/>
          <w:szCs w:val="24"/>
        </w:rPr>
      </w:pPr>
    </w:p>
    <w:p w:rsidR="00FE4E9B" w:rsidRPr="00086C49" w:rsidRDefault="00FE4E9B" w:rsidP="00086C49">
      <w:pPr>
        <w:spacing w:after="0" w:line="480" w:lineRule="auto"/>
        <w:jc w:val="both"/>
        <w:rPr>
          <w:rFonts w:ascii="Times New Roman" w:hAnsi="Times New Roman" w:cs="Times New Roman"/>
          <w:sz w:val="24"/>
          <w:szCs w:val="24"/>
        </w:rPr>
      </w:pPr>
    </w:p>
    <w:p w:rsidR="00FE4E9B" w:rsidRPr="00086C49" w:rsidRDefault="00FE4E9B" w:rsidP="00086C49">
      <w:pPr>
        <w:spacing w:after="0" w:line="480" w:lineRule="auto"/>
        <w:jc w:val="both"/>
        <w:rPr>
          <w:rFonts w:ascii="Times New Roman" w:hAnsi="Times New Roman" w:cs="Times New Roman"/>
          <w:sz w:val="24"/>
          <w:szCs w:val="24"/>
        </w:rPr>
      </w:pPr>
    </w:p>
    <w:p w:rsidR="006B47C1" w:rsidRPr="00086C49" w:rsidRDefault="006B47C1" w:rsidP="00086C49">
      <w:pPr>
        <w:spacing w:after="0" w:line="480" w:lineRule="auto"/>
        <w:jc w:val="both"/>
        <w:rPr>
          <w:rFonts w:ascii="Times New Roman" w:hAnsi="Times New Roman" w:cs="Times New Roman"/>
          <w:sz w:val="24"/>
          <w:szCs w:val="24"/>
        </w:rPr>
      </w:pPr>
    </w:p>
    <w:p w:rsidR="00FE06B7" w:rsidRPr="00086C49" w:rsidRDefault="00FE06B7" w:rsidP="00086C49">
      <w:pPr>
        <w:spacing w:after="0" w:line="480" w:lineRule="auto"/>
        <w:jc w:val="both"/>
        <w:rPr>
          <w:rFonts w:ascii="Times New Roman" w:hAnsi="Times New Roman" w:cs="Times New Roman"/>
          <w:sz w:val="24"/>
          <w:szCs w:val="24"/>
        </w:rPr>
      </w:pPr>
    </w:p>
    <w:sectPr w:rsidR="00FE06B7" w:rsidRPr="00086C49" w:rsidSect="00BD4BE3">
      <w:headerReference w:type="default" r:id="rId8"/>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053" w:rsidRDefault="00512053" w:rsidP="00712368">
      <w:pPr>
        <w:spacing w:after="0" w:line="240" w:lineRule="auto"/>
      </w:pPr>
      <w:r>
        <w:separator/>
      </w:r>
    </w:p>
  </w:endnote>
  <w:endnote w:type="continuationSeparator" w:id="0">
    <w:p w:rsidR="00512053" w:rsidRDefault="00512053" w:rsidP="00712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053" w:rsidRDefault="00512053" w:rsidP="00712368">
      <w:pPr>
        <w:spacing w:after="0" w:line="240" w:lineRule="auto"/>
      </w:pPr>
      <w:r>
        <w:separator/>
      </w:r>
    </w:p>
  </w:footnote>
  <w:footnote w:type="continuationSeparator" w:id="0">
    <w:p w:rsidR="00512053" w:rsidRDefault="00512053" w:rsidP="00712368">
      <w:pPr>
        <w:spacing w:after="0" w:line="240" w:lineRule="auto"/>
      </w:pPr>
      <w:r>
        <w:continuationSeparator/>
      </w:r>
    </w:p>
  </w:footnote>
  <w:footnote w:id="1">
    <w:p w:rsidR="00F02AD5" w:rsidRDefault="00F02AD5">
      <w:pPr>
        <w:pStyle w:val="FootnoteText"/>
      </w:pPr>
      <w:r>
        <w:rPr>
          <w:rStyle w:val="FootnoteReference"/>
        </w:rPr>
        <w:footnoteRef/>
      </w:r>
      <w:r>
        <w:t xml:space="preserve"> .  Statutory Instrument 84/2018</w:t>
      </w:r>
    </w:p>
  </w:footnote>
  <w:footnote w:id="2">
    <w:p w:rsidR="00F02AD5" w:rsidRDefault="00F02AD5">
      <w:pPr>
        <w:pStyle w:val="FootnoteText"/>
      </w:pPr>
      <w:r>
        <w:rPr>
          <w:rStyle w:val="FootnoteReference"/>
        </w:rPr>
        <w:footnoteRef/>
      </w:r>
      <w:r>
        <w:t xml:space="preserve"> .  2013 (2) ZLR 309 (5) at 318B-C</w:t>
      </w:r>
    </w:p>
  </w:footnote>
  <w:footnote w:id="3">
    <w:p w:rsidR="00327E20" w:rsidRDefault="00327E20">
      <w:pPr>
        <w:pStyle w:val="FootnoteText"/>
      </w:pPr>
      <w:r>
        <w:rPr>
          <w:rStyle w:val="FootnoteReference"/>
        </w:rPr>
        <w:footnoteRef/>
      </w:r>
      <w:r>
        <w:t xml:space="preserve"> .  Judgment No SC25/17</w:t>
      </w:r>
    </w:p>
  </w:footnote>
  <w:footnote w:id="4">
    <w:p w:rsidR="00F02AD5" w:rsidRDefault="00F02AD5">
      <w:pPr>
        <w:pStyle w:val="FootnoteText"/>
      </w:pPr>
      <w:r>
        <w:rPr>
          <w:rStyle w:val="FootnoteReference"/>
        </w:rPr>
        <w:footnoteRef/>
      </w:r>
      <w:r>
        <w:t xml:space="preserve"> .  1996 (1) ZLR 664 at p.670</w:t>
      </w:r>
    </w:p>
  </w:footnote>
  <w:footnote w:id="5">
    <w:p w:rsidR="00D507E5" w:rsidRDefault="00D507E5">
      <w:pPr>
        <w:pStyle w:val="FootnoteText"/>
      </w:pPr>
      <w:r>
        <w:rPr>
          <w:rStyle w:val="FootnoteReference"/>
        </w:rPr>
        <w:footnoteRef/>
      </w:r>
      <w:r>
        <w:t xml:space="preserve"> .  SC48/15 at page 8</w:t>
      </w:r>
    </w:p>
  </w:footnote>
  <w:footnote w:id="6">
    <w:p w:rsidR="003E663E" w:rsidRDefault="003E663E">
      <w:pPr>
        <w:pStyle w:val="FootnoteText"/>
      </w:pPr>
      <w:r>
        <w:rPr>
          <w:rStyle w:val="FootnoteReference"/>
        </w:rPr>
        <w:footnoteRef/>
      </w:r>
      <w:r>
        <w:t xml:space="preserve"> . </w:t>
      </w:r>
      <w:r w:rsidR="00943FBF">
        <w:t xml:space="preserve"> </w:t>
      </w:r>
      <w:r>
        <w:t xml:space="preserve">Judgment </w:t>
      </w:r>
      <w:r w:rsidR="00697D6E">
        <w:t>No. SC 32/19</w:t>
      </w:r>
    </w:p>
  </w:footnote>
  <w:footnote w:id="7">
    <w:p w:rsidR="00015BE1" w:rsidRDefault="00015BE1">
      <w:pPr>
        <w:pStyle w:val="FootnoteText"/>
      </w:pPr>
      <w:r>
        <w:rPr>
          <w:rStyle w:val="FootnoteReference"/>
        </w:rPr>
        <w:footnoteRef/>
      </w:r>
      <w:r>
        <w:t xml:space="preserve"> </w:t>
      </w:r>
      <w:r w:rsidR="00E260A6">
        <w:t>.  1999 (i) ZLR 58 (S) at page 62 G-H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C9E" w:rsidRDefault="00365C9E">
    <w:pPr>
      <w:pStyle w:val="Header"/>
    </w:pPr>
    <w:r>
      <w:rPr>
        <w:noProof/>
      </w:rPr>
      <mc:AlternateContent>
        <mc:Choice Requires="wps">
          <w:drawing>
            <wp:anchor distT="0" distB="0" distL="114300" distR="114300" simplePos="0" relativeHeight="251660288" behindDoc="0" locked="0" layoutInCell="0" allowOverlap="1" wp14:anchorId="79486D96" wp14:editId="6AA110FF">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BE3" w:rsidRDefault="00BD4BE3" w:rsidP="007E3401">
                          <w:pPr>
                            <w:spacing w:after="0" w:line="240" w:lineRule="auto"/>
                            <w:jc w:val="right"/>
                            <w:rPr>
                              <w:rFonts w:ascii="Courier New" w:hAnsi="Courier New" w:cs="Courier New"/>
                              <w:b/>
                              <w:noProof/>
                              <w:sz w:val="24"/>
                              <w:szCs w:val="24"/>
                            </w:rPr>
                          </w:pPr>
                        </w:p>
                        <w:p w:rsidR="00365C9E" w:rsidRPr="00514326" w:rsidRDefault="00365C9E" w:rsidP="007E3401">
                          <w:pPr>
                            <w:spacing w:after="0" w:line="240" w:lineRule="auto"/>
                            <w:jc w:val="right"/>
                            <w:rPr>
                              <w:rFonts w:ascii="Times New Roman" w:hAnsi="Times New Roman" w:cs="Times New Roman"/>
                              <w:b/>
                              <w:noProof/>
                              <w:sz w:val="24"/>
                              <w:szCs w:val="24"/>
                            </w:rPr>
                          </w:pPr>
                          <w:r w:rsidRPr="00514326">
                            <w:rPr>
                              <w:rFonts w:ascii="Times New Roman" w:hAnsi="Times New Roman" w:cs="Times New Roman"/>
                              <w:b/>
                              <w:noProof/>
                              <w:sz w:val="24"/>
                              <w:szCs w:val="24"/>
                            </w:rPr>
                            <w:t xml:space="preserve">Judgment No. SC </w:t>
                          </w:r>
                          <w:r w:rsidR="00943FBF">
                            <w:rPr>
                              <w:rFonts w:ascii="Times New Roman" w:hAnsi="Times New Roman" w:cs="Times New Roman"/>
                              <w:b/>
                              <w:noProof/>
                              <w:sz w:val="24"/>
                              <w:szCs w:val="24"/>
                            </w:rPr>
                            <w:t xml:space="preserve"> 136</w:t>
                          </w:r>
                          <w:r w:rsidR="00514326">
                            <w:rPr>
                              <w:rFonts w:ascii="Times New Roman" w:hAnsi="Times New Roman" w:cs="Times New Roman"/>
                              <w:b/>
                              <w:noProof/>
                              <w:sz w:val="24"/>
                              <w:szCs w:val="24"/>
                            </w:rPr>
                            <w:t>/20</w:t>
                          </w:r>
                        </w:p>
                        <w:p w:rsidR="00365C9E" w:rsidRPr="00514326" w:rsidRDefault="00365C9E" w:rsidP="007E3401">
                          <w:pPr>
                            <w:spacing w:after="0" w:line="240" w:lineRule="auto"/>
                            <w:jc w:val="right"/>
                            <w:rPr>
                              <w:rFonts w:ascii="Times New Roman" w:hAnsi="Times New Roman" w:cs="Times New Roman"/>
                              <w:b/>
                              <w:noProof/>
                              <w:sz w:val="24"/>
                              <w:szCs w:val="24"/>
                            </w:rPr>
                          </w:pPr>
                          <w:r w:rsidRPr="00514326">
                            <w:rPr>
                              <w:rFonts w:ascii="Times New Roman" w:hAnsi="Times New Roman" w:cs="Times New Roman"/>
                              <w:b/>
                              <w:noProof/>
                              <w:sz w:val="24"/>
                              <w:szCs w:val="24"/>
                            </w:rPr>
                            <w:t>Civil Appeal No. SC 914/17</w:t>
                          </w:r>
                        </w:p>
                        <w:p w:rsidR="00365C9E" w:rsidRPr="007E3401" w:rsidRDefault="00365C9E">
                          <w:pPr>
                            <w:spacing w:after="0" w:line="240" w:lineRule="auto"/>
                            <w:jc w:val="right"/>
                            <w:rPr>
                              <w:b/>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9486D96"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BD4BE3" w:rsidRDefault="00BD4BE3" w:rsidP="007E3401">
                    <w:pPr>
                      <w:spacing w:after="0" w:line="240" w:lineRule="auto"/>
                      <w:jc w:val="right"/>
                      <w:rPr>
                        <w:rFonts w:ascii="Courier New" w:hAnsi="Courier New" w:cs="Courier New"/>
                        <w:b/>
                        <w:noProof/>
                        <w:sz w:val="24"/>
                        <w:szCs w:val="24"/>
                      </w:rPr>
                    </w:pPr>
                  </w:p>
                  <w:p w:rsidR="00365C9E" w:rsidRPr="00514326" w:rsidRDefault="00365C9E" w:rsidP="007E3401">
                    <w:pPr>
                      <w:spacing w:after="0" w:line="240" w:lineRule="auto"/>
                      <w:jc w:val="right"/>
                      <w:rPr>
                        <w:rFonts w:ascii="Times New Roman" w:hAnsi="Times New Roman" w:cs="Times New Roman"/>
                        <w:b/>
                        <w:noProof/>
                        <w:sz w:val="24"/>
                        <w:szCs w:val="24"/>
                      </w:rPr>
                    </w:pPr>
                    <w:r w:rsidRPr="00514326">
                      <w:rPr>
                        <w:rFonts w:ascii="Times New Roman" w:hAnsi="Times New Roman" w:cs="Times New Roman"/>
                        <w:b/>
                        <w:noProof/>
                        <w:sz w:val="24"/>
                        <w:szCs w:val="24"/>
                      </w:rPr>
                      <w:t xml:space="preserve">Judgment No. SC </w:t>
                    </w:r>
                    <w:r w:rsidR="00943FBF">
                      <w:rPr>
                        <w:rFonts w:ascii="Times New Roman" w:hAnsi="Times New Roman" w:cs="Times New Roman"/>
                        <w:b/>
                        <w:noProof/>
                        <w:sz w:val="24"/>
                        <w:szCs w:val="24"/>
                      </w:rPr>
                      <w:t xml:space="preserve"> 136</w:t>
                    </w:r>
                    <w:r w:rsidR="00514326">
                      <w:rPr>
                        <w:rFonts w:ascii="Times New Roman" w:hAnsi="Times New Roman" w:cs="Times New Roman"/>
                        <w:b/>
                        <w:noProof/>
                        <w:sz w:val="24"/>
                        <w:szCs w:val="24"/>
                      </w:rPr>
                      <w:t>/20</w:t>
                    </w:r>
                  </w:p>
                  <w:p w:rsidR="00365C9E" w:rsidRPr="00514326" w:rsidRDefault="00365C9E" w:rsidP="007E3401">
                    <w:pPr>
                      <w:spacing w:after="0" w:line="240" w:lineRule="auto"/>
                      <w:jc w:val="right"/>
                      <w:rPr>
                        <w:rFonts w:ascii="Times New Roman" w:hAnsi="Times New Roman" w:cs="Times New Roman"/>
                        <w:b/>
                        <w:noProof/>
                        <w:sz w:val="24"/>
                        <w:szCs w:val="24"/>
                      </w:rPr>
                    </w:pPr>
                    <w:r w:rsidRPr="00514326">
                      <w:rPr>
                        <w:rFonts w:ascii="Times New Roman" w:hAnsi="Times New Roman" w:cs="Times New Roman"/>
                        <w:b/>
                        <w:noProof/>
                        <w:sz w:val="24"/>
                        <w:szCs w:val="24"/>
                      </w:rPr>
                      <w:t>Civil Appeal No. SC 914/17</w:t>
                    </w:r>
                  </w:p>
                  <w:p w:rsidR="00365C9E" w:rsidRPr="007E3401" w:rsidRDefault="00365C9E">
                    <w:pPr>
                      <w:spacing w:after="0" w:line="240" w:lineRule="auto"/>
                      <w:jc w:val="right"/>
                      <w:rPr>
                        <w:b/>
                        <w:noProof/>
                      </w:rPr>
                    </w:pP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2AD7B393" wp14:editId="3010DE47">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365C9E" w:rsidRDefault="00365C9E">
                          <w:pPr>
                            <w:spacing w:after="0" w:line="240" w:lineRule="auto"/>
                            <w:rPr>
                              <w:color w:val="FFFFFF" w:themeColor="background1"/>
                            </w:rPr>
                          </w:pPr>
                          <w:r>
                            <w:fldChar w:fldCharType="begin"/>
                          </w:r>
                          <w:r>
                            <w:instrText xml:space="preserve"> PAGE   \* MERGEFORMAT </w:instrText>
                          </w:r>
                          <w:r>
                            <w:fldChar w:fldCharType="separate"/>
                          </w:r>
                          <w:r w:rsidR="00A26C9B" w:rsidRPr="00A26C9B">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AD7B393"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365C9E" w:rsidRDefault="00365C9E">
                    <w:pPr>
                      <w:spacing w:after="0" w:line="240" w:lineRule="auto"/>
                      <w:rPr>
                        <w:color w:val="FFFFFF" w:themeColor="background1"/>
                      </w:rPr>
                    </w:pPr>
                    <w:r>
                      <w:fldChar w:fldCharType="begin"/>
                    </w:r>
                    <w:r>
                      <w:instrText xml:space="preserve"> PAGE   \* MERGEFORMAT </w:instrText>
                    </w:r>
                    <w:r>
                      <w:fldChar w:fldCharType="separate"/>
                    </w:r>
                    <w:r w:rsidR="00A26C9B" w:rsidRPr="00A26C9B">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C5EB6"/>
    <w:multiLevelType w:val="hybridMultilevel"/>
    <w:tmpl w:val="7EEA40A8"/>
    <w:lvl w:ilvl="0" w:tplc="ED2A247E">
      <w:start w:val="1"/>
      <w:numFmt w:val="decimal"/>
      <w:lvlText w:val="(%1)"/>
      <w:lvlJc w:val="left"/>
      <w:pPr>
        <w:ind w:left="5310" w:hanging="360"/>
      </w:pPr>
      <w:rPr>
        <w:rFonts w:hint="default"/>
      </w:rPr>
    </w:lvl>
    <w:lvl w:ilvl="1" w:tplc="08090019" w:tentative="1">
      <w:start w:val="1"/>
      <w:numFmt w:val="lowerLetter"/>
      <w:lvlText w:val="%2."/>
      <w:lvlJc w:val="left"/>
      <w:pPr>
        <w:ind w:left="6030" w:hanging="360"/>
      </w:pPr>
    </w:lvl>
    <w:lvl w:ilvl="2" w:tplc="0809001B" w:tentative="1">
      <w:start w:val="1"/>
      <w:numFmt w:val="lowerRoman"/>
      <w:lvlText w:val="%3."/>
      <w:lvlJc w:val="right"/>
      <w:pPr>
        <w:ind w:left="6750" w:hanging="180"/>
      </w:pPr>
    </w:lvl>
    <w:lvl w:ilvl="3" w:tplc="0809000F" w:tentative="1">
      <w:start w:val="1"/>
      <w:numFmt w:val="decimal"/>
      <w:lvlText w:val="%4."/>
      <w:lvlJc w:val="left"/>
      <w:pPr>
        <w:ind w:left="7470" w:hanging="360"/>
      </w:pPr>
    </w:lvl>
    <w:lvl w:ilvl="4" w:tplc="08090019" w:tentative="1">
      <w:start w:val="1"/>
      <w:numFmt w:val="lowerLetter"/>
      <w:lvlText w:val="%5."/>
      <w:lvlJc w:val="left"/>
      <w:pPr>
        <w:ind w:left="8190" w:hanging="360"/>
      </w:pPr>
    </w:lvl>
    <w:lvl w:ilvl="5" w:tplc="0809001B" w:tentative="1">
      <w:start w:val="1"/>
      <w:numFmt w:val="lowerRoman"/>
      <w:lvlText w:val="%6."/>
      <w:lvlJc w:val="right"/>
      <w:pPr>
        <w:ind w:left="8910" w:hanging="180"/>
      </w:pPr>
    </w:lvl>
    <w:lvl w:ilvl="6" w:tplc="0809000F" w:tentative="1">
      <w:start w:val="1"/>
      <w:numFmt w:val="decimal"/>
      <w:lvlText w:val="%7."/>
      <w:lvlJc w:val="left"/>
      <w:pPr>
        <w:ind w:left="9630" w:hanging="360"/>
      </w:pPr>
    </w:lvl>
    <w:lvl w:ilvl="7" w:tplc="08090019" w:tentative="1">
      <w:start w:val="1"/>
      <w:numFmt w:val="lowerLetter"/>
      <w:lvlText w:val="%8."/>
      <w:lvlJc w:val="left"/>
      <w:pPr>
        <w:ind w:left="10350" w:hanging="360"/>
      </w:pPr>
    </w:lvl>
    <w:lvl w:ilvl="8" w:tplc="0809001B" w:tentative="1">
      <w:start w:val="1"/>
      <w:numFmt w:val="lowerRoman"/>
      <w:lvlText w:val="%9."/>
      <w:lvlJc w:val="right"/>
      <w:pPr>
        <w:ind w:left="110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015"/>
    <w:rsid w:val="00015BE1"/>
    <w:rsid w:val="00047C0F"/>
    <w:rsid w:val="00051D11"/>
    <w:rsid w:val="00053E3B"/>
    <w:rsid w:val="00060276"/>
    <w:rsid w:val="000661C2"/>
    <w:rsid w:val="00086C49"/>
    <w:rsid w:val="00097549"/>
    <w:rsid w:val="000A3290"/>
    <w:rsid w:val="000B28FF"/>
    <w:rsid w:val="000D4C92"/>
    <w:rsid w:val="000E5F78"/>
    <w:rsid w:val="0014718E"/>
    <w:rsid w:val="00180A6E"/>
    <w:rsid w:val="001F45A7"/>
    <w:rsid w:val="00203FCC"/>
    <w:rsid w:val="002433FC"/>
    <w:rsid w:val="002A5443"/>
    <w:rsid w:val="002A7460"/>
    <w:rsid w:val="002E6689"/>
    <w:rsid w:val="00306421"/>
    <w:rsid w:val="00311730"/>
    <w:rsid w:val="00312567"/>
    <w:rsid w:val="003233BB"/>
    <w:rsid w:val="00327E20"/>
    <w:rsid w:val="0035191E"/>
    <w:rsid w:val="00365C9E"/>
    <w:rsid w:val="00367B8D"/>
    <w:rsid w:val="00371D26"/>
    <w:rsid w:val="00373A04"/>
    <w:rsid w:val="003B0B34"/>
    <w:rsid w:val="003D2879"/>
    <w:rsid w:val="003D559C"/>
    <w:rsid w:val="003E663E"/>
    <w:rsid w:val="00436232"/>
    <w:rsid w:val="004722AA"/>
    <w:rsid w:val="004C5F7B"/>
    <w:rsid w:val="004E67DF"/>
    <w:rsid w:val="00510FA2"/>
    <w:rsid w:val="00512053"/>
    <w:rsid w:val="00514326"/>
    <w:rsid w:val="00533BDA"/>
    <w:rsid w:val="00561234"/>
    <w:rsid w:val="005762DA"/>
    <w:rsid w:val="005B0B4B"/>
    <w:rsid w:val="005C0015"/>
    <w:rsid w:val="005F2D7B"/>
    <w:rsid w:val="00627E1C"/>
    <w:rsid w:val="00656D87"/>
    <w:rsid w:val="00697D6E"/>
    <w:rsid w:val="006B47C1"/>
    <w:rsid w:val="006F2666"/>
    <w:rsid w:val="00712368"/>
    <w:rsid w:val="007207D6"/>
    <w:rsid w:val="00727C1D"/>
    <w:rsid w:val="007540D1"/>
    <w:rsid w:val="007B179A"/>
    <w:rsid w:val="007E3401"/>
    <w:rsid w:val="008534DF"/>
    <w:rsid w:val="00856F8B"/>
    <w:rsid w:val="008570BD"/>
    <w:rsid w:val="00865B04"/>
    <w:rsid w:val="00872219"/>
    <w:rsid w:val="0088505D"/>
    <w:rsid w:val="008A57A2"/>
    <w:rsid w:val="008C188C"/>
    <w:rsid w:val="0090349E"/>
    <w:rsid w:val="0090386D"/>
    <w:rsid w:val="009269B8"/>
    <w:rsid w:val="00930DB1"/>
    <w:rsid w:val="00943FBF"/>
    <w:rsid w:val="00963A8E"/>
    <w:rsid w:val="009A2422"/>
    <w:rsid w:val="009D74B6"/>
    <w:rsid w:val="009F7AB1"/>
    <w:rsid w:val="00A23245"/>
    <w:rsid w:val="00A26C9B"/>
    <w:rsid w:val="00A37715"/>
    <w:rsid w:val="00AC079F"/>
    <w:rsid w:val="00AD5536"/>
    <w:rsid w:val="00AF4BB2"/>
    <w:rsid w:val="00B014AC"/>
    <w:rsid w:val="00B02931"/>
    <w:rsid w:val="00B92141"/>
    <w:rsid w:val="00B92397"/>
    <w:rsid w:val="00BD4BE3"/>
    <w:rsid w:val="00C05187"/>
    <w:rsid w:val="00C24293"/>
    <w:rsid w:val="00C26975"/>
    <w:rsid w:val="00C6634B"/>
    <w:rsid w:val="00C71B63"/>
    <w:rsid w:val="00D04EB4"/>
    <w:rsid w:val="00D2002D"/>
    <w:rsid w:val="00D23789"/>
    <w:rsid w:val="00D4581B"/>
    <w:rsid w:val="00D507E5"/>
    <w:rsid w:val="00D5136B"/>
    <w:rsid w:val="00D57ED8"/>
    <w:rsid w:val="00DB17EF"/>
    <w:rsid w:val="00DD7D4A"/>
    <w:rsid w:val="00DE647E"/>
    <w:rsid w:val="00E247A5"/>
    <w:rsid w:val="00E260A6"/>
    <w:rsid w:val="00E61930"/>
    <w:rsid w:val="00EC2373"/>
    <w:rsid w:val="00EE37D5"/>
    <w:rsid w:val="00EF1B73"/>
    <w:rsid w:val="00F02AD5"/>
    <w:rsid w:val="00F1395C"/>
    <w:rsid w:val="00F27614"/>
    <w:rsid w:val="00F93019"/>
    <w:rsid w:val="00F9517C"/>
    <w:rsid w:val="00FA46DF"/>
    <w:rsid w:val="00FE06B7"/>
    <w:rsid w:val="00FE1751"/>
    <w:rsid w:val="00FE4E9B"/>
    <w:rsid w:val="00FE79D1"/>
    <w:rsid w:val="00FF4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F740D86-9752-4D58-B1E6-2DB40A74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368"/>
  </w:style>
  <w:style w:type="paragraph" w:styleId="Footer">
    <w:name w:val="footer"/>
    <w:basedOn w:val="Normal"/>
    <w:link w:val="FooterChar"/>
    <w:uiPriority w:val="99"/>
    <w:unhideWhenUsed/>
    <w:rsid w:val="00712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368"/>
  </w:style>
  <w:style w:type="paragraph" w:styleId="FootnoteText">
    <w:name w:val="footnote text"/>
    <w:basedOn w:val="Normal"/>
    <w:link w:val="FootnoteTextChar"/>
    <w:uiPriority w:val="99"/>
    <w:semiHidden/>
    <w:unhideWhenUsed/>
    <w:rsid w:val="00F02A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2AD5"/>
    <w:rPr>
      <w:sz w:val="20"/>
      <w:szCs w:val="20"/>
    </w:rPr>
  </w:style>
  <w:style w:type="character" w:styleId="FootnoteReference">
    <w:name w:val="footnote reference"/>
    <w:basedOn w:val="DefaultParagraphFont"/>
    <w:uiPriority w:val="99"/>
    <w:semiHidden/>
    <w:unhideWhenUsed/>
    <w:rsid w:val="00F02AD5"/>
    <w:rPr>
      <w:vertAlign w:val="superscript"/>
    </w:rPr>
  </w:style>
  <w:style w:type="paragraph" w:styleId="BalloonText">
    <w:name w:val="Balloon Text"/>
    <w:basedOn w:val="Normal"/>
    <w:link w:val="BalloonTextChar"/>
    <w:uiPriority w:val="99"/>
    <w:semiHidden/>
    <w:unhideWhenUsed/>
    <w:rsid w:val="003B0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B34"/>
    <w:rPr>
      <w:rFonts w:ascii="Segoe UI" w:hAnsi="Segoe UI" w:cs="Segoe UI"/>
      <w:sz w:val="18"/>
      <w:szCs w:val="18"/>
    </w:rPr>
  </w:style>
  <w:style w:type="paragraph" w:styleId="EndnoteText">
    <w:name w:val="endnote text"/>
    <w:basedOn w:val="Normal"/>
    <w:link w:val="EndnoteTextChar"/>
    <w:uiPriority w:val="99"/>
    <w:semiHidden/>
    <w:unhideWhenUsed/>
    <w:rsid w:val="003E66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663E"/>
    <w:rPr>
      <w:sz w:val="20"/>
      <w:szCs w:val="20"/>
    </w:rPr>
  </w:style>
  <w:style w:type="character" w:styleId="EndnoteReference">
    <w:name w:val="endnote reference"/>
    <w:basedOn w:val="DefaultParagraphFont"/>
    <w:uiPriority w:val="99"/>
    <w:semiHidden/>
    <w:unhideWhenUsed/>
    <w:rsid w:val="003E66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B5CE1-B09D-47EF-BDDA-D4F25B7B4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2503</Words>
  <Characters>14269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chipidzalsupreme@gmail.com</dc:creator>
  <cp:keywords/>
  <dc:description/>
  <cp:lastModifiedBy>JSC</cp:lastModifiedBy>
  <cp:revision>2</cp:revision>
  <cp:lastPrinted>2020-10-15T09:33:00Z</cp:lastPrinted>
  <dcterms:created xsi:type="dcterms:W3CDTF">2020-10-30T09:46:00Z</dcterms:created>
  <dcterms:modified xsi:type="dcterms:W3CDTF">2020-10-30T09:46:00Z</dcterms:modified>
</cp:coreProperties>
</file>