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A5" w:rsidRPr="00120B01" w:rsidRDefault="002525A5" w:rsidP="00120B01">
      <w:pPr>
        <w:spacing w:after="0"/>
        <w:jc w:val="both"/>
        <w:rPr>
          <w:rFonts w:ascii="Times New Roman" w:hAnsi="Times New Roman" w:cs="Times New Roman"/>
          <w:sz w:val="24"/>
          <w:szCs w:val="24"/>
        </w:rPr>
      </w:pPr>
      <w:bookmarkStart w:id="0" w:name="_GoBack"/>
      <w:bookmarkEnd w:id="0"/>
      <w:r w:rsidRPr="00120B01">
        <w:rPr>
          <w:rFonts w:ascii="Times New Roman" w:hAnsi="Times New Roman" w:cs="Times New Roman"/>
          <w:sz w:val="24"/>
          <w:szCs w:val="24"/>
        </w:rPr>
        <w:t>OLYMPUS GOLD MINES LIMITED</w:t>
      </w:r>
    </w:p>
    <w:p w:rsidR="002525A5" w:rsidRPr="00120B01" w:rsidRDefault="00F72C62" w:rsidP="00120B01">
      <w:pPr>
        <w:spacing w:after="0"/>
        <w:jc w:val="both"/>
        <w:rPr>
          <w:rFonts w:ascii="Times New Roman" w:hAnsi="Times New Roman" w:cs="Times New Roman"/>
          <w:sz w:val="24"/>
          <w:szCs w:val="24"/>
        </w:rPr>
      </w:pPr>
      <w:r w:rsidRPr="00120B01">
        <w:rPr>
          <w:rFonts w:ascii="Times New Roman" w:hAnsi="Times New Roman" w:cs="Times New Roman"/>
          <w:sz w:val="24"/>
          <w:szCs w:val="24"/>
        </w:rPr>
        <w:t>v</w:t>
      </w:r>
      <w:r w:rsidR="0001590E" w:rsidRPr="00120B01">
        <w:rPr>
          <w:rFonts w:ascii="Times New Roman" w:hAnsi="Times New Roman" w:cs="Times New Roman"/>
          <w:sz w:val="24"/>
          <w:szCs w:val="24"/>
        </w:rPr>
        <w:t>ersus</w:t>
      </w:r>
    </w:p>
    <w:p w:rsidR="002525A5" w:rsidRPr="00120B01" w:rsidRDefault="002525A5" w:rsidP="00120B01">
      <w:pPr>
        <w:spacing w:after="0"/>
        <w:jc w:val="both"/>
        <w:rPr>
          <w:rFonts w:ascii="Times New Roman" w:hAnsi="Times New Roman" w:cs="Times New Roman"/>
          <w:sz w:val="24"/>
          <w:szCs w:val="24"/>
        </w:rPr>
      </w:pPr>
      <w:r w:rsidRPr="00120B01">
        <w:rPr>
          <w:rFonts w:ascii="Times New Roman" w:hAnsi="Times New Roman" w:cs="Times New Roman"/>
          <w:sz w:val="24"/>
          <w:szCs w:val="24"/>
        </w:rPr>
        <w:t>ZIMBABWE REVENUE AUTHORITY</w:t>
      </w:r>
    </w:p>
    <w:p w:rsidR="0001590E" w:rsidRPr="00120B01" w:rsidRDefault="0001590E" w:rsidP="00120B01">
      <w:pPr>
        <w:pStyle w:val="NoSpacing"/>
        <w:jc w:val="both"/>
        <w:rPr>
          <w:rFonts w:ascii="Times New Roman" w:hAnsi="Times New Roman" w:cs="Times New Roman"/>
          <w:sz w:val="24"/>
          <w:szCs w:val="24"/>
        </w:rPr>
      </w:pPr>
    </w:p>
    <w:p w:rsidR="0001590E" w:rsidRPr="00120B01" w:rsidRDefault="0001590E" w:rsidP="00120B01">
      <w:pPr>
        <w:pStyle w:val="NoSpacing"/>
        <w:jc w:val="both"/>
        <w:rPr>
          <w:rFonts w:ascii="Times New Roman" w:hAnsi="Times New Roman" w:cs="Times New Roman"/>
          <w:sz w:val="24"/>
          <w:szCs w:val="24"/>
        </w:rPr>
      </w:pPr>
    </w:p>
    <w:p w:rsidR="002525A5" w:rsidRPr="00120B01" w:rsidRDefault="002525A5" w:rsidP="00120B01">
      <w:pPr>
        <w:pStyle w:val="NoSpacing"/>
        <w:jc w:val="both"/>
        <w:rPr>
          <w:rFonts w:ascii="Times New Roman" w:hAnsi="Times New Roman" w:cs="Times New Roman"/>
          <w:sz w:val="24"/>
          <w:szCs w:val="24"/>
        </w:rPr>
      </w:pPr>
      <w:r w:rsidRPr="00120B01">
        <w:rPr>
          <w:rFonts w:ascii="Times New Roman" w:hAnsi="Times New Roman" w:cs="Times New Roman"/>
          <w:sz w:val="24"/>
          <w:szCs w:val="24"/>
        </w:rPr>
        <w:t>HIGH COURT OF ZIMBABWE</w:t>
      </w:r>
    </w:p>
    <w:p w:rsidR="002525A5" w:rsidRPr="00120B01" w:rsidRDefault="002525A5" w:rsidP="00120B01">
      <w:pPr>
        <w:pStyle w:val="NoSpacing"/>
        <w:jc w:val="both"/>
        <w:rPr>
          <w:rFonts w:ascii="Times New Roman" w:hAnsi="Times New Roman" w:cs="Times New Roman"/>
          <w:sz w:val="24"/>
          <w:szCs w:val="24"/>
        </w:rPr>
      </w:pPr>
      <w:r w:rsidRPr="00120B01">
        <w:rPr>
          <w:rFonts w:ascii="Times New Roman" w:hAnsi="Times New Roman" w:cs="Times New Roman"/>
          <w:sz w:val="24"/>
          <w:szCs w:val="24"/>
        </w:rPr>
        <w:t>TAGU J</w:t>
      </w:r>
    </w:p>
    <w:p w:rsidR="002525A5" w:rsidRPr="00120B01" w:rsidRDefault="002525A5" w:rsidP="00120B01">
      <w:pPr>
        <w:pStyle w:val="NoSpacing"/>
        <w:jc w:val="both"/>
        <w:rPr>
          <w:rFonts w:ascii="Times New Roman" w:hAnsi="Times New Roman" w:cs="Times New Roman"/>
          <w:sz w:val="24"/>
          <w:szCs w:val="24"/>
        </w:rPr>
      </w:pPr>
      <w:r w:rsidRPr="00120B01">
        <w:rPr>
          <w:rFonts w:ascii="Times New Roman" w:hAnsi="Times New Roman" w:cs="Times New Roman"/>
          <w:sz w:val="24"/>
          <w:szCs w:val="24"/>
        </w:rPr>
        <w:t xml:space="preserve">HARARE 15 </w:t>
      </w:r>
      <w:r w:rsidR="0001590E" w:rsidRPr="00120B01">
        <w:rPr>
          <w:rFonts w:ascii="Times New Roman" w:hAnsi="Times New Roman" w:cs="Times New Roman"/>
          <w:sz w:val="24"/>
          <w:szCs w:val="24"/>
        </w:rPr>
        <w:t xml:space="preserve">November </w:t>
      </w:r>
      <w:r w:rsidR="00A46D5B" w:rsidRPr="00120B01">
        <w:rPr>
          <w:rFonts w:ascii="Times New Roman" w:hAnsi="Times New Roman" w:cs="Times New Roman"/>
          <w:sz w:val="24"/>
          <w:szCs w:val="24"/>
        </w:rPr>
        <w:t>&amp;</w:t>
      </w:r>
      <w:r w:rsidR="0001590E" w:rsidRPr="00120B01">
        <w:rPr>
          <w:rFonts w:ascii="Times New Roman" w:hAnsi="Times New Roman" w:cs="Times New Roman"/>
          <w:sz w:val="24"/>
          <w:szCs w:val="24"/>
        </w:rPr>
        <w:t xml:space="preserve"> 20 January 2021</w:t>
      </w:r>
    </w:p>
    <w:p w:rsidR="002525A5" w:rsidRPr="00120B01" w:rsidRDefault="002525A5" w:rsidP="00120B01">
      <w:pPr>
        <w:pStyle w:val="NoSpacing"/>
        <w:jc w:val="both"/>
        <w:rPr>
          <w:rFonts w:ascii="Times New Roman" w:hAnsi="Times New Roman" w:cs="Times New Roman"/>
          <w:sz w:val="24"/>
          <w:szCs w:val="24"/>
        </w:rPr>
      </w:pPr>
    </w:p>
    <w:p w:rsidR="002525A5" w:rsidRPr="00120B01" w:rsidRDefault="002525A5" w:rsidP="00120B01">
      <w:pPr>
        <w:jc w:val="both"/>
        <w:rPr>
          <w:rFonts w:ascii="Times New Roman" w:hAnsi="Times New Roman" w:cs="Times New Roman"/>
          <w:b/>
          <w:sz w:val="24"/>
          <w:szCs w:val="24"/>
        </w:rPr>
      </w:pPr>
      <w:r w:rsidRPr="00120B01">
        <w:rPr>
          <w:rFonts w:ascii="Times New Roman" w:hAnsi="Times New Roman" w:cs="Times New Roman"/>
          <w:b/>
          <w:sz w:val="24"/>
          <w:szCs w:val="24"/>
        </w:rPr>
        <w:t>Opposed application</w:t>
      </w:r>
    </w:p>
    <w:p w:rsidR="002525A5" w:rsidRPr="00120B01" w:rsidRDefault="002525A5" w:rsidP="00120B01">
      <w:pPr>
        <w:pStyle w:val="NoSpacing"/>
        <w:jc w:val="both"/>
        <w:rPr>
          <w:rFonts w:ascii="Times New Roman" w:hAnsi="Times New Roman" w:cs="Times New Roman"/>
          <w:sz w:val="24"/>
          <w:szCs w:val="24"/>
        </w:rPr>
      </w:pPr>
      <w:r w:rsidRPr="00120B01">
        <w:rPr>
          <w:rFonts w:ascii="Times New Roman" w:hAnsi="Times New Roman" w:cs="Times New Roman"/>
          <w:i/>
          <w:sz w:val="24"/>
          <w:szCs w:val="24"/>
        </w:rPr>
        <w:t>M</w:t>
      </w:r>
      <w:r w:rsidR="00317035" w:rsidRPr="00120B01">
        <w:rPr>
          <w:rFonts w:ascii="Times New Roman" w:hAnsi="Times New Roman" w:cs="Times New Roman"/>
          <w:i/>
          <w:sz w:val="24"/>
          <w:szCs w:val="24"/>
        </w:rPr>
        <w:t>.</w:t>
      </w:r>
      <w:r w:rsidRPr="00120B01">
        <w:rPr>
          <w:rFonts w:ascii="Times New Roman" w:hAnsi="Times New Roman" w:cs="Times New Roman"/>
          <w:i/>
          <w:sz w:val="24"/>
          <w:szCs w:val="24"/>
        </w:rPr>
        <w:t xml:space="preserve"> Tshuma,</w:t>
      </w:r>
      <w:r w:rsidRPr="00120B01">
        <w:rPr>
          <w:rFonts w:ascii="Times New Roman" w:hAnsi="Times New Roman" w:cs="Times New Roman"/>
          <w:sz w:val="24"/>
          <w:szCs w:val="24"/>
        </w:rPr>
        <w:t xml:space="preserve"> for applicant</w:t>
      </w:r>
    </w:p>
    <w:p w:rsidR="002525A5" w:rsidRPr="00120B01" w:rsidRDefault="002525A5" w:rsidP="00120B01">
      <w:pPr>
        <w:pStyle w:val="NoSpacing"/>
        <w:jc w:val="both"/>
        <w:rPr>
          <w:rFonts w:ascii="Times New Roman" w:hAnsi="Times New Roman" w:cs="Times New Roman"/>
          <w:sz w:val="24"/>
          <w:szCs w:val="24"/>
        </w:rPr>
      </w:pPr>
      <w:r w:rsidRPr="00120B01">
        <w:rPr>
          <w:rFonts w:ascii="Times New Roman" w:hAnsi="Times New Roman" w:cs="Times New Roman"/>
          <w:i/>
          <w:sz w:val="24"/>
          <w:szCs w:val="24"/>
        </w:rPr>
        <w:t>S. Bhebhe with H. Muromba,</w:t>
      </w:r>
      <w:r w:rsidRPr="00120B01">
        <w:rPr>
          <w:rFonts w:ascii="Times New Roman" w:hAnsi="Times New Roman" w:cs="Times New Roman"/>
          <w:sz w:val="24"/>
          <w:szCs w:val="24"/>
        </w:rPr>
        <w:t xml:space="preserve"> for respondent</w:t>
      </w:r>
    </w:p>
    <w:p w:rsidR="00F72C62" w:rsidRPr="00120B01" w:rsidRDefault="00F72C62" w:rsidP="00120B01">
      <w:pPr>
        <w:jc w:val="both"/>
        <w:rPr>
          <w:rFonts w:ascii="Times New Roman" w:hAnsi="Times New Roman" w:cs="Times New Roman"/>
          <w:sz w:val="24"/>
          <w:szCs w:val="24"/>
        </w:rPr>
      </w:pPr>
    </w:p>
    <w:p w:rsidR="00054B2A" w:rsidRPr="00120B01" w:rsidRDefault="002525A5" w:rsidP="00120B01">
      <w:pPr>
        <w:ind w:firstLine="720"/>
        <w:jc w:val="both"/>
        <w:rPr>
          <w:rFonts w:ascii="Times New Roman" w:hAnsi="Times New Roman" w:cs="Times New Roman"/>
          <w:sz w:val="24"/>
          <w:szCs w:val="24"/>
        </w:rPr>
      </w:pPr>
      <w:r w:rsidRPr="00120B01">
        <w:rPr>
          <w:rFonts w:ascii="Times New Roman" w:hAnsi="Times New Roman" w:cs="Times New Roman"/>
          <w:sz w:val="24"/>
          <w:szCs w:val="24"/>
        </w:rPr>
        <w:t xml:space="preserve">TAGU J: </w:t>
      </w:r>
      <w:r w:rsidR="002B0E69" w:rsidRPr="00120B01">
        <w:rPr>
          <w:rFonts w:ascii="Times New Roman" w:hAnsi="Times New Roman" w:cs="Times New Roman"/>
          <w:sz w:val="24"/>
          <w:szCs w:val="24"/>
        </w:rPr>
        <w:t>The applicant is a company registered and operating in Zimbabwe and carrying on mining operations. The respondent is the Zimbabwe Revenue Authority (ZIMRA), an administrative authority established in terms of the Revenue Authority Act [Chapter</w:t>
      </w:r>
      <w:r w:rsidR="008D0336" w:rsidRPr="00120B01">
        <w:rPr>
          <w:rFonts w:ascii="Times New Roman" w:hAnsi="Times New Roman" w:cs="Times New Roman"/>
          <w:sz w:val="24"/>
          <w:szCs w:val="24"/>
        </w:rPr>
        <w:t xml:space="preserve"> 23.11</w:t>
      </w:r>
      <w:r w:rsidR="002B0E69" w:rsidRPr="00120B01">
        <w:rPr>
          <w:rFonts w:ascii="Times New Roman" w:hAnsi="Times New Roman" w:cs="Times New Roman"/>
          <w:sz w:val="24"/>
          <w:szCs w:val="24"/>
        </w:rPr>
        <w:t>] tasked with the obligation to collect taxes and other statutory dues and fees. The applicant holds in its possession some virgin land which it has held for over 30 years as an investment. The applicant has decided to start a new venture wherein it will develop this land and subdivide it into residential/housing stands. As the project to develop this new line of business involves significant cash flows</w:t>
      </w:r>
      <w:r w:rsidR="00C94F74" w:rsidRPr="00120B01">
        <w:rPr>
          <w:rFonts w:ascii="Times New Roman" w:hAnsi="Times New Roman" w:cs="Times New Roman"/>
          <w:sz w:val="24"/>
          <w:szCs w:val="24"/>
        </w:rPr>
        <w:t>, it was deemed prudent to seek an advance tax ruling with respect to possible deductions under section 15 (2) (v) of the Income Tax Act [Chapter</w:t>
      </w:r>
      <w:r w:rsidR="008D0336" w:rsidRPr="00120B01">
        <w:rPr>
          <w:rFonts w:ascii="Times New Roman" w:hAnsi="Times New Roman" w:cs="Times New Roman"/>
          <w:sz w:val="24"/>
          <w:szCs w:val="24"/>
        </w:rPr>
        <w:t xml:space="preserve"> 23.06</w:t>
      </w:r>
      <w:r w:rsidR="00C94F74" w:rsidRPr="00120B01">
        <w:rPr>
          <w:rFonts w:ascii="Times New Roman" w:hAnsi="Times New Roman" w:cs="Times New Roman"/>
          <w:sz w:val="24"/>
          <w:szCs w:val="24"/>
        </w:rPr>
        <w:t xml:space="preserve">] and section 17 (4) of the Value Added Tax Act [Chapter </w:t>
      </w:r>
      <w:r w:rsidR="00BF01DA" w:rsidRPr="00120B01">
        <w:rPr>
          <w:rFonts w:ascii="Times New Roman" w:hAnsi="Times New Roman" w:cs="Times New Roman"/>
          <w:sz w:val="24"/>
          <w:szCs w:val="24"/>
        </w:rPr>
        <w:t>23.12</w:t>
      </w:r>
      <w:r w:rsidR="00C94F74" w:rsidRPr="00120B01">
        <w:rPr>
          <w:rFonts w:ascii="Times New Roman" w:hAnsi="Times New Roman" w:cs="Times New Roman"/>
          <w:sz w:val="24"/>
          <w:szCs w:val="24"/>
        </w:rPr>
        <w:t>] which provisions provide relief where an asset previously held as a capital asset is now being held for a business/trading purpose.</w:t>
      </w:r>
      <w:r w:rsidR="00054B2A" w:rsidRPr="00120B01">
        <w:rPr>
          <w:rFonts w:ascii="Times New Roman" w:hAnsi="Times New Roman" w:cs="Times New Roman"/>
          <w:sz w:val="24"/>
          <w:szCs w:val="24"/>
        </w:rPr>
        <w:t xml:space="preserve"> The applicant made three requests for an advance tax ruling which were all turned down by the respondent. In a bid to have the respondent reconsider its position the applicant provided additional documents but the respondent maintained its position in the Advance Tax </w:t>
      </w:r>
      <w:r w:rsidR="009627A8" w:rsidRPr="00120B01">
        <w:rPr>
          <w:rFonts w:ascii="Times New Roman" w:hAnsi="Times New Roman" w:cs="Times New Roman"/>
          <w:sz w:val="24"/>
          <w:szCs w:val="24"/>
        </w:rPr>
        <w:t>Ruling (Reference COMM/DT/546/18)</w:t>
      </w:r>
      <w:r w:rsidR="00054B2A" w:rsidRPr="00120B01">
        <w:rPr>
          <w:rFonts w:ascii="Times New Roman" w:hAnsi="Times New Roman" w:cs="Times New Roman"/>
          <w:sz w:val="24"/>
          <w:szCs w:val="24"/>
        </w:rPr>
        <w:t>. The applicant feels that there is no basis for the respondent to deny the relief which the applicant is entitled at law. The applicant has now approached this court seeking the following order.</w:t>
      </w:r>
    </w:p>
    <w:p w:rsidR="006A31A8" w:rsidRPr="00120B01" w:rsidRDefault="006A31A8" w:rsidP="00120B01">
      <w:pPr>
        <w:spacing w:line="240" w:lineRule="auto"/>
        <w:jc w:val="both"/>
        <w:rPr>
          <w:rFonts w:ascii="Times New Roman" w:hAnsi="Times New Roman" w:cs="Times New Roman"/>
        </w:rPr>
      </w:pPr>
      <w:r w:rsidRPr="00120B01">
        <w:rPr>
          <w:rFonts w:ascii="Times New Roman" w:hAnsi="Times New Roman" w:cs="Times New Roman"/>
        </w:rPr>
        <w:t xml:space="preserve">           “IT IS ORDERED THAT:</w:t>
      </w:r>
    </w:p>
    <w:p w:rsidR="006A31A8" w:rsidRPr="00120B01" w:rsidRDefault="006A31A8" w:rsidP="00120B01">
      <w:pPr>
        <w:pStyle w:val="ListParagraph"/>
        <w:numPr>
          <w:ilvl w:val="0"/>
          <w:numId w:val="1"/>
        </w:numPr>
        <w:spacing w:line="240" w:lineRule="auto"/>
        <w:jc w:val="both"/>
        <w:rPr>
          <w:rFonts w:ascii="Times New Roman" w:hAnsi="Times New Roman" w:cs="Times New Roman"/>
        </w:rPr>
      </w:pPr>
      <w:r w:rsidRPr="00120B01">
        <w:rPr>
          <w:rFonts w:ascii="Times New Roman" w:hAnsi="Times New Roman" w:cs="Times New Roman"/>
        </w:rPr>
        <w:t>The Respondent’s Advance Tax Ruling (Reference COMM/DT/546/18) be and is hereby set aside.</w:t>
      </w:r>
    </w:p>
    <w:p w:rsidR="006A31A8" w:rsidRPr="00120B01" w:rsidRDefault="006A31A8" w:rsidP="00120B01">
      <w:pPr>
        <w:pStyle w:val="ListParagraph"/>
        <w:numPr>
          <w:ilvl w:val="0"/>
          <w:numId w:val="1"/>
        </w:numPr>
        <w:spacing w:line="240" w:lineRule="auto"/>
        <w:jc w:val="both"/>
        <w:rPr>
          <w:rFonts w:ascii="Times New Roman" w:hAnsi="Times New Roman" w:cs="Times New Roman"/>
        </w:rPr>
      </w:pPr>
      <w:r w:rsidRPr="00120B01">
        <w:rPr>
          <w:rFonts w:ascii="Times New Roman" w:hAnsi="Times New Roman" w:cs="Times New Roman"/>
        </w:rPr>
        <w:t>Having shown an intention to change the use of the asset from a capital asset to an asset used as part of a scheme of profit making, the Applicant is thus entitled to the relief provided for in in section 15 (v) of the Income Tax Act, and section 17 (4) of the VAT Act.</w:t>
      </w:r>
    </w:p>
    <w:p w:rsidR="00916067" w:rsidRPr="00120B01" w:rsidRDefault="006A31A8" w:rsidP="00120B01">
      <w:pPr>
        <w:pStyle w:val="ListParagraph"/>
        <w:numPr>
          <w:ilvl w:val="0"/>
          <w:numId w:val="1"/>
        </w:numPr>
        <w:spacing w:line="240" w:lineRule="auto"/>
        <w:jc w:val="both"/>
        <w:rPr>
          <w:rFonts w:ascii="Times New Roman" w:hAnsi="Times New Roman" w:cs="Times New Roman"/>
        </w:rPr>
      </w:pPr>
      <w:r w:rsidRPr="00120B01">
        <w:rPr>
          <w:rFonts w:ascii="Times New Roman" w:hAnsi="Times New Roman" w:cs="Times New Roman"/>
        </w:rPr>
        <w:t xml:space="preserve">In the event that this application is opposed, the Respondent shall pay the Applicant’s costs on a legal </w:t>
      </w:r>
      <w:r w:rsidR="008B0550" w:rsidRPr="00120B01">
        <w:rPr>
          <w:rFonts w:ascii="Times New Roman" w:hAnsi="Times New Roman" w:cs="Times New Roman"/>
        </w:rPr>
        <w:t>practitioner and client scale.”</w:t>
      </w:r>
    </w:p>
    <w:p w:rsidR="0084758F" w:rsidRPr="00120B01" w:rsidRDefault="00916067" w:rsidP="00120B01">
      <w:pPr>
        <w:ind w:firstLine="360"/>
        <w:jc w:val="both"/>
        <w:rPr>
          <w:rFonts w:ascii="Times New Roman" w:hAnsi="Times New Roman" w:cs="Times New Roman"/>
          <w:sz w:val="24"/>
          <w:szCs w:val="24"/>
        </w:rPr>
      </w:pPr>
      <w:r w:rsidRPr="00120B01">
        <w:rPr>
          <w:rFonts w:ascii="Times New Roman" w:hAnsi="Times New Roman" w:cs="Times New Roman"/>
          <w:sz w:val="24"/>
          <w:szCs w:val="24"/>
        </w:rPr>
        <w:t xml:space="preserve">The respondent opposes the application </w:t>
      </w:r>
      <w:r w:rsidR="0003554A" w:rsidRPr="00120B01">
        <w:rPr>
          <w:rFonts w:ascii="Times New Roman" w:hAnsi="Times New Roman" w:cs="Times New Roman"/>
          <w:sz w:val="24"/>
          <w:szCs w:val="24"/>
        </w:rPr>
        <w:t>and raised two preliminary objections. The first objection is that the relief sought cannot be granted by this court. The second objection is that there is no cause of action.</w:t>
      </w:r>
    </w:p>
    <w:p w:rsidR="0084758F" w:rsidRPr="00120B01" w:rsidRDefault="0084758F" w:rsidP="00120B01">
      <w:pPr>
        <w:ind w:firstLine="360"/>
        <w:jc w:val="both"/>
        <w:rPr>
          <w:rFonts w:ascii="Times New Roman" w:hAnsi="Times New Roman" w:cs="Times New Roman"/>
          <w:b/>
          <w:sz w:val="24"/>
          <w:szCs w:val="24"/>
        </w:rPr>
      </w:pPr>
      <w:r w:rsidRPr="00120B01">
        <w:rPr>
          <w:rFonts w:ascii="Times New Roman" w:hAnsi="Times New Roman" w:cs="Times New Roman"/>
          <w:b/>
          <w:sz w:val="24"/>
          <w:szCs w:val="24"/>
        </w:rPr>
        <w:t>RELIEF SOUGHT CANNOT BE GRANTED BY THIS COURT</w:t>
      </w:r>
    </w:p>
    <w:p w:rsidR="00985A03" w:rsidRPr="00120B01" w:rsidRDefault="0084758F" w:rsidP="00120B01">
      <w:pPr>
        <w:ind w:firstLine="360"/>
        <w:jc w:val="both"/>
        <w:rPr>
          <w:rFonts w:ascii="Times New Roman" w:hAnsi="Times New Roman" w:cs="Times New Roman"/>
          <w:sz w:val="24"/>
          <w:szCs w:val="24"/>
        </w:rPr>
      </w:pPr>
      <w:r w:rsidRPr="00120B01">
        <w:rPr>
          <w:rFonts w:ascii="Times New Roman" w:hAnsi="Times New Roman" w:cs="Times New Roman"/>
          <w:sz w:val="24"/>
          <w:szCs w:val="24"/>
        </w:rPr>
        <w:lastRenderedPageBreak/>
        <w:t xml:space="preserve">A reading of the applicant’s draft order will show that the applicant is in simple terms seeking this Honourable Court to issue a tax ruling in its favour. The respondent’s contention is that this Honourable Court cannot issue a tax ruling. It said a tax ruling by its nature is an opinion rendered by the respondent to a tax payer on its own interpretation of the law as juxtaposed with the facts of each matter. It further submitted that in terms of Section 34D of the Revenue Authority Act (RAA) as read together with the </w:t>
      </w:r>
      <w:r w:rsidR="0001590E" w:rsidRPr="00120B01">
        <w:rPr>
          <w:rFonts w:ascii="Times New Roman" w:hAnsi="Times New Roman" w:cs="Times New Roman"/>
          <w:sz w:val="24"/>
          <w:szCs w:val="24"/>
        </w:rPr>
        <w:t>fourth</w:t>
      </w:r>
      <w:r w:rsidRPr="00120B01">
        <w:rPr>
          <w:rFonts w:ascii="Times New Roman" w:hAnsi="Times New Roman" w:cs="Times New Roman"/>
          <w:sz w:val="24"/>
          <w:szCs w:val="24"/>
        </w:rPr>
        <w:t xml:space="preserve"> Schedule thereof, it is only the Commissioner –General of the respondent who can issue a tax ruling to any person. </w:t>
      </w:r>
      <w:r w:rsidR="00D741EB" w:rsidRPr="00120B01">
        <w:rPr>
          <w:rFonts w:ascii="Times New Roman" w:hAnsi="Times New Roman" w:cs="Times New Roman"/>
          <w:sz w:val="24"/>
          <w:szCs w:val="24"/>
        </w:rPr>
        <w:t>This court cannot then usurp the statutory functions reposed on the respondent and issue a tax ruling in favour of the applicant as claimed by the applicant. It further averred that this Honourable Court cannot offer legal opinions to litigants as the applicant is seeking this Honourable Court to do. It argued that even if the Court grants the applicant the relief that it is seeking, that judgment will not be of assistance to the applicant as it will not preclude the respondent from enforcing the provisions of the Income Tax Act (ITA) as well as the Value Added Tax Act (VATA) when the applicant consummates its Joint Venture. It prayed for the dismissal of the application on this basis alone.</w:t>
      </w:r>
    </w:p>
    <w:p w:rsidR="002A628C" w:rsidRPr="00120B01" w:rsidRDefault="00985A03" w:rsidP="00120B01">
      <w:pPr>
        <w:ind w:firstLine="360"/>
        <w:jc w:val="both"/>
        <w:rPr>
          <w:rFonts w:ascii="Times New Roman" w:hAnsi="Times New Roman" w:cs="Times New Roman"/>
          <w:sz w:val="24"/>
          <w:szCs w:val="24"/>
        </w:rPr>
      </w:pPr>
      <w:r w:rsidRPr="00120B01">
        <w:rPr>
          <w:rFonts w:ascii="Times New Roman" w:hAnsi="Times New Roman" w:cs="Times New Roman"/>
          <w:sz w:val="24"/>
          <w:szCs w:val="24"/>
        </w:rPr>
        <w:t>In its answering affidavit the applicant submitted that it is misleading to describe a binding private ruling as a legal opinion. It further averred that a binding private ruling is more correctly defined as part of a formal advance tax ruling system. A binding private ruling is thus administrative action in the Administrative Justice Act, and the review of administrative action is within the purview of this Court’s jurisdiction hence this Court has the jurisdiction to grant the competent relief being sought.</w:t>
      </w:r>
    </w:p>
    <w:p w:rsidR="002A628C" w:rsidRPr="00120B01" w:rsidRDefault="002A628C" w:rsidP="00120B01">
      <w:pPr>
        <w:spacing w:line="240" w:lineRule="auto"/>
        <w:ind w:firstLine="360"/>
        <w:jc w:val="both"/>
        <w:rPr>
          <w:rFonts w:ascii="Times New Roman" w:hAnsi="Times New Roman" w:cs="Times New Roman"/>
        </w:rPr>
      </w:pPr>
      <w:r w:rsidRPr="00120B01">
        <w:rPr>
          <w:rFonts w:ascii="Times New Roman" w:hAnsi="Times New Roman" w:cs="Times New Roman"/>
          <w:sz w:val="24"/>
          <w:szCs w:val="24"/>
        </w:rPr>
        <w:t xml:space="preserve">In terms of Section 34D of the Revenue Authority Act [Chapter 23.11] it is only the Commissioner General of the respondent who can issue a tax ruling to any person. This position was affirmed in the case of Delta Corporation v ZIMRA HH-621-15 where </w:t>
      </w:r>
      <w:r w:rsidR="0001590E" w:rsidRPr="00120B01">
        <w:rPr>
          <w:rFonts w:ascii="Times New Roman" w:hAnsi="Times New Roman" w:cs="Times New Roman"/>
          <w:smallCaps/>
          <w:sz w:val="24"/>
          <w:szCs w:val="24"/>
        </w:rPr>
        <w:t xml:space="preserve">Hlatshwayo </w:t>
      </w:r>
      <w:r w:rsidRPr="00120B01">
        <w:rPr>
          <w:rFonts w:ascii="Times New Roman" w:hAnsi="Times New Roman" w:cs="Times New Roman"/>
          <w:smallCaps/>
          <w:sz w:val="24"/>
          <w:szCs w:val="24"/>
        </w:rPr>
        <w:t>J</w:t>
      </w:r>
      <w:r w:rsidRPr="00120B01">
        <w:rPr>
          <w:rFonts w:ascii="Times New Roman" w:hAnsi="Times New Roman" w:cs="Times New Roman"/>
          <w:sz w:val="24"/>
          <w:szCs w:val="24"/>
        </w:rPr>
        <w:t xml:space="preserve"> (as he then was) stated as follows:</w:t>
      </w:r>
    </w:p>
    <w:p w:rsidR="00445EA9" w:rsidRPr="00120B01" w:rsidRDefault="002A628C" w:rsidP="00120B01">
      <w:pPr>
        <w:spacing w:line="240" w:lineRule="auto"/>
        <w:jc w:val="both"/>
        <w:rPr>
          <w:rFonts w:ascii="Times New Roman" w:hAnsi="Times New Roman" w:cs="Times New Roman"/>
        </w:rPr>
      </w:pPr>
      <w:r w:rsidRPr="00120B01">
        <w:rPr>
          <w:rFonts w:ascii="Times New Roman" w:hAnsi="Times New Roman" w:cs="Times New Roman"/>
        </w:rPr>
        <w:t xml:space="preserve">        “Regarding the standpoint taken by the appellant that the letter from the COT constitutes a tax ruling, one needs to understand the nature and import of an advance tax ruling which is defined in 4</w:t>
      </w:r>
      <w:r w:rsidRPr="00120B01">
        <w:rPr>
          <w:rFonts w:ascii="Times New Roman" w:hAnsi="Times New Roman" w:cs="Times New Roman"/>
          <w:vertAlign w:val="superscript"/>
        </w:rPr>
        <w:t>th</w:t>
      </w:r>
      <w:r w:rsidRPr="00120B01">
        <w:rPr>
          <w:rFonts w:ascii="Times New Roman" w:hAnsi="Times New Roman" w:cs="Times New Roman"/>
        </w:rPr>
        <w:t xml:space="preserve"> Schedule to </w:t>
      </w:r>
      <w:r w:rsidR="00445EA9" w:rsidRPr="00120B01">
        <w:rPr>
          <w:rFonts w:ascii="Times New Roman" w:hAnsi="Times New Roman" w:cs="Times New Roman"/>
        </w:rPr>
        <w:t>the Revenue Authority Act as ‘a written statement in the form of a binding general ruling, binding private ruling and binding class ruling issued by the Commissioner –General regarding the interpretation or application of the relevant Act.”</w:t>
      </w:r>
    </w:p>
    <w:p w:rsidR="00445EA9" w:rsidRPr="00120B01" w:rsidRDefault="00445EA9" w:rsidP="00120B01">
      <w:pPr>
        <w:ind w:firstLine="720"/>
        <w:jc w:val="both"/>
        <w:rPr>
          <w:rFonts w:ascii="Times New Roman" w:hAnsi="Times New Roman" w:cs="Times New Roman"/>
          <w:sz w:val="24"/>
          <w:szCs w:val="24"/>
        </w:rPr>
      </w:pPr>
      <w:r w:rsidRPr="00120B01">
        <w:rPr>
          <w:rFonts w:ascii="Times New Roman" w:hAnsi="Times New Roman" w:cs="Times New Roman"/>
          <w:sz w:val="24"/>
          <w:szCs w:val="24"/>
        </w:rPr>
        <w:t>Therefore, once the respondent has advised a taxpayer of its interpretation of a tax provision, via a tax ruling, then the respondent would be bound by the said tax ruling in accordance with Section 34D as read together with the 4</w:t>
      </w:r>
      <w:r w:rsidRPr="00120B01">
        <w:rPr>
          <w:rFonts w:ascii="Times New Roman" w:hAnsi="Times New Roman" w:cs="Times New Roman"/>
          <w:sz w:val="24"/>
          <w:szCs w:val="24"/>
          <w:vertAlign w:val="superscript"/>
        </w:rPr>
        <w:t>th</w:t>
      </w:r>
      <w:r w:rsidRPr="00120B01">
        <w:rPr>
          <w:rFonts w:ascii="Times New Roman" w:hAnsi="Times New Roman" w:cs="Times New Roman"/>
          <w:sz w:val="24"/>
          <w:szCs w:val="24"/>
        </w:rPr>
        <w:t xml:space="preserve"> Schedule to the RAA. Once the respondent has pronounced itself on an issue, via a private advance tax ruling then it is bound by its decision. The taxpayer has a choice to either accept the interpretation by the Commissioner General or proceed in a way it deems fit.</w:t>
      </w:r>
    </w:p>
    <w:p w:rsidR="00D92383" w:rsidRPr="00120B01" w:rsidRDefault="00445EA9" w:rsidP="00120B01">
      <w:pPr>
        <w:ind w:firstLine="720"/>
        <w:jc w:val="both"/>
        <w:rPr>
          <w:rFonts w:ascii="Times New Roman" w:hAnsi="Times New Roman" w:cs="Times New Roman"/>
          <w:sz w:val="24"/>
          <w:szCs w:val="24"/>
        </w:rPr>
      </w:pPr>
      <w:r w:rsidRPr="00120B01">
        <w:rPr>
          <w:rFonts w:ascii="Times New Roman" w:hAnsi="Times New Roman" w:cs="Times New Roman"/>
          <w:sz w:val="24"/>
          <w:szCs w:val="24"/>
        </w:rPr>
        <w:t>On inter</w:t>
      </w:r>
      <w:r w:rsidR="00D92383" w:rsidRPr="00120B01">
        <w:rPr>
          <w:rFonts w:ascii="Times New Roman" w:hAnsi="Times New Roman" w:cs="Times New Roman"/>
          <w:sz w:val="24"/>
          <w:szCs w:val="24"/>
        </w:rPr>
        <w:t xml:space="preserve">ference by the courts in the case of </w:t>
      </w:r>
      <w:r w:rsidR="00D92383" w:rsidRPr="00120B01">
        <w:rPr>
          <w:rFonts w:ascii="Times New Roman" w:hAnsi="Times New Roman" w:cs="Times New Roman"/>
          <w:i/>
          <w:sz w:val="24"/>
          <w:szCs w:val="24"/>
        </w:rPr>
        <w:t>Doctors for Life International v Speaker of the National Assembly &amp; Ors</w:t>
      </w:r>
      <w:r w:rsidR="00D92383" w:rsidRPr="00120B01">
        <w:rPr>
          <w:rFonts w:ascii="Times New Roman" w:hAnsi="Times New Roman" w:cs="Times New Roman"/>
          <w:sz w:val="24"/>
          <w:szCs w:val="24"/>
        </w:rPr>
        <w:t xml:space="preserve"> 2006 (6) SA 416 (CC) at para 37 the court stated as follows:</w:t>
      </w:r>
    </w:p>
    <w:p w:rsidR="00D92383" w:rsidRPr="00120B01" w:rsidRDefault="00D92383" w:rsidP="00120B01">
      <w:pPr>
        <w:spacing w:line="240" w:lineRule="auto"/>
        <w:jc w:val="both"/>
        <w:rPr>
          <w:rFonts w:ascii="Times New Roman" w:hAnsi="Times New Roman" w:cs="Times New Roman"/>
        </w:rPr>
      </w:pPr>
      <w:r w:rsidRPr="00120B01">
        <w:rPr>
          <w:rFonts w:ascii="Times New Roman" w:hAnsi="Times New Roman" w:cs="Times New Roman"/>
        </w:rPr>
        <w:t xml:space="preserve">         “Courts must be conscious of the vital limits on judicial authority and the Constitution’s design to leave certain matters to other branches of government. They too must observe the constitutional limits of </w:t>
      </w:r>
      <w:r w:rsidRPr="00120B01">
        <w:rPr>
          <w:rFonts w:ascii="Times New Roman" w:hAnsi="Times New Roman" w:cs="Times New Roman"/>
        </w:rPr>
        <w:lastRenderedPageBreak/>
        <w:t>their authority. This means that the judiciary should not interfere in the processes of other branches of government unless to do so is mandated by the Constitution.”</w:t>
      </w:r>
    </w:p>
    <w:p w:rsidR="003B0459" w:rsidRPr="00120B01" w:rsidRDefault="00D92383" w:rsidP="00120B01">
      <w:pPr>
        <w:jc w:val="both"/>
        <w:rPr>
          <w:rFonts w:ascii="Times New Roman" w:hAnsi="Times New Roman" w:cs="Times New Roman"/>
          <w:sz w:val="24"/>
          <w:szCs w:val="24"/>
        </w:rPr>
      </w:pPr>
      <w:r w:rsidRPr="00120B01">
        <w:rPr>
          <w:rFonts w:ascii="Times New Roman" w:hAnsi="Times New Roman" w:cs="Times New Roman"/>
          <w:sz w:val="24"/>
          <w:szCs w:val="24"/>
        </w:rPr>
        <w:t>In the case of International Trade Administration Commission v SCAW South Africa (PTY) LTD 2012</w:t>
      </w:r>
      <w:r w:rsidR="00982212" w:rsidRPr="00120B01">
        <w:rPr>
          <w:rFonts w:ascii="Times New Roman" w:hAnsi="Times New Roman" w:cs="Times New Roman"/>
          <w:sz w:val="24"/>
          <w:szCs w:val="24"/>
        </w:rPr>
        <w:t xml:space="preserve"> (4) SA 618 (CC) at para 95 the court stated as follows:</w:t>
      </w:r>
    </w:p>
    <w:p w:rsidR="00BF71CD" w:rsidRPr="00120B01" w:rsidRDefault="003B0459" w:rsidP="00120B01">
      <w:pPr>
        <w:spacing w:line="240" w:lineRule="auto"/>
        <w:jc w:val="both"/>
        <w:rPr>
          <w:rFonts w:ascii="Times New Roman" w:hAnsi="Times New Roman" w:cs="Times New Roman"/>
        </w:rPr>
      </w:pPr>
      <w:r w:rsidRPr="00120B01">
        <w:rPr>
          <w:rFonts w:ascii="Times New Roman" w:hAnsi="Times New Roman" w:cs="Times New Roman"/>
        </w:rPr>
        <w:t xml:space="preserve">         “Where the Constitution or valid legislation has entrusted specific powers and functions to a particular branch of government, courts may not usurp that power or function by making a decision of their preference. That would frustrate the balance of power implied in the principle of separation of powers. The primary responsibility of a court is not to make decisions reserved for or within the domain of other branches of government, but rather to ensure that the concerned branches of government exercise their authority within the bounds of the Constitution. This would especially be so where </w:t>
      </w:r>
      <w:r w:rsidR="00F752CF" w:rsidRPr="00120B01">
        <w:rPr>
          <w:rFonts w:ascii="Times New Roman" w:hAnsi="Times New Roman" w:cs="Times New Roman"/>
        </w:rPr>
        <w:t>the decision in issue is policy-laden as well as polycentric.”</w:t>
      </w:r>
    </w:p>
    <w:p w:rsidR="007036BA" w:rsidRPr="00120B01" w:rsidRDefault="00BF71CD" w:rsidP="00120B01">
      <w:pPr>
        <w:ind w:firstLine="720"/>
        <w:jc w:val="both"/>
        <w:rPr>
          <w:rFonts w:ascii="Times New Roman" w:hAnsi="Times New Roman" w:cs="Times New Roman"/>
          <w:sz w:val="24"/>
          <w:szCs w:val="24"/>
        </w:rPr>
      </w:pPr>
      <w:r w:rsidRPr="00120B01">
        <w:rPr>
          <w:rFonts w:ascii="Times New Roman" w:hAnsi="Times New Roman" w:cs="Times New Roman"/>
          <w:sz w:val="24"/>
          <w:szCs w:val="24"/>
        </w:rPr>
        <w:t>The applicant submitted that this court has jurisdiction to grant the relief sought because the decision made by the respondent is the administration action in the Administrative Justice Act.</w:t>
      </w:r>
      <w:r w:rsidR="00F752CF" w:rsidRPr="00120B01">
        <w:rPr>
          <w:rFonts w:ascii="Times New Roman" w:hAnsi="Times New Roman" w:cs="Times New Roman"/>
          <w:sz w:val="24"/>
          <w:szCs w:val="24"/>
        </w:rPr>
        <w:t xml:space="preserve"> </w:t>
      </w:r>
      <w:r w:rsidR="00D92383" w:rsidRPr="00120B01">
        <w:rPr>
          <w:rFonts w:ascii="Times New Roman" w:hAnsi="Times New Roman" w:cs="Times New Roman"/>
          <w:sz w:val="24"/>
          <w:szCs w:val="24"/>
        </w:rPr>
        <w:t xml:space="preserve"> </w:t>
      </w:r>
      <w:r w:rsidRPr="00120B01">
        <w:rPr>
          <w:rFonts w:ascii="Times New Roman" w:hAnsi="Times New Roman" w:cs="Times New Roman"/>
          <w:sz w:val="24"/>
          <w:szCs w:val="24"/>
        </w:rPr>
        <w:t xml:space="preserve">However, the Supreme Court in the case </w:t>
      </w:r>
      <w:r w:rsidRPr="00120B01">
        <w:rPr>
          <w:rFonts w:ascii="Times New Roman" w:hAnsi="Times New Roman" w:cs="Times New Roman"/>
          <w:i/>
          <w:sz w:val="24"/>
          <w:szCs w:val="24"/>
        </w:rPr>
        <w:t>of Zimbabwe School Examination Council v Victor Mukomera &amp; Anor</w:t>
      </w:r>
      <w:r w:rsidRPr="00120B01">
        <w:rPr>
          <w:rFonts w:ascii="Times New Roman" w:hAnsi="Times New Roman" w:cs="Times New Roman"/>
          <w:sz w:val="24"/>
          <w:szCs w:val="24"/>
        </w:rPr>
        <w:t xml:space="preserve"> SC 10-20 had occasion to deal with when courts can interfere with actions or decisions of administrative bodies and the court stated as follows:</w:t>
      </w:r>
    </w:p>
    <w:p w:rsidR="00E96441" w:rsidRPr="00120B01" w:rsidRDefault="007036BA" w:rsidP="00120B01">
      <w:pPr>
        <w:jc w:val="both"/>
        <w:rPr>
          <w:rFonts w:ascii="Times New Roman" w:hAnsi="Times New Roman" w:cs="Times New Roman"/>
          <w:sz w:val="24"/>
          <w:szCs w:val="24"/>
        </w:rPr>
      </w:pPr>
      <w:r w:rsidRPr="00120B01">
        <w:rPr>
          <w:rFonts w:ascii="Times New Roman" w:hAnsi="Times New Roman" w:cs="Times New Roman"/>
          <w:sz w:val="24"/>
          <w:szCs w:val="24"/>
        </w:rPr>
        <w:t xml:space="preserve">           “The general principle is that the courts will not interfere with the actions or decisions of an administrative authority unless they are shown to be unlawful, grossly unreasonable or procedurally irregular or unfair. This fundamental cannon of the common law, as embodied in the so-called Wednesbury principle, is now codified in s 3 (1) of the Administrative Justice Act [Chapter 10.28]. The corollary to this principle is that the courts will generally not substitute their own decisions for those of the administrative authority. As was aptly recognized by </w:t>
      </w:r>
      <w:r w:rsidRPr="00120B01">
        <w:rPr>
          <w:rFonts w:ascii="Times New Roman" w:hAnsi="Times New Roman" w:cs="Times New Roman"/>
          <w:smallCaps/>
          <w:sz w:val="24"/>
          <w:szCs w:val="24"/>
        </w:rPr>
        <w:t>McNally JA</w:t>
      </w:r>
      <w:r w:rsidRPr="00120B01">
        <w:rPr>
          <w:rFonts w:ascii="Times New Roman" w:hAnsi="Times New Roman" w:cs="Times New Roman"/>
          <w:sz w:val="24"/>
          <w:szCs w:val="24"/>
        </w:rPr>
        <w:t xml:space="preserve"> in </w:t>
      </w:r>
      <w:r w:rsidRPr="00120B01">
        <w:rPr>
          <w:rFonts w:ascii="Times New Roman" w:hAnsi="Times New Roman" w:cs="Times New Roman"/>
          <w:i/>
          <w:sz w:val="24"/>
          <w:szCs w:val="24"/>
        </w:rPr>
        <w:t xml:space="preserve">Affretair (Pvt) </w:t>
      </w:r>
      <w:r w:rsidR="00E96441" w:rsidRPr="00120B01">
        <w:rPr>
          <w:rFonts w:ascii="Times New Roman" w:hAnsi="Times New Roman" w:cs="Times New Roman"/>
          <w:i/>
          <w:sz w:val="24"/>
          <w:szCs w:val="24"/>
        </w:rPr>
        <w:t>Ltd &amp; Anor v M.K. Airline (Pvt) Ltd</w:t>
      </w:r>
      <w:r w:rsidR="00E96441" w:rsidRPr="00120B01">
        <w:rPr>
          <w:rFonts w:ascii="Times New Roman" w:hAnsi="Times New Roman" w:cs="Times New Roman"/>
          <w:sz w:val="24"/>
          <w:szCs w:val="24"/>
        </w:rPr>
        <w:t xml:space="preserve"> 1996 (2) ZLR 15 (S)</w:t>
      </w:r>
      <w:r w:rsidRPr="00120B01">
        <w:rPr>
          <w:rFonts w:ascii="Times New Roman" w:hAnsi="Times New Roman" w:cs="Times New Roman"/>
          <w:sz w:val="24"/>
          <w:szCs w:val="24"/>
        </w:rPr>
        <w:t xml:space="preserve"> </w:t>
      </w:r>
      <w:r w:rsidR="00E96441" w:rsidRPr="00120B01">
        <w:rPr>
          <w:rFonts w:ascii="Times New Roman" w:hAnsi="Times New Roman" w:cs="Times New Roman"/>
          <w:sz w:val="24"/>
          <w:szCs w:val="24"/>
        </w:rPr>
        <w:t>at 21:</w:t>
      </w:r>
    </w:p>
    <w:p w:rsidR="00E96441" w:rsidRPr="00120B01" w:rsidRDefault="00E96441" w:rsidP="00120B01">
      <w:pPr>
        <w:spacing w:line="240" w:lineRule="auto"/>
        <w:ind w:left="720"/>
        <w:jc w:val="both"/>
        <w:rPr>
          <w:rFonts w:ascii="Times New Roman" w:hAnsi="Times New Roman" w:cs="Times New Roman"/>
        </w:rPr>
      </w:pPr>
      <w:r w:rsidRPr="00120B01">
        <w:rPr>
          <w:rFonts w:ascii="Times New Roman" w:hAnsi="Times New Roman" w:cs="Times New Roman"/>
        </w:rPr>
        <w:t>“The duty of the courts is not to dismiss the authority and take over its functions, but to ensure, as far as humanly and legally possible, that it carries out its function fairly and transparently. If we are satisfied that it has done that, we cannot interfere just because we do not approve of its conclusion.”</w:t>
      </w:r>
    </w:p>
    <w:p w:rsidR="0090746E" w:rsidRPr="00120B01" w:rsidRDefault="00E96441" w:rsidP="00120B01">
      <w:pPr>
        <w:spacing w:line="240" w:lineRule="auto"/>
        <w:ind w:left="720"/>
        <w:jc w:val="both"/>
        <w:rPr>
          <w:rFonts w:ascii="Times New Roman" w:hAnsi="Times New Roman" w:cs="Times New Roman"/>
        </w:rPr>
      </w:pPr>
      <w:r w:rsidRPr="00120B01">
        <w:rPr>
          <w:rFonts w:ascii="Times New Roman" w:hAnsi="Times New Roman" w:cs="Times New Roman"/>
        </w:rPr>
        <w:t>“The duty of the court is not to dismiss the authority and take over its functions, but to ensure, as far as humanly and legally possible, that it carries out its function fairly and transparently.</w:t>
      </w:r>
      <w:r w:rsidR="0090746E" w:rsidRPr="00120B01">
        <w:rPr>
          <w:rFonts w:ascii="Times New Roman" w:hAnsi="Times New Roman" w:cs="Times New Roman"/>
        </w:rPr>
        <w:t xml:space="preserve"> If we are satisfied that it has done that, we cannot interfere just because we do not approve of its conclusion.”</w:t>
      </w:r>
    </w:p>
    <w:p w:rsidR="005740CE" w:rsidRPr="00120B01" w:rsidRDefault="002B53CD" w:rsidP="00120B01">
      <w:pPr>
        <w:ind w:firstLine="720"/>
        <w:jc w:val="both"/>
        <w:rPr>
          <w:rFonts w:ascii="Times New Roman" w:hAnsi="Times New Roman" w:cs="Times New Roman"/>
          <w:sz w:val="24"/>
          <w:szCs w:val="24"/>
        </w:rPr>
      </w:pPr>
      <w:r w:rsidRPr="00120B01">
        <w:rPr>
          <w:rFonts w:ascii="Times New Roman" w:hAnsi="Times New Roman" w:cs="Times New Roman"/>
          <w:i/>
          <w:sz w:val="24"/>
          <w:szCs w:val="24"/>
        </w:rPr>
        <w:t>In casu</w:t>
      </w:r>
      <w:r w:rsidRPr="00120B01">
        <w:rPr>
          <w:rFonts w:ascii="Times New Roman" w:hAnsi="Times New Roman" w:cs="Times New Roman"/>
          <w:sz w:val="24"/>
          <w:szCs w:val="24"/>
        </w:rPr>
        <w:t xml:space="preserve"> the respondent is an administrative authority established in terms of Revenue Authority Act [Chapter 23.11] and tasked exclusively with inter alia the administration and collection of revenues due in terms of the Income Tax Act [Chapter 23.06] as well as </w:t>
      </w:r>
      <w:r w:rsidR="00023B85" w:rsidRPr="00120B01">
        <w:rPr>
          <w:rFonts w:ascii="Times New Roman" w:hAnsi="Times New Roman" w:cs="Times New Roman"/>
          <w:sz w:val="24"/>
          <w:szCs w:val="24"/>
        </w:rPr>
        <w:t>in terms of the Value Added Tax [Chapter 23.12]. in terms of section 34D of the RAA, as read together with the 4</w:t>
      </w:r>
      <w:r w:rsidR="00023B85" w:rsidRPr="00120B01">
        <w:rPr>
          <w:rFonts w:ascii="Times New Roman" w:hAnsi="Times New Roman" w:cs="Times New Roman"/>
          <w:sz w:val="24"/>
          <w:szCs w:val="24"/>
          <w:vertAlign w:val="superscript"/>
        </w:rPr>
        <w:t>th</w:t>
      </w:r>
      <w:r w:rsidR="00023B85" w:rsidRPr="00120B01">
        <w:rPr>
          <w:rFonts w:ascii="Times New Roman" w:hAnsi="Times New Roman" w:cs="Times New Roman"/>
          <w:sz w:val="24"/>
          <w:szCs w:val="24"/>
        </w:rPr>
        <w:t xml:space="preserve"> Schedule, it is empowered to make an advance tax ruling on the application by any person interested in a transaction that is or may be subject to tax. The applicant made an application for a tax ruling. The application did not find favour with the respondent. It now wants this court to substitute the decision of the respondent and grant a tax ruling. On the authorities cited above I agree with the respondent that this court cannot usurp the powers and functions of the respondent. </w:t>
      </w:r>
      <w:r w:rsidR="00023B85" w:rsidRPr="00120B01">
        <w:rPr>
          <w:rFonts w:ascii="Times New Roman" w:hAnsi="Times New Roman" w:cs="Times New Roman"/>
          <w:sz w:val="24"/>
          <w:szCs w:val="24"/>
        </w:rPr>
        <w:lastRenderedPageBreak/>
        <w:t>The court therefore cannot impose its own decision. The relief sought by the applicant can</w:t>
      </w:r>
      <w:r w:rsidR="005740CE" w:rsidRPr="00120B01">
        <w:rPr>
          <w:rFonts w:ascii="Times New Roman" w:hAnsi="Times New Roman" w:cs="Times New Roman"/>
          <w:sz w:val="24"/>
          <w:szCs w:val="24"/>
        </w:rPr>
        <w:t>not therefore be granted on this basis alone.</w:t>
      </w:r>
    </w:p>
    <w:p w:rsidR="00B93CE7" w:rsidRPr="00120B01" w:rsidRDefault="005740CE" w:rsidP="00120B01">
      <w:pPr>
        <w:ind w:firstLine="720"/>
        <w:jc w:val="both"/>
        <w:rPr>
          <w:rFonts w:ascii="Times New Roman" w:hAnsi="Times New Roman" w:cs="Times New Roman"/>
          <w:sz w:val="24"/>
          <w:szCs w:val="24"/>
        </w:rPr>
      </w:pPr>
      <w:r w:rsidRPr="00120B01">
        <w:rPr>
          <w:rFonts w:ascii="Times New Roman" w:hAnsi="Times New Roman" w:cs="Times New Roman"/>
          <w:sz w:val="24"/>
          <w:szCs w:val="24"/>
        </w:rPr>
        <w:t>It is not necessary to deal with</w:t>
      </w:r>
      <w:r w:rsidR="00B93CE7" w:rsidRPr="00120B01">
        <w:rPr>
          <w:rFonts w:ascii="Times New Roman" w:hAnsi="Times New Roman" w:cs="Times New Roman"/>
          <w:sz w:val="24"/>
          <w:szCs w:val="24"/>
        </w:rPr>
        <w:t xml:space="preserve"> the second point </w:t>
      </w:r>
      <w:r w:rsidR="00B93CE7" w:rsidRPr="00120B01">
        <w:rPr>
          <w:rFonts w:ascii="Times New Roman" w:hAnsi="Times New Roman" w:cs="Times New Roman"/>
          <w:i/>
          <w:sz w:val="24"/>
          <w:szCs w:val="24"/>
        </w:rPr>
        <w:t>in limine</w:t>
      </w:r>
      <w:r w:rsidR="00B93CE7" w:rsidRPr="00120B01">
        <w:rPr>
          <w:rFonts w:ascii="Times New Roman" w:hAnsi="Times New Roman" w:cs="Times New Roman"/>
          <w:sz w:val="24"/>
          <w:szCs w:val="24"/>
        </w:rPr>
        <w:t xml:space="preserve"> because even if the court find s that the applicant has a cause of action at the end of the day the court cannot grant the relief sought.</w:t>
      </w:r>
    </w:p>
    <w:p w:rsidR="00B93CE7" w:rsidRPr="00120B01" w:rsidRDefault="00B93CE7" w:rsidP="00120B01">
      <w:pPr>
        <w:spacing w:after="0" w:line="240" w:lineRule="auto"/>
        <w:ind w:firstLine="360"/>
        <w:jc w:val="both"/>
        <w:rPr>
          <w:rFonts w:ascii="Times New Roman" w:hAnsi="Times New Roman" w:cs="Times New Roman"/>
        </w:rPr>
      </w:pPr>
      <w:r w:rsidRPr="00120B01">
        <w:rPr>
          <w:rFonts w:ascii="Times New Roman" w:hAnsi="Times New Roman" w:cs="Times New Roman"/>
        </w:rPr>
        <w:t>IT IS ORDERED THAT</w:t>
      </w:r>
    </w:p>
    <w:p w:rsidR="00B93CE7" w:rsidRPr="00120B01" w:rsidRDefault="00B93CE7" w:rsidP="00120B01">
      <w:pPr>
        <w:pStyle w:val="ListParagraph"/>
        <w:numPr>
          <w:ilvl w:val="0"/>
          <w:numId w:val="2"/>
        </w:numPr>
        <w:spacing w:after="0" w:line="240" w:lineRule="auto"/>
        <w:jc w:val="both"/>
        <w:rPr>
          <w:rFonts w:ascii="Times New Roman" w:hAnsi="Times New Roman" w:cs="Times New Roman"/>
        </w:rPr>
      </w:pPr>
      <w:r w:rsidRPr="00120B01">
        <w:rPr>
          <w:rFonts w:ascii="Times New Roman" w:hAnsi="Times New Roman" w:cs="Times New Roman"/>
        </w:rPr>
        <w:t>The preliminary objection is sustained.</w:t>
      </w:r>
    </w:p>
    <w:p w:rsidR="00B93CE7" w:rsidRPr="00120B01" w:rsidRDefault="00B93CE7" w:rsidP="00120B01">
      <w:pPr>
        <w:pStyle w:val="ListParagraph"/>
        <w:numPr>
          <w:ilvl w:val="0"/>
          <w:numId w:val="2"/>
        </w:numPr>
        <w:spacing w:after="0" w:line="240" w:lineRule="auto"/>
        <w:jc w:val="both"/>
        <w:rPr>
          <w:rFonts w:ascii="Times New Roman" w:hAnsi="Times New Roman" w:cs="Times New Roman"/>
        </w:rPr>
      </w:pPr>
      <w:r w:rsidRPr="00120B01">
        <w:rPr>
          <w:rFonts w:ascii="Times New Roman" w:hAnsi="Times New Roman" w:cs="Times New Roman"/>
        </w:rPr>
        <w:t>The application is dismissed with costs.</w:t>
      </w:r>
    </w:p>
    <w:p w:rsidR="00B93CE7" w:rsidRPr="00120B01" w:rsidRDefault="00B93CE7" w:rsidP="00120B01">
      <w:pPr>
        <w:jc w:val="both"/>
        <w:rPr>
          <w:rFonts w:ascii="Times New Roman" w:hAnsi="Times New Roman" w:cs="Times New Roman"/>
          <w:sz w:val="24"/>
          <w:szCs w:val="24"/>
        </w:rPr>
      </w:pPr>
    </w:p>
    <w:p w:rsidR="00B93CE7" w:rsidRPr="00120B01" w:rsidRDefault="00B93CE7" w:rsidP="00120B01">
      <w:pPr>
        <w:pStyle w:val="NoSpacing"/>
        <w:jc w:val="both"/>
        <w:rPr>
          <w:rFonts w:ascii="Times New Roman" w:hAnsi="Times New Roman" w:cs="Times New Roman"/>
          <w:sz w:val="24"/>
          <w:szCs w:val="24"/>
        </w:rPr>
      </w:pPr>
      <w:r w:rsidRPr="00120B01">
        <w:rPr>
          <w:rFonts w:ascii="Times New Roman" w:hAnsi="Times New Roman" w:cs="Times New Roman"/>
          <w:i/>
          <w:sz w:val="24"/>
          <w:szCs w:val="24"/>
        </w:rPr>
        <w:t>Gill, Godlonton &amp; Gerrans,</w:t>
      </w:r>
      <w:r w:rsidRPr="00120B01">
        <w:rPr>
          <w:rFonts w:ascii="Times New Roman" w:hAnsi="Times New Roman" w:cs="Times New Roman"/>
          <w:sz w:val="24"/>
          <w:szCs w:val="24"/>
        </w:rPr>
        <w:t xml:space="preserve"> applicant’s legal practitioners</w:t>
      </w:r>
    </w:p>
    <w:p w:rsidR="002B53CD" w:rsidRPr="00120B01" w:rsidRDefault="00B93CE7" w:rsidP="00120B01">
      <w:pPr>
        <w:pStyle w:val="NoSpacing"/>
        <w:jc w:val="both"/>
        <w:rPr>
          <w:rFonts w:ascii="Times New Roman" w:hAnsi="Times New Roman" w:cs="Times New Roman"/>
          <w:sz w:val="24"/>
          <w:szCs w:val="24"/>
        </w:rPr>
      </w:pPr>
      <w:r w:rsidRPr="00120B01">
        <w:rPr>
          <w:rFonts w:ascii="Times New Roman" w:hAnsi="Times New Roman" w:cs="Times New Roman"/>
          <w:i/>
          <w:sz w:val="24"/>
          <w:szCs w:val="24"/>
        </w:rPr>
        <w:t>Kantor &amp; Immerman</w:t>
      </w:r>
      <w:r w:rsidRPr="00120B01">
        <w:rPr>
          <w:rFonts w:ascii="Times New Roman" w:hAnsi="Times New Roman" w:cs="Times New Roman"/>
          <w:sz w:val="24"/>
          <w:szCs w:val="24"/>
        </w:rPr>
        <w:t xml:space="preserve">, respondent’s legal practitioners. </w:t>
      </w:r>
      <w:r w:rsidR="00023B85" w:rsidRPr="00120B01">
        <w:rPr>
          <w:rFonts w:ascii="Times New Roman" w:hAnsi="Times New Roman" w:cs="Times New Roman"/>
          <w:sz w:val="24"/>
          <w:szCs w:val="24"/>
        </w:rPr>
        <w:t xml:space="preserve">   </w:t>
      </w:r>
      <w:r w:rsidR="002B53CD" w:rsidRPr="00120B01">
        <w:rPr>
          <w:rFonts w:ascii="Times New Roman" w:hAnsi="Times New Roman" w:cs="Times New Roman"/>
          <w:sz w:val="24"/>
          <w:szCs w:val="24"/>
        </w:rPr>
        <w:t xml:space="preserve"> </w:t>
      </w:r>
    </w:p>
    <w:p w:rsidR="006A31A8" w:rsidRPr="00120B01" w:rsidRDefault="0090746E" w:rsidP="00120B01">
      <w:pPr>
        <w:jc w:val="both"/>
        <w:rPr>
          <w:rFonts w:ascii="Times New Roman" w:hAnsi="Times New Roman" w:cs="Times New Roman"/>
          <w:sz w:val="24"/>
          <w:szCs w:val="24"/>
        </w:rPr>
      </w:pPr>
      <w:r w:rsidRPr="00120B01">
        <w:rPr>
          <w:rFonts w:ascii="Times New Roman" w:hAnsi="Times New Roman" w:cs="Times New Roman"/>
          <w:sz w:val="24"/>
          <w:szCs w:val="24"/>
        </w:rPr>
        <w:t xml:space="preserve"> </w:t>
      </w:r>
      <w:r w:rsidR="00E96441" w:rsidRPr="00120B01">
        <w:rPr>
          <w:rFonts w:ascii="Times New Roman" w:hAnsi="Times New Roman" w:cs="Times New Roman"/>
          <w:sz w:val="24"/>
          <w:szCs w:val="24"/>
        </w:rPr>
        <w:t xml:space="preserve">    </w:t>
      </w:r>
      <w:r w:rsidR="007036BA" w:rsidRPr="00120B01">
        <w:rPr>
          <w:rFonts w:ascii="Times New Roman" w:hAnsi="Times New Roman" w:cs="Times New Roman"/>
          <w:sz w:val="24"/>
          <w:szCs w:val="24"/>
        </w:rPr>
        <w:t xml:space="preserve">  </w:t>
      </w:r>
      <w:r w:rsidR="00BF71CD" w:rsidRPr="00120B01">
        <w:rPr>
          <w:rFonts w:ascii="Times New Roman" w:hAnsi="Times New Roman" w:cs="Times New Roman"/>
          <w:sz w:val="24"/>
          <w:szCs w:val="24"/>
        </w:rPr>
        <w:t xml:space="preserve"> </w:t>
      </w:r>
      <w:r w:rsidR="00D92383" w:rsidRPr="00120B01">
        <w:rPr>
          <w:rFonts w:ascii="Times New Roman" w:hAnsi="Times New Roman" w:cs="Times New Roman"/>
          <w:sz w:val="24"/>
          <w:szCs w:val="24"/>
        </w:rPr>
        <w:t xml:space="preserve"> </w:t>
      </w:r>
      <w:r w:rsidR="00445EA9" w:rsidRPr="00120B01">
        <w:rPr>
          <w:rFonts w:ascii="Times New Roman" w:hAnsi="Times New Roman" w:cs="Times New Roman"/>
          <w:sz w:val="24"/>
          <w:szCs w:val="24"/>
        </w:rPr>
        <w:t xml:space="preserve"> </w:t>
      </w:r>
      <w:r w:rsidR="00985A03" w:rsidRPr="00120B01">
        <w:rPr>
          <w:rFonts w:ascii="Times New Roman" w:hAnsi="Times New Roman" w:cs="Times New Roman"/>
          <w:sz w:val="24"/>
          <w:szCs w:val="24"/>
        </w:rPr>
        <w:t xml:space="preserve"> </w:t>
      </w:r>
      <w:r w:rsidR="00D741EB" w:rsidRPr="00120B01">
        <w:rPr>
          <w:rFonts w:ascii="Times New Roman" w:hAnsi="Times New Roman" w:cs="Times New Roman"/>
          <w:sz w:val="24"/>
          <w:szCs w:val="24"/>
        </w:rPr>
        <w:t xml:space="preserve"> </w:t>
      </w:r>
      <w:r w:rsidR="0084758F" w:rsidRPr="00120B01">
        <w:rPr>
          <w:rFonts w:ascii="Times New Roman" w:hAnsi="Times New Roman" w:cs="Times New Roman"/>
          <w:sz w:val="24"/>
          <w:szCs w:val="24"/>
        </w:rPr>
        <w:t xml:space="preserve"> </w:t>
      </w:r>
      <w:r w:rsidR="006A31A8" w:rsidRPr="00120B01">
        <w:rPr>
          <w:rFonts w:ascii="Times New Roman" w:hAnsi="Times New Roman" w:cs="Times New Roman"/>
          <w:sz w:val="24"/>
          <w:szCs w:val="24"/>
        </w:rPr>
        <w:t xml:space="preserve">  </w:t>
      </w:r>
    </w:p>
    <w:p w:rsidR="002525A5" w:rsidRPr="00120B01" w:rsidRDefault="00054B2A" w:rsidP="00120B01">
      <w:pPr>
        <w:jc w:val="both"/>
        <w:rPr>
          <w:rFonts w:ascii="Times New Roman" w:hAnsi="Times New Roman" w:cs="Times New Roman"/>
          <w:sz w:val="24"/>
          <w:szCs w:val="24"/>
        </w:rPr>
      </w:pPr>
      <w:r w:rsidRPr="00120B01">
        <w:rPr>
          <w:rFonts w:ascii="Times New Roman" w:hAnsi="Times New Roman" w:cs="Times New Roman"/>
          <w:sz w:val="24"/>
          <w:szCs w:val="24"/>
        </w:rPr>
        <w:t xml:space="preserve">       </w:t>
      </w:r>
      <w:r w:rsidR="00C94F74" w:rsidRPr="00120B01">
        <w:rPr>
          <w:rFonts w:ascii="Times New Roman" w:hAnsi="Times New Roman" w:cs="Times New Roman"/>
          <w:sz w:val="24"/>
          <w:szCs w:val="24"/>
        </w:rPr>
        <w:t xml:space="preserve">  </w:t>
      </w:r>
      <w:r w:rsidR="002B0E69" w:rsidRPr="00120B01">
        <w:rPr>
          <w:rFonts w:ascii="Times New Roman" w:hAnsi="Times New Roman" w:cs="Times New Roman"/>
          <w:sz w:val="24"/>
          <w:szCs w:val="24"/>
        </w:rPr>
        <w:t xml:space="preserve">   </w:t>
      </w:r>
    </w:p>
    <w:sectPr w:rsidR="002525A5" w:rsidRPr="00120B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F59" w:rsidRDefault="00D51F59" w:rsidP="0001590E">
      <w:pPr>
        <w:spacing w:after="0" w:line="240" w:lineRule="auto"/>
      </w:pPr>
      <w:r>
        <w:separator/>
      </w:r>
    </w:p>
  </w:endnote>
  <w:endnote w:type="continuationSeparator" w:id="0">
    <w:p w:rsidR="00D51F59" w:rsidRDefault="00D51F59" w:rsidP="0001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F59" w:rsidRDefault="00D51F59" w:rsidP="0001590E">
      <w:pPr>
        <w:spacing w:after="0" w:line="240" w:lineRule="auto"/>
      </w:pPr>
      <w:r>
        <w:separator/>
      </w:r>
    </w:p>
  </w:footnote>
  <w:footnote w:type="continuationSeparator" w:id="0">
    <w:p w:rsidR="00D51F59" w:rsidRDefault="00D51F59" w:rsidP="00015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9224"/>
      <w:docPartObj>
        <w:docPartGallery w:val="Page Numbers (Top of Page)"/>
        <w:docPartUnique/>
      </w:docPartObj>
    </w:sdtPr>
    <w:sdtEndPr>
      <w:rPr>
        <w:noProof/>
      </w:rPr>
    </w:sdtEndPr>
    <w:sdtContent>
      <w:p w:rsidR="00193E4D" w:rsidRDefault="0001590E">
        <w:pPr>
          <w:pStyle w:val="Header"/>
          <w:jc w:val="right"/>
          <w:rPr>
            <w:noProof/>
          </w:rPr>
        </w:pPr>
        <w:r>
          <w:fldChar w:fldCharType="begin"/>
        </w:r>
        <w:r>
          <w:instrText xml:space="preserve"> PAGE   \* MERGEFORMAT </w:instrText>
        </w:r>
        <w:r>
          <w:fldChar w:fldCharType="separate"/>
        </w:r>
        <w:r w:rsidR="00262409">
          <w:rPr>
            <w:noProof/>
          </w:rPr>
          <w:t>1</w:t>
        </w:r>
        <w:r>
          <w:rPr>
            <w:noProof/>
          </w:rPr>
          <w:fldChar w:fldCharType="end"/>
        </w:r>
      </w:p>
      <w:p w:rsidR="0001590E" w:rsidRDefault="00193E4D">
        <w:pPr>
          <w:pStyle w:val="Header"/>
          <w:jc w:val="right"/>
        </w:pPr>
        <w:r>
          <w:rPr>
            <w:noProof/>
          </w:rPr>
          <w:t>HH 31/21</w:t>
        </w:r>
      </w:p>
    </w:sdtContent>
  </w:sdt>
  <w:p w:rsidR="0001590E" w:rsidRPr="002525A5" w:rsidRDefault="0001590E" w:rsidP="0001590E">
    <w:pPr>
      <w:jc w:val="right"/>
      <w:rPr>
        <w:sz w:val="24"/>
        <w:szCs w:val="24"/>
      </w:rPr>
    </w:pPr>
    <w:r w:rsidRPr="002525A5">
      <w:rPr>
        <w:sz w:val="24"/>
        <w:szCs w:val="24"/>
      </w:rPr>
      <w:t xml:space="preserve">                                                                                                                         CASE NO. HC 1761/20</w:t>
    </w:r>
  </w:p>
  <w:p w:rsidR="0001590E" w:rsidRDefault="000159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0329"/>
    <w:multiLevelType w:val="hybridMultilevel"/>
    <w:tmpl w:val="DC568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FA69F0"/>
    <w:multiLevelType w:val="hybridMultilevel"/>
    <w:tmpl w:val="44C25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A5"/>
    <w:rsid w:val="0001590E"/>
    <w:rsid w:val="00023B85"/>
    <w:rsid w:val="0003554A"/>
    <w:rsid w:val="00054B2A"/>
    <w:rsid w:val="00120B01"/>
    <w:rsid w:val="00193E4D"/>
    <w:rsid w:val="001E47E6"/>
    <w:rsid w:val="002525A5"/>
    <w:rsid w:val="00262409"/>
    <w:rsid w:val="002A628C"/>
    <w:rsid w:val="002B0E69"/>
    <w:rsid w:val="002B53CD"/>
    <w:rsid w:val="00317035"/>
    <w:rsid w:val="00392C0B"/>
    <w:rsid w:val="003B0459"/>
    <w:rsid w:val="00445EA9"/>
    <w:rsid w:val="005740CE"/>
    <w:rsid w:val="006A31A8"/>
    <w:rsid w:val="007036BA"/>
    <w:rsid w:val="0084758F"/>
    <w:rsid w:val="008B0550"/>
    <w:rsid w:val="008D0336"/>
    <w:rsid w:val="008F5A3A"/>
    <w:rsid w:val="0090746E"/>
    <w:rsid w:val="00916067"/>
    <w:rsid w:val="009627A8"/>
    <w:rsid w:val="00982212"/>
    <w:rsid w:val="00985A03"/>
    <w:rsid w:val="00A46D5B"/>
    <w:rsid w:val="00B93CE7"/>
    <w:rsid w:val="00BF01DA"/>
    <w:rsid w:val="00BF15FA"/>
    <w:rsid w:val="00BF71CD"/>
    <w:rsid w:val="00C94F74"/>
    <w:rsid w:val="00CC50D5"/>
    <w:rsid w:val="00D51F59"/>
    <w:rsid w:val="00D741EB"/>
    <w:rsid w:val="00D92383"/>
    <w:rsid w:val="00DF467C"/>
    <w:rsid w:val="00E96441"/>
    <w:rsid w:val="00F72C62"/>
    <w:rsid w:val="00F7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E85645-D8B0-4775-9BFB-38EC759E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25A5"/>
    <w:pPr>
      <w:spacing w:after="0" w:line="240" w:lineRule="auto"/>
    </w:pPr>
  </w:style>
  <w:style w:type="paragraph" w:styleId="ListParagraph">
    <w:name w:val="List Paragraph"/>
    <w:basedOn w:val="Normal"/>
    <w:uiPriority w:val="34"/>
    <w:qFormat/>
    <w:rsid w:val="006A31A8"/>
    <w:pPr>
      <w:ind w:left="720"/>
      <w:contextualSpacing/>
    </w:pPr>
  </w:style>
  <w:style w:type="paragraph" w:styleId="Header">
    <w:name w:val="header"/>
    <w:basedOn w:val="Normal"/>
    <w:link w:val="HeaderChar"/>
    <w:uiPriority w:val="99"/>
    <w:unhideWhenUsed/>
    <w:rsid w:val="000159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90E"/>
  </w:style>
  <w:style w:type="paragraph" w:styleId="Footer">
    <w:name w:val="footer"/>
    <w:basedOn w:val="Normal"/>
    <w:link w:val="FooterChar"/>
    <w:uiPriority w:val="99"/>
    <w:unhideWhenUsed/>
    <w:rsid w:val="000159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90E"/>
  </w:style>
  <w:style w:type="paragraph" w:styleId="BalloonText">
    <w:name w:val="Balloon Text"/>
    <w:basedOn w:val="Normal"/>
    <w:link w:val="BalloonTextChar"/>
    <w:uiPriority w:val="99"/>
    <w:semiHidden/>
    <w:unhideWhenUsed/>
    <w:rsid w:val="00A46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2021-01-28T12:40:00Z</cp:lastPrinted>
  <dcterms:created xsi:type="dcterms:W3CDTF">2021-03-05T07:49:00Z</dcterms:created>
  <dcterms:modified xsi:type="dcterms:W3CDTF">2021-03-05T07:49:00Z</dcterms:modified>
</cp:coreProperties>
</file>