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3D2" w:rsidRDefault="004C1921" w:rsidP="004C192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C63525">
        <w:rPr>
          <w:b/>
          <w:sz w:val="28"/>
          <w:szCs w:val="28"/>
        </w:rPr>
        <w:t>N THE LABOUR COURT OF ZIMBABWE</w:t>
      </w:r>
      <w:r w:rsidR="00C63525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>JUDGMENT NO LC/H/</w:t>
      </w:r>
      <w:r w:rsidR="00C63525">
        <w:rPr>
          <w:b/>
          <w:sz w:val="28"/>
          <w:szCs w:val="28"/>
        </w:rPr>
        <w:t>188</w:t>
      </w:r>
      <w:r>
        <w:rPr>
          <w:b/>
          <w:sz w:val="28"/>
          <w:szCs w:val="28"/>
        </w:rPr>
        <w:t>/14</w:t>
      </w:r>
    </w:p>
    <w:p w:rsidR="004C1921" w:rsidRDefault="00CC48F1" w:rsidP="004C192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HELD</w:t>
      </w:r>
      <w:bookmarkStart w:id="0" w:name="_GoBack"/>
      <w:bookmarkEnd w:id="0"/>
      <w:r w:rsidR="004C1921">
        <w:rPr>
          <w:b/>
          <w:sz w:val="28"/>
          <w:szCs w:val="28"/>
        </w:rPr>
        <w:t xml:space="preserve"> AT HARARE 19</w:t>
      </w:r>
      <w:r w:rsidR="004C1921" w:rsidRPr="004C1921">
        <w:rPr>
          <w:b/>
          <w:sz w:val="28"/>
          <w:szCs w:val="28"/>
          <w:vertAlign w:val="superscript"/>
        </w:rPr>
        <w:t>TH</w:t>
      </w:r>
      <w:r w:rsidR="004C1921">
        <w:rPr>
          <w:b/>
          <w:sz w:val="28"/>
          <w:szCs w:val="28"/>
        </w:rPr>
        <w:t xml:space="preserve"> MARCH 2014</w:t>
      </w:r>
      <w:r w:rsidR="004C1921">
        <w:rPr>
          <w:b/>
          <w:sz w:val="28"/>
          <w:szCs w:val="28"/>
        </w:rPr>
        <w:tab/>
      </w:r>
      <w:r w:rsidR="004C1921">
        <w:rPr>
          <w:b/>
          <w:sz w:val="28"/>
          <w:szCs w:val="28"/>
        </w:rPr>
        <w:tab/>
      </w:r>
      <w:r w:rsidR="004C1921">
        <w:rPr>
          <w:b/>
          <w:sz w:val="28"/>
          <w:szCs w:val="28"/>
        </w:rPr>
        <w:tab/>
        <w:t>CASE NO LC/H/19/13</w:t>
      </w:r>
    </w:p>
    <w:p w:rsidR="000F6200" w:rsidRDefault="000F6200" w:rsidP="004C192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&amp; 28</w:t>
      </w:r>
      <w:r w:rsidR="00E0774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MARCH 2014</w:t>
      </w:r>
    </w:p>
    <w:p w:rsidR="004C1921" w:rsidRDefault="004C1921" w:rsidP="004C1921">
      <w:pPr>
        <w:spacing w:line="360" w:lineRule="auto"/>
        <w:jc w:val="both"/>
        <w:rPr>
          <w:b/>
          <w:sz w:val="28"/>
          <w:szCs w:val="28"/>
        </w:rPr>
      </w:pPr>
    </w:p>
    <w:p w:rsidR="004C1921" w:rsidRDefault="004C1921" w:rsidP="004C192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OBERT CHARLIE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F6200">
        <w:rPr>
          <w:b/>
          <w:sz w:val="28"/>
          <w:szCs w:val="28"/>
        </w:rPr>
        <w:tab/>
      </w:r>
      <w:r>
        <w:rPr>
          <w:b/>
          <w:sz w:val="28"/>
          <w:szCs w:val="28"/>
        </w:rPr>
        <w:t>Appellant</w:t>
      </w:r>
    </w:p>
    <w:p w:rsidR="004C1921" w:rsidRDefault="004C1921" w:rsidP="004C192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NATIONAL TYRE SERVICES</w:t>
      </w:r>
      <w:r w:rsidR="000F6200">
        <w:rPr>
          <w:b/>
          <w:sz w:val="28"/>
          <w:szCs w:val="28"/>
        </w:rPr>
        <w:t xml:space="preserve"> LTD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F620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Respondent</w:t>
      </w:r>
    </w:p>
    <w:p w:rsidR="004C1921" w:rsidRDefault="004C1921" w:rsidP="004C19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Before The Honourable G Musariri, Judge</w:t>
      </w:r>
    </w:p>
    <w:p w:rsidR="004C1921" w:rsidRDefault="004C1921" w:rsidP="004C192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Appellant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K </w:t>
      </w:r>
      <w:proofErr w:type="spellStart"/>
      <w:r>
        <w:rPr>
          <w:b/>
          <w:sz w:val="28"/>
          <w:szCs w:val="28"/>
        </w:rPr>
        <w:t>Guteni</w:t>
      </w:r>
      <w:proofErr w:type="spellEnd"/>
      <w:r>
        <w:rPr>
          <w:b/>
          <w:sz w:val="28"/>
          <w:szCs w:val="28"/>
        </w:rPr>
        <w:t xml:space="preserve">, Unionist </w:t>
      </w:r>
    </w:p>
    <w:p w:rsidR="004C1921" w:rsidRDefault="004C1921" w:rsidP="004C192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I </w:t>
      </w:r>
      <w:proofErr w:type="spellStart"/>
      <w:r>
        <w:rPr>
          <w:b/>
          <w:sz w:val="28"/>
          <w:szCs w:val="28"/>
        </w:rPr>
        <w:t>Chagonda</w:t>
      </w:r>
      <w:proofErr w:type="spellEnd"/>
      <w:r>
        <w:rPr>
          <w:b/>
          <w:sz w:val="28"/>
          <w:szCs w:val="28"/>
        </w:rPr>
        <w:t>, Attorney</w:t>
      </w:r>
    </w:p>
    <w:p w:rsidR="004C1921" w:rsidRDefault="004C1921" w:rsidP="004C1921">
      <w:pPr>
        <w:spacing w:line="360" w:lineRule="auto"/>
        <w:jc w:val="both"/>
        <w:rPr>
          <w:b/>
          <w:sz w:val="28"/>
          <w:szCs w:val="28"/>
        </w:rPr>
      </w:pPr>
    </w:p>
    <w:p w:rsidR="004C1921" w:rsidRDefault="004C1921" w:rsidP="004C192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MUSARIRI, G:</w:t>
      </w:r>
    </w:p>
    <w:p w:rsidR="004C1921" w:rsidRDefault="004C1921" w:rsidP="004C19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Appellant’s grounds of appeal were four-fold and read as follows,</w:t>
      </w:r>
    </w:p>
    <w:p w:rsidR="004C1921" w:rsidRDefault="004C1921" w:rsidP="004C1921">
      <w:pPr>
        <w:spacing w:after="0" w:line="240" w:lineRule="auto"/>
        <w:ind w:left="1440" w:hanging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“1.</w:t>
      </w:r>
      <w:r>
        <w:rPr>
          <w:i/>
          <w:sz w:val="24"/>
          <w:szCs w:val="24"/>
        </w:rPr>
        <w:tab/>
        <w:t>The Code of Conduct used by the company to dismiss the Appellant is not registered with the NEC and therefore is inconsistent with the National Code or Labour Relations Act [Chapter 28:01].</w:t>
      </w:r>
    </w:p>
    <w:p w:rsidR="004C1921" w:rsidRDefault="004C1921" w:rsidP="004C1921">
      <w:pPr>
        <w:spacing w:after="0" w:line="240" w:lineRule="auto"/>
        <w:ind w:left="1440" w:hanging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2.</w:t>
      </w:r>
      <w:r>
        <w:rPr>
          <w:i/>
          <w:sz w:val="24"/>
          <w:szCs w:val="24"/>
        </w:rPr>
        <w:tab/>
        <w:t>The Disciplinary Hearing Committee misdirected itself on the facts and law.</w:t>
      </w:r>
    </w:p>
    <w:p w:rsidR="004C1921" w:rsidRDefault="004C1921" w:rsidP="004C1921">
      <w:pPr>
        <w:spacing w:after="0" w:line="240" w:lineRule="auto"/>
        <w:ind w:left="1440" w:hanging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3.</w:t>
      </w:r>
      <w:r>
        <w:rPr>
          <w:i/>
          <w:sz w:val="24"/>
          <w:szCs w:val="24"/>
        </w:rPr>
        <w:tab/>
        <w:t xml:space="preserve">The same committee’s hearing was </w:t>
      </w:r>
      <w:r w:rsidR="000F6200">
        <w:rPr>
          <w:i/>
          <w:sz w:val="24"/>
          <w:szCs w:val="24"/>
        </w:rPr>
        <w:t>motivated</w:t>
      </w:r>
      <w:r>
        <w:rPr>
          <w:i/>
          <w:sz w:val="24"/>
          <w:szCs w:val="24"/>
        </w:rPr>
        <w:t xml:space="preserve"> by bias.</w:t>
      </w:r>
    </w:p>
    <w:p w:rsidR="004C1921" w:rsidRDefault="004C1921" w:rsidP="004C1921">
      <w:pPr>
        <w:spacing w:after="0" w:line="240" w:lineRule="auto"/>
        <w:ind w:left="1440" w:hanging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</w:t>
      </w:r>
      <w:r>
        <w:rPr>
          <w:i/>
          <w:sz w:val="24"/>
          <w:szCs w:val="24"/>
        </w:rPr>
        <w:tab/>
        <w:t>The Disciplinary Hearing Committee conducted its proceedings in an irregular manner.”</w:t>
      </w:r>
    </w:p>
    <w:p w:rsidR="004C1921" w:rsidRDefault="004C1921" w:rsidP="004C1921">
      <w:pPr>
        <w:spacing w:after="0" w:line="240" w:lineRule="auto"/>
        <w:jc w:val="both"/>
        <w:rPr>
          <w:sz w:val="24"/>
          <w:szCs w:val="24"/>
        </w:rPr>
      </w:pPr>
    </w:p>
    <w:p w:rsidR="004C1921" w:rsidRDefault="004C1921" w:rsidP="004C192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complaints about the Code, bias or “irregular” proceedings deal with procedural irregularities.  They do not deal with the decision made but the decision-making process.  Thus they must be raised by way of </w:t>
      </w:r>
      <w:r>
        <w:rPr>
          <w:sz w:val="28"/>
          <w:szCs w:val="28"/>
          <w:u w:val="single"/>
        </w:rPr>
        <w:t>review</w:t>
      </w:r>
      <w:r>
        <w:rPr>
          <w:sz w:val="28"/>
          <w:szCs w:val="28"/>
        </w:rPr>
        <w:t xml:space="preserve"> of the proceedings.  Section 89 (1) d1 of the </w:t>
      </w:r>
      <w:r>
        <w:rPr>
          <w:sz w:val="28"/>
          <w:szCs w:val="28"/>
          <w:u w:val="single"/>
        </w:rPr>
        <w:t>Labour Act</w:t>
      </w:r>
      <w:r>
        <w:rPr>
          <w:sz w:val="28"/>
          <w:szCs w:val="28"/>
        </w:rPr>
        <w:t xml:space="preserve"> [Chapter 28:01] gave this Court </w:t>
      </w:r>
    </w:p>
    <w:p w:rsidR="000F6200" w:rsidRDefault="000F6200" w:rsidP="004C1921">
      <w:pPr>
        <w:spacing w:after="0" w:line="360" w:lineRule="auto"/>
        <w:jc w:val="both"/>
        <w:rPr>
          <w:sz w:val="28"/>
          <w:szCs w:val="28"/>
        </w:rPr>
      </w:pPr>
    </w:p>
    <w:p w:rsidR="00C14AA6" w:rsidRDefault="004C1921" w:rsidP="004C1921">
      <w:pPr>
        <w:spacing w:after="0" w:line="240" w:lineRule="auto"/>
        <w:ind w:left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“</w:t>
      </w:r>
      <w:proofErr w:type="gramStart"/>
      <w:r>
        <w:rPr>
          <w:i/>
          <w:sz w:val="24"/>
          <w:szCs w:val="24"/>
        </w:rPr>
        <w:t>the</w:t>
      </w:r>
      <w:proofErr w:type="gramEnd"/>
      <w:r>
        <w:rPr>
          <w:i/>
          <w:sz w:val="24"/>
          <w:szCs w:val="24"/>
        </w:rPr>
        <w:t xml:space="preserve"> same powers of review as would be exercisable by the High Court in respect of </w:t>
      </w:r>
    </w:p>
    <w:p w:rsidR="004C1921" w:rsidRDefault="004C1921" w:rsidP="004C1921">
      <w:pPr>
        <w:spacing w:after="0" w:line="240" w:lineRule="auto"/>
        <w:ind w:left="720"/>
        <w:jc w:val="bot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labour</w:t>
      </w:r>
      <w:proofErr w:type="gramEnd"/>
      <w:r>
        <w:rPr>
          <w:i/>
          <w:sz w:val="24"/>
          <w:szCs w:val="24"/>
        </w:rPr>
        <w:t xml:space="preserve"> matter</w:t>
      </w:r>
      <w:r w:rsidR="00817FFB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>;”</w:t>
      </w:r>
    </w:p>
    <w:p w:rsidR="00817FFB" w:rsidRDefault="00817FFB" w:rsidP="004C1921">
      <w:pPr>
        <w:spacing w:after="0" w:line="240" w:lineRule="auto"/>
        <w:ind w:left="720"/>
        <w:jc w:val="both"/>
        <w:rPr>
          <w:i/>
          <w:sz w:val="24"/>
          <w:szCs w:val="24"/>
        </w:rPr>
      </w:pPr>
    </w:p>
    <w:p w:rsidR="00C14AA6" w:rsidRDefault="00C14AA6" w:rsidP="00C14AA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Rule 16 of this Court’s Rules takes the matter further by prescribing the procedure to be followed in filing for review.  Appellant ignored these provisions.  He sought to bring a review under the guise of an appeal. </w:t>
      </w:r>
      <w:r w:rsidR="000F6200">
        <w:rPr>
          <w:sz w:val="28"/>
          <w:szCs w:val="28"/>
        </w:rPr>
        <w:t xml:space="preserve"> He was misguided in proceeding </w:t>
      </w:r>
      <w:r w:rsidR="000F6200" w:rsidRPr="000F6200">
        <w:rPr>
          <w:b/>
          <w:sz w:val="28"/>
          <w:szCs w:val="28"/>
        </w:rPr>
        <w:t>via</w:t>
      </w:r>
      <w:r w:rsidR="000F6200">
        <w:rPr>
          <w:sz w:val="28"/>
          <w:szCs w:val="28"/>
        </w:rPr>
        <w:t xml:space="preserve"> an appeal.</w:t>
      </w:r>
    </w:p>
    <w:p w:rsidR="00C14AA6" w:rsidRDefault="00C14AA6" w:rsidP="00C14AA6">
      <w:pPr>
        <w:spacing w:after="0" w:line="360" w:lineRule="auto"/>
        <w:jc w:val="both"/>
        <w:rPr>
          <w:sz w:val="28"/>
          <w:szCs w:val="28"/>
        </w:rPr>
      </w:pPr>
    </w:p>
    <w:p w:rsidR="00C14AA6" w:rsidRDefault="00C14AA6" w:rsidP="00C14AA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Appellant’s 2</w:t>
      </w:r>
      <w:r w:rsidRPr="00C14AA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ground alleges </w:t>
      </w:r>
      <w:proofErr w:type="gramStart"/>
      <w:r>
        <w:rPr>
          <w:sz w:val="28"/>
          <w:szCs w:val="28"/>
        </w:rPr>
        <w:t>a misdirection</w:t>
      </w:r>
      <w:proofErr w:type="gramEnd"/>
      <w:r>
        <w:rPr>
          <w:sz w:val="28"/>
          <w:szCs w:val="28"/>
        </w:rPr>
        <w:t xml:space="preserve"> on the facts and law.  The ground does not specify the misdirection.  It is arguably void for vagueness.  However I will give him the benefit of doubt and deal with the merits.  Amongst other offences he was charged with</w:t>
      </w:r>
    </w:p>
    <w:p w:rsidR="00C14AA6" w:rsidRDefault="00C14AA6" w:rsidP="00C14AA6">
      <w:pPr>
        <w:spacing w:after="0" w:line="360" w:lineRule="auto"/>
        <w:jc w:val="both"/>
        <w:rPr>
          <w:i/>
          <w:sz w:val="24"/>
          <w:szCs w:val="24"/>
        </w:rPr>
      </w:pPr>
      <w:r>
        <w:rPr>
          <w:sz w:val="28"/>
          <w:szCs w:val="28"/>
        </w:rPr>
        <w:tab/>
      </w:r>
      <w:proofErr w:type="gramStart"/>
      <w:r>
        <w:rPr>
          <w:i/>
          <w:sz w:val="24"/>
          <w:szCs w:val="24"/>
        </w:rPr>
        <w:t>“7.3.4(n) Refusal to carry out lawful instruction/insubordination.”</w:t>
      </w:r>
      <w:proofErr w:type="gramEnd"/>
    </w:p>
    <w:p w:rsidR="00C14AA6" w:rsidRDefault="00C14AA6" w:rsidP="00C14AA6">
      <w:pPr>
        <w:spacing w:after="0" w:line="360" w:lineRule="auto"/>
        <w:jc w:val="both"/>
        <w:rPr>
          <w:i/>
          <w:sz w:val="24"/>
          <w:szCs w:val="24"/>
        </w:rPr>
      </w:pPr>
    </w:p>
    <w:p w:rsidR="00DD428F" w:rsidRDefault="000F6200" w:rsidP="00C14AA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It w</w:t>
      </w:r>
      <w:r w:rsidR="00C14AA6">
        <w:rPr>
          <w:sz w:val="28"/>
          <w:szCs w:val="28"/>
        </w:rPr>
        <w:t xml:space="preserve">as common cause that he received a letter from Respondent on the </w:t>
      </w:r>
    </w:p>
    <w:p w:rsidR="00C14AA6" w:rsidRDefault="00C14AA6" w:rsidP="00C14AA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14AA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2012.  The letter instructed him to </w:t>
      </w:r>
      <w:r w:rsidR="000F6200">
        <w:rPr>
          <w:sz w:val="28"/>
          <w:szCs w:val="28"/>
        </w:rPr>
        <w:t>produce</w:t>
      </w:r>
      <w:r>
        <w:rPr>
          <w:sz w:val="28"/>
          <w:szCs w:val="28"/>
        </w:rPr>
        <w:t xml:space="preserve"> a written report “by 0800 hours on 7 November 2012 without fail.”  Appellant did not comply.  By the 9</w:t>
      </w:r>
      <w:r w:rsidRPr="00C14AA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2012 he had still not complied or given an explanation for failure</w:t>
      </w:r>
      <w:r w:rsidR="00DD428F">
        <w:rPr>
          <w:sz w:val="28"/>
          <w:szCs w:val="28"/>
        </w:rPr>
        <w:t xml:space="preserve"> to comply.  </w:t>
      </w:r>
      <w:proofErr w:type="gramStart"/>
      <w:r w:rsidR="00DD428F">
        <w:rPr>
          <w:sz w:val="28"/>
          <w:szCs w:val="28"/>
        </w:rPr>
        <w:t xml:space="preserve">The minutes of the disciplinary hearing show that he did not deal </w:t>
      </w:r>
      <w:r w:rsidR="000F6200">
        <w:rPr>
          <w:sz w:val="28"/>
          <w:szCs w:val="28"/>
        </w:rPr>
        <w:t xml:space="preserve">the charge by way of </w:t>
      </w:r>
      <w:proofErr w:type="spellStart"/>
      <w:r w:rsidR="000F6200">
        <w:rPr>
          <w:sz w:val="28"/>
          <w:szCs w:val="28"/>
        </w:rPr>
        <w:t>proferring</w:t>
      </w:r>
      <w:proofErr w:type="spellEnd"/>
      <w:r w:rsidR="000F6200">
        <w:rPr>
          <w:sz w:val="28"/>
          <w:szCs w:val="28"/>
        </w:rPr>
        <w:t xml:space="preserve"> </w:t>
      </w:r>
      <w:r w:rsidR="00DD428F">
        <w:rPr>
          <w:sz w:val="28"/>
          <w:szCs w:val="28"/>
        </w:rPr>
        <w:t xml:space="preserve">a </w:t>
      </w:r>
      <w:r w:rsidR="000F6200">
        <w:rPr>
          <w:sz w:val="28"/>
          <w:szCs w:val="28"/>
        </w:rPr>
        <w:t>defence</w:t>
      </w:r>
      <w:r w:rsidR="00DD428F">
        <w:rPr>
          <w:sz w:val="28"/>
          <w:szCs w:val="28"/>
        </w:rPr>
        <w:t>.</w:t>
      </w:r>
      <w:proofErr w:type="gramEnd"/>
      <w:r w:rsidR="00DD428F">
        <w:rPr>
          <w:sz w:val="28"/>
          <w:szCs w:val="28"/>
        </w:rPr>
        <w:t xml:space="preserve">  In this Court, his repre</w:t>
      </w:r>
      <w:r w:rsidR="000F6200">
        <w:rPr>
          <w:sz w:val="28"/>
          <w:szCs w:val="28"/>
        </w:rPr>
        <w:t xml:space="preserve">sentative stated that he failed to respond because he felt </w:t>
      </w:r>
      <w:r w:rsidR="00DD428F">
        <w:rPr>
          <w:sz w:val="28"/>
          <w:szCs w:val="28"/>
        </w:rPr>
        <w:t xml:space="preserve">he was being “strangled” by Respondent.  In other words he felt he was being harassed.  </w:t>
      </w:r>
      <w:r w:rsidR="00817FFB">
        <w:rPr>
          <w:sz w:val="28"/>
          <w:szCs w:val="28"/>
        </w:rPr>
        <w:t>But he could have complied and then raise a grievance</w:t>
      </w:r>
      <w:r w:rsidR="00DD428F">
        <w:rPr>
          <w:sz w:val="28"/>
          <w:szCs w:val="28"/>
        </w:rPr>
        <w:t>.</w:t>
      </w:r>
      <w:r w:rsidR="00D011AB">
        <w:rPr>
          <w:sz w:val="28"/>
          <w:szCs w:val="28"/>
        </w:rPr>
        <w:t xml:space="preserve">  His grievance was not a valid excuse for ignoring the employer’s instruction.</w:t>
      </w:r>
      <w:r w:rsidR="00DD428F">
        <w:rPr>
          <w:sz w:val="28"/>
          <w:szCs w:val="28"/>
        </w:rPr>
        <w:t xml:space="preserve">  </w:t>
      </w:r>
      <w:r w:rsidR="00D011AB">
        <w:rPr>
          <w:sz w:val="28"/>
          <w:szCs w:val="28"/>
        </w:rPr>
        <w:t xml:space="preserve">He was therefore guilty </w:t>
      </w:r>
      <w:proofErr w:type="gramStart"/>
      <w:r w:rsidR="00D011AB">
        <w:rPr>
          <w:sz w:val="28"/>
          <w:szCs w:val="28"/>
        </w:rPr>
        <w:t>of  the</w:t>
      </w:r>
      <w:proofErr w:type="gramEnd"/>
      <w:r w:rsidR="00D011AB">
        <w:rPr>
          <w:sz w:val="28"/>
          <w:szCs w:val="28"/>
        </w:rPr>
        <w:t xml:space="preserve"> offence.  That was a serious</w:t>
      </w:r>
      <w:r w:rsidR="00C822D9">
        <w:rPr>
          <w:sz w:val="28"/>
          <w:szCs w:val="28"/>
        </w:rPr>
        <w:t xml:space="preserve"> offence.  It was aggravated by the fact that Appellant was sitting on a final written warning.  I consider that his dismissal was justified in the circumstances.</w:t>
      </w:r>
    </w:p>
    <w:p w:rsidR="00277974" w:rsidRDefault="00277974" w:rsidP="00C14AA6">
      <w:pPr>
        <w:spacing w:after="0" w:line="360" w:lineRule="auto"/>
        <w:jc w:val="both"/>
        <w:rPr>
          <w:sz w:val="28"/>
          <w:szCs w:val="28"/>
        </w:rPr>
      </w:pPr>
    </w:p>
    <w:p w:rsidR="00277974" w:rsidRDefault="00277974" w:rsidP="00C14AA6">
      <w:pPr>
        <w:spacing w:after="0" w:line="360" w:lineRule="auto"/>
        <w:jc w:val="both"/>
        <w:rPr>
          <w:sz w:val="28"/>
          <w:szCs w:val="28"/>
        </w:rPr>
      </w:pPr>
    </w:p>
    <w:p w:rsidR="00277974" w:rsidRDefault="00277974" w:rsidP="00C14AA6">
      <w:pPr>
        <w:spacing w:after="0" w:line="360" w:lineRule="auto"/>
        <w:jc w:val="both"/>
        <w:rPr>
          <w:sz w:val="28"/>
          <w:szCs w:val="28"/>
        </w:rPr>
      </w:pPr>
    </w:p>
    <w:p w:rsidR="00277974" w:rsidRDefault="00277974" w:rsidP="00C14AA6">
      <w:pPr>
        <w:spacing w:after="0" w:line="360" w:lineRule="auto"/>
        <w:jc w:val="both"/>
        <w:rPr>
          <w:sz w:val="28"/>
          <w:szCs w:val="28"/>
        </w:rPr>
      </w:pPr>
    </w:p>
    <w:p w:rsidR="00277974" w:rsidRDefault="00277974" w:rsidP="00C14AA6">
      <w:pPr>
        <w:spacing w:after="0" w:line="360" w:lineRule="auto"/>
        <w:jc w:val="both"/>
        <w:rPr>
          <w:sz w:val="28"/>
          <w:szCs w:val="28"/>
        </w:rPr>
      </w:pPr>
    </w:p>
    <w:p w:rsidR="00277974" w:rsidRDefault="00277974" w:rsidP="00C14AA6">
      <w:pPr>
        <w:spacing w:after="0" w:line="360" w:lineRule="auto"/>
        <w:jc w:val="both"/>
        <w:rPr>
          <w:sz w:val="28"/>
          <w:szCs w:val="28"/>
        </w:rPr>
      </w:pPr>
    </w:p>
    <w:p w:rsidR="00277974" w:rsidRPr="000F6200" w:rsidRDefault="00277974" w:rsidP="00C14AA6">
      <w:pPr>
        <w:spacing w:after="0" w:line="360" w:lineRule="auto"/>
        <w:jc w:val="both"/>
        <w:rPr>
          <w:b/>
          <w:sz w:val="28"/>
          <w:szCs w:val="28"/>
        </w:rPr>
      </w:pPr>
      <w:r w:rsidRPr="000F6200">
        <w:rPr>
          <w:b/>
          <w:sz w:val="28"/>
          <w:szCs w:val="28"/>
        </w:rPr>
        <w:t>Wherefore it is ordered that,</w:t>
      </w:r>
    </w:p>
    <w:p w:rsidR="00277974" w:rsidRPr="000F6200" w:rsidRDefault="00277974" w:rsidP="00C14AA6">
      <w:pPr>
        <w:spacing w:after="0" w:line="360" w:lineRule="auto"/>
        <w:jc w:val="both"/>
        <w:rPr>
          <w:b/>
          <w:sz w:val="28"/>
          <w:szCs w:val="28"/>
        </w:rPr>
      </w:pPr>
    </w:p>
    <w:p w:rsidR="00277974" w:rsidRPr="000F6200" w:rsidRDefault="00277974" w:rsidP="0027797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 w:rsidRPr="000F6200">
        <w:rPr>
          <w:b/>
          <w:sz w:val="28"/>
          <w:szCs w:val="28"/>
        </w:rPr>
        <w:t xml:space="preserve"> The appeal is hereby dismissed; and</w:t>
      </w:r>
    </w:p>
    <w:p w:rsidR="00277974" w:rsidRPr="000F6200" w:rsidRDefault="00277974" w:rsidP="00277974">
      <w:pPr>
        <w:pStyle w:val="ListParagraph"/>
        <w:spacing w:after="0" w:line="360" w:lineRule="auto"/>
        <w:jc w:val="both"/>
        <w:rPr>
          <w:b/>
          <w:sz w:val="28"/>
          <w:szCs w:val="28"/>
        </w:rPr>
      </w:pPr>
    </w:p>
    <w:p w:rsidR="00277974" w:rsidRPr="000F6200" w:rsidRDefault="00277974" w:rsidP="0027797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 w:rsidRPr="000F6200">
        <w:rPr>
          <w:b/>
          <w:sz w:val="28"/>
          <w:szCs w:val="28"/>
        </w:rPr>
        <w:t>Each party shall bear its own costs.</w:t>
      </w:r>
    </w:p>
    <w:p w:rsidR="00277974" w:rsidRPr="000F6200" w:rsidRDefault="00277974" w:rsidP="00277974">
      <w:pPr>
        <w:pStyle w:val="ListParagraph"/>
        <w:rPr>
          <w:b/>
          <w:sz w:val="28"/>
          <w:szCs w:val="28"/>
        </w:rPr>
      </w:pPr>
    </w:p>
    <w:p w:rsidR="00277974" w:rsidRPr="000F6200" w:rsidRDefault="00277974" w:rsidP="00277974">
      <w:pPr>
        <w:spacing w:after="0" w:line="360" w:lineRule="auto"/>
        <w:jc w:val="both"/>
        <w:rPr>
          <w:b/>
          <w:sz w:val="28"/>
          <w:szCs w:val="28"/>
        </w:rPr>
      </w:pPr>
    </w:p>
    <w:p w:rsidR="00277974" w:rsidRPr="000F6200" w:rsidRDefault="00277974" w:rsidP="00277974">
      <w:pPr>
        <w:spacing w:after="0" w:line="360" w:lineRule="auto"/>
        <w:jc w:val="both"/>
        <w:rPr>
          <w:b/>
          <w:sz w:val="28"/>
          <w:szCs w:val="28"/>
        </w:rPr>
      </w:pPr>
    </w:p>
    <w:p w:rsidR="00277974" w:rsidRDefault="00277974" w:rsidP="00277974">
      <w:pPr>
        <w:spacing w:after="0" w:line="360" w:lineRule="auto"/>
        <w:jc w:val="both"/>
        <w:rPr>
          <w:sz w:val="28"/>
          <w:szCs w:val="28"/>
        </w:rPr>
      </w:pPr>
    </w:p>
    <w:p w:rsidR="00277974" w:rsidRDefault="00277974" w:rsidP="00277974">
      <w:pPr>
        <w:spacing w:after="0" w:line="360" w:lineRule="auto"/>
        <w:ind w:left="50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G. MUSARIRI</w:t>
      </w:r>
    </w:p>
    <w:p w:rsidR="00277974" w:rsidRPr="00277974" w:rsidRDefault="00277974" w:rsidP="00277974">
      <w:pPr>
        <w:spacing w:after="0" w:line="360" w:lineRule="auto"/>
        <w:ind w:left="50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 U D G E</w:t>
      </w:r>
    </w:p>
    <w:p w:rsidR="00277974" w:rsidRPr="00C14AA6" w:rsidRDefault="00277974" w:rsidP="00C14AA6">
      <w:pPr>
        <w:spacing w:after="0" w:line="360" w:lineRule="auto"/>
        <w:jc w:val="both"/>
        <w:rPr>
          <w:sz w:val="28"/>
          <w:szCs w:val="28"/>
        </w:rPr>
      </w:pPr>
    </w:p>
    <w:p w:rsidR="00C14AA6" w:rsidRPr="00C14AA6" w:rsidRDefault="00C14AA6" w:rsidP="00C14AA6">
      <w:pPr>
        <w:spacing w:after="0" w:line="360" w:lineRule="auto"/>
        <w:jc w:val="both"/>
        <w:rPr>
          <w:sz w:val="28"/>
          <w:szCs w:val="28"/>
        </w:rPr>
      </w:pPr>
    </w:p>
    <w:p w:rsidR="004C1921" w:rsidRPr="004C1921" w:rsidRDefault="004C1921" w:rsidP="004C1921">
      <w:pPr>
        <w:spacing w:after="0" w:line="240" w:lineRule="auto"/>
        <w:jc w:val="both"/>
        <w:rPr>
          <w:i/>
          <w:sz w:val="24"/>
          <w:szCs w:val="24"/>
        </w:rPr>
      </w:pPr>
    </w:p>
    <w:p w:rsidR="004C1921" w:rsidRPr="004C1921" w:rsidRDefault="004C1921" w:rsidP="004C1921">
      <w:pPr>
        <w:spacing w:line="360" w:lineRule="auto"/>
        <w:jc w:val="both"/>
        <w:rPr>
          <w:b/>
          <w:sz w:val="28"/>
          <w:szCs w:val="28"/>
        </w:rPr>
      </w:pPr>
    </w:p>
    <w:sectPr w:rsidR="004C1921" w:rsidRPr="004C1921" w:rsidSect="00C14AA6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844" w:rsidRDefault="006A4844" w:rsidP="00C14AA6">
      <w:pPr>
        <w:spacing w:after="0" w:line="240" w:lineRule="auto"/>
      </w:pPr>
      <w:r>
        <w:separator/>
      </w:r>
    </w:p>
  </w:endnote>
  <w:endnote w:type="continuationSeparator" w:id="0">
    <w:p w:rsidR="006A4844" w:rsidRDefault="006A4844" w:rsidP="00C1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5345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4AA6" w:rsidRDefault="00C14A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8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4AA6" w:rsidRDefault="00C14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844" w:rsidRDefault="006A4844" w:rsidP="00C14AA6">
      <w:pPr>
        <w:spacing w:after="0" w:line="240" w:lineRule="auto"/>
      </w:pPr>
      <w:r>
        <w:separator/>
      </w:r>
    </w:p>
  </w:footnote>
  <w:footnote w:type="continuationSeparator" w:id="0">
    <w:p w:rsidR="006A4844" w:rsidRDefault="006A4844" w:rsidP="00C14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AA6" w:rsidRDefault="00C14AA6" w:rsidP="00C14AA6">
    <w:pPr>
      <w:spacing w:line="360" w:lineRule="auto"/>
      <w:ind w:left="4320" w:firstLine="720"/>
      <w:jc w:val="both"/>
      <w:rPr>
        <w:b/>
        <w:sz w:val="28"/>
        <w:szCs w:val="28"/>
      </w:rPr>
    </w:pPr>
    <w:r>
      <w:rPr>
        <w:b/>
        <w:sz w:val="28"/>
        <w:szCs w:val="28"/>
      </w:rPr>
      <w:t>JUDGMENT NO LC/H/</w:t>
    </w:r>
    <w:r w:rsidR="00C63525">
      <w:rPr>
        <w:b/>
        <w:sz w:val="28"/>
        <w:szCs w:val="28"/>
      </w:rPr>
      <w:t>188</w:t>
    </w:r>
    <w:r>
      <w:rPr>
        <w:b/>
        <w:sz w:val="28"/>
        <w:szCs w:val="28"/>
      </w:rPr>
      <w:t>/14</w:t>
    </w:r>
  </w:p>
  <w:p w:rsidR="00C14AA6" w:rsidRDefault="00C14A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7B3D"/>
    <w:multiLevelType w:val="hybridMultilevel"/>
    <w:tmpl w:val="C39A753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21"/>
    <w:rsid w:val="000F6200"/>
    <w:rsid w:val="0025239F"/>
    <w:rsid w:val="00277974"/>
    <w:rsid w:val="003414E6"/>
    <w:rsid w:val="004153D2"/>
    <w:rsid w:val="004C1921"/>
    <w:rsid w:val="006A4844"/>
    <w:rsid w:val="00775CC0"/>
    <w:rsid w:val="00817FFB"/>
    <w:rsid w:val="00A06172"/>
    <w:rsid w:val="00C14AA6"/>
    <w:rsid w:val="00C63525"/>
    <w:rsid w:val="00C822D9"/>
    <w:rsid w:val="00CC48F1"/>
    <w:rsid w:val="00D011AB"/>
    <w:rsid w:val="00DD428F"/>
    <w:rsid w:val="00E0774F"/>
    <w:rsid w:val="00F1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AA6"/>
  </w:style>
  <w:style w:type="paragraph" w:styleId="Footer">
    <w:name w:val="footer"/>
    <w:basedOn w:val="Normal"/>
    <w:link w:val="FooterChar"/>
    <w:uiPriority w:val="99"/>
    <w:unhideWhenUsed/>
    <w:rsid w:val="00C14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AA6"/>
  </w:style>
  <w:style w:type="paragraph" w:styleId="ListParagraph">
    <w:name w:val="List Paragraph"/>
    <w:basedOn w:val="Normal"/>
    <w:uiPriority w:val="34"/>
    <w:qFormat/>
    <w:rsid w:val="00277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AA6"/>
  </w:style>
  <w:style w:type="paragraph" w:styleId="Footer">
    <w:name w:val="footer"/>
    <w:basedOn w:val="Normal"/>
    <w:link w:val="FooterChar"/>
    <w:uiPriority w:val="99"/>
    <w:unhideWhenUsed/>
    <w:rsid w:val="00C14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AA6"/>
  </w:style>
  <w:style w:type="paragraph" w:styleId="ListParagraph">
    <w:name w:val="List Paragraph"/>
    <w:basedOn w:val="Normal"/>
    <w:uiPriority w:val="34"/>
    <w:qFormat/>
    <w:rsid w:val="00277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Labour Court</cp:lastModifiedBy>
  <cp:revision>9</cp:revision>
  <cp:lastPrinted>2014-03-25T12:58:00Z</cp:lastPrinted>
  <dcterms:created xsi:type="dcterms:W3CDTF">2014-03-24T06:48:00Z</dcterms:created>
  <dcterms:modified xsi:type="dcterms:W3CDTF">2014-03-27T09:39:00Z</dcterms:modified>
</cp:coreProperties>
</file>