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00" w:rsidRDefault="00376C00" w:rsidP="00376C00">
      <w:pPr>
        <w:spacing w:after="0" w:line="360" w:lineRule="auto"/>
        <w:jc w:val="both"/>
        <w:rPr>
          <w:rFonts w:ascii="Times New Roman" w:hAnsi="Times New Roman" w:cs="Times New Roman"/>
          <w:b/>
        </w:rPr>
      </w:pPr>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JUDGMENT NO. LC/H</w:t>
      </w:r>
      <w:r>
        <w:rPr>
          <w:rFonts w:ascii="Times New Roman" w:hAnsi="Times New Roman" w:cs="Times New Roman"/>
          <w:b/>
        </w:rPr>
        <w:t>/</w:t>
      </w:r>
      <w:r w:rsidR="00A06B60">
        <w:rPr>
          <w:rFonts w:ascii="Times New Roman" w:hAnsi="Times New Roman" w:cs="Times New Roman"/>
          <w:b/>
        </w:rPr>
        <w:t>697/</w:t>
      </w:r>
      <w:bookmarkStart w:id="0" w:name="_GoBack"/>
      <w:bookmarkEnd w:id="0"/>
      <w:r>
        <w:rPr>
          <w:rFonts w:ascii="Times New Roman" w:hAnsi="Times New Roman" w:cs="Times New Roman"/>
          <w:b/>
        </w:rPr>
        <w:t>14</w:t>
      </w:r>
    </w:p>
    <w:p w:rsidR="00376C00" w:rsidRDefault="00376C00" w:rsidP="00376C00">
      <w:pPr>
        <w:spacing w:after="0" w:line="360" w:lineRule="auto"/>
        <w:jc w:val="both"/>
        <w:rPr>
          <w:rFonts w:ascii="Times New Roman" w:hAnsi="Times New Roman" w:cs="Times New Roman"/>
          <w:b/>
        </w:rPr>
      </w:pPr>
      <w:r>
        <w:rPr>
          <w:rFonts w:ascii="Times New Roman" w:hAnsi="Times New Roman" w:cs="Times New Roman"/>
          <w:b/>
        </w:rPr>
        <w:t>HARARE,</w:t>
      </w:r>
      <w:r w:rsidRPr="00854F36">
        <w:rPr>
          <w:rFonts w:ascii="Times New Roman" w:hAnsi="Times New Roman" w:cs="Times New Roman"/>
          <w:b/>
        </w:rPr>
        <w:t xml:space="preserve"> ON </w:t>
      </w:r>
      <w:r>
        <w:rPr>
          <w:rFonts w:ascii="Times New Roman" w:hAnsi="Times New Roman" w:cs="Times New Roman"/>
          <w:b/>
        </w:rPr>
        <w:t>25</w:t>
      </w:r>
      <w:r w:rsidRPr="00376C00">
        <w:rPr>
          <w:rFonts w:ascii="Times New Roman" w:hAnsi="Times New Roman" w:cs="Times New Roman"/>
          <w:b/>
          <w:vertAlign w:val="superscript"/>
        </w:rPr>
        <w:t>th</w:t>
      </w:r>
      <w:r>
        <w:rPr>
          <w:rFonts w:ascii="Times New Roman" w:hAnsi="Times New Roman" w:cs="Times New Roman"/>
          <w:b/>
        </w:rPr>
        <w:t xml:space="preserve"> SEPTEMBER,</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CASE NO. LC/H/474/14</w:t>
      </w:r>
      <w:r w:rsidRPr="0016582E">
        <w:rPr>
          <w:rFonts w:ascii="Times New Roman" w:hAnsi="Times New Roman" w:cs="Times New Roman"/>
          <w:b/>
        </w:rPr>
        <w:t xml:space="preserve"> </w:t>
      </w:r>
      <w:r>
        <w:rPr>
          <w:rFonts w:ascii="Times New Roman" w:hAnsi="Times New Roman" w:cs="Times New Roman"/>
          <w:b/>
        </w:rPr>
        <w:t xml:space="preserve">AND </w:t>
      </w:r>
      <w:r w:rsidR="00A06B60">
        <w:rPr>
          <w:rFonts w:ascii="Times New Roman" w:hAnsi="Times New Roman" w:cs="Times New Roman"/>
          <w:b/>
        </w:rPr>
        <w:t>24</w:t>
      </w:r>
      <w:r w:rsidR="00A06B60" w:rsidRPr="00A06B60">
        <w:rPr>
          <w:rFonts w:ascii="Times New Roman" w:hAnsi="Times New Roman" w:cs="Times New Roman"/>
          <w:b/>
          <w:vertAlign w:val="superscript"/>
        </w:rPr>
        <w:t>TH</w:t>
      </w:r>
      <w:r w:rsidR="00A06B60">
        <w:rPr>
          <w:rFonts w:ascii="Times New Roman" w:hAnsi="Times New Roman" w:cs="Times New Roman"/>
          <w:b/>
        </w:rPr>
        <w:t xml:space="preserve"> OCTOBER,</w:t>
      </w:r>
      <w:r>
        <w:rPr>
          <w:rFonts w:ascii="Times New Roman" w:hAnsi="Times New Roman" w:cs="Times New Roman"/>
          <w:b/>
        </w:rPr>
        <w:t xml:space="preserve">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376C00" w:rsidRDefault="00376C00" w:rsidP="00376C00">
      <w:pPr>
        <w:tabs>
          <w:tab w:val="left" w:pos="2655"/>
        </w:tabs>
        <w:spacing w:after="0" w:line="360" w:lineRule="auto"/>
        <w:jc w:val="both"/>
        <w:rPr>
          <w:rFonts w:ascii="Times New Roman" w:hAnsi="Times New Roman" w:cs="Times New Roman"/>
          <w:sz w:val="24"/>
          <w:szCs w:val="24"/>
        </w:rPr>
      </w:pPr>
    </w:p>
    <w:p w:rsidR="00376C00" w:rsidRPr="000E66B6" w:rsidRDefault="00376C00" w:rsidP="00376C00">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376C00" w:rsidRPr="000E66B6" w:rsidRDefault="00376C00" w:rsidP="00376C00">
      <w:pPr>
        <w:spacing w:after="0" w:line="360" w:lineRule="auto"/>
        <w:jc w:val="both"/>
        <w:rPr>
          <w:rFonts w:ascii="Times New Roman" w:hAnsi="Times New Roman" w:cs="Times New Roman"/>
          <w:sz w:val="24"/>
          <w:szCs w:val="24"/>
        </w:rPr>
      </w:pPr>
    </w:p>
    <w:p w:rsidR="00376C00" w:rsidRPr="000E66B6" w:rsidRDefault="00376C00" w:rsidP="00376C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OASIS INDUSTRIES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376C00" w:rsidRPr="000E66B6" w:rsidRDefault="00376C00" w:rsidP="00376C00">
      <w:pPr>
        <w:spacing w:after="0" w:line="360" w:lineRule="auto"/>
        <w:jc w:val="both"/>
        <w:rPr>
          <w:rFonts w:ascii="Times New Roman" w:hAnsi="Times New Roman" w:cs="Times New Roman"/>
          <w:sz w:val="24"/>
          <w:szCs w:val="24"/>
        </w:rPr>
      </w:pPr>
    </w:p>
    <w:p w:rsidR="00376C00" w:rsidRPr="000E66B6" w:rsidRDefault="00376C00" w:rsidP="00376C00">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376C00" w:rsidRPr="000E66B6" w:rsidRDefault="00376C00" w:rsidP="00376C00">
      <w:pPr>
        <w:spacing w:after="0" w:line="360" w:lineRule="auto"/>
        <w:jc w:val="both"/>
        <w:rPr>
          <w:rFonts w:ascii="Times New Roman" w:hAnsi="Times New Roman" w:cs="Times New Roman"/>
          <w:b/>
          <w:sz w:val="24"/>
          <w:szCs w:val="24"/>
        </w:rPr>
      </w:pPr>
    </w:p>
    <w:p w:rsidR="00376C00" w:rsidRPr="000E66B6" w:rsidRDefault="00376C00" w:rsidP="00376C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821786">
        <w:rPr>
          <w:rFonts w:ascii="Times New Roman" w:hAnsi="Times New Roman" w:cs="Times New Roman"/>
          <w:b/>
          <w:sz w:val="24"/>
          <w:szCs w:val="24"/>
        </w:rPr>
        <w:t>HARLES</w:t>
      </w:r>
      <w:r>
        <w:rPr>
          <w:rFonts w:ascii="Times New Roman" w:hAnsi="Times New Roman" w:cs="Times New Roman"/>
          <w:b/>
          <w:sz w:val="24"/>
          <w:szCs w:val="24"/>
        </w:rPr>
        <w:t xml:space="preserve"> PAGIWA AND ANOTHER</w:t>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376C00" w:rsidRPr="000E66B6" w:rsidRDefault="00376C00" w:rsidP="00376C00">
      <w:pPr>
        <w:spacing w:after="0" w:line="360" w:lineRule="auto"/>
        <w:jc w:val="both"/>
        <w:rPr>
          <w:rFonts w:ascii="Times New Roman" w:hAnsi="Times New Roman" w:cs="Times New Roman"/>
          <w:sz w:val="24"/>
          <w:szCs w:val="24"/>
        </w:rPr>
      </w:pPr>
    </w:p>
    <w:p w:rsidR="00376C00" w:rsidRDefault="00376C00" w:rsidP="00376C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E. Muchawa, J</w:t>
      </w:r>
    </w:p>
    <w:p w:rsidR="00376C00" w:rsidRDefault="00376C00" w:rsidP="00376C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76C00" w:rsidRPr="000E66B6" w:rsidRDefault="00376C00" w:rsidP="00376C00">
      <w:pPr>
        <w:spacing w:after="0" w:line="240" w:lineRule="auto"/>
        <w:ind w:left="2160"/>
        <w:jc w:val="both"/>
        <w:rPr>
          <w:rFonts w:ascii="Times New Roman" w:hAnsi="Times New Roman" w:cs="Times New Roman"/>
          <w:b/>
          <w:sz w:val="24"/>
          <w:szCs w:val="24"/>
        </w:rPr>
      </w:pPr>
    </w:p>
    <w:p w:rsidR="00376C00" w:rsidRPr="000E66B6" w:rsidRDefault="00376C00" w:rsidP="00376C00">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Pr>
          <w:rFonts w:ascii="Times New Roman" w:hAnsi="Times New Roman" w:cs="Times New Roman"/>
          <w:b/>
          <w:sz w:val="24"/>
          <w:szCs w:val="24"/>
        </w:rPr>
        <w:t xml:space="preserve">Mr G. Makings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376C00" w:rsidRPr="000E66B6" w:rsidRDefault="00376C00" w:rsidP="00376C00">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Respondent</w:t>
      </w:r>
      <w:r w:rsidR="00821786">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C. Pagiwa and Mr T. Banda (Self Actors) </w:t>
      </w:r>
    </w:p>
    <w:p w:rsidR="00376C00" w:rsidRPr="000E66B6" w:rsidRDefault="00376C00" w:rsidP="00376C00">
      <w:pPr>
        <w:spacing w:after="0" w:line="360" w:lineRule="auto"/>
        <w:jc w:val="both"/>
        <w:rPr>
          <w:rFonts w:ascii="Times New Roman" w:hAnsi="Times New Roman" w:cs="Times New Roman"/>
          <w:sz w:val="24"/>
          <w:szCs w:val="24"/>
        </w:rPr>
      </w:pPr>
    </w:p>
    <w:p w:rsidR="00376C00" w:rsidRPr="000E66B6" w:rsidRDefault="00376C00" w:rsidP="00376C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 J,</w:t>
      </w:r>
    </w:p>
    <w:p w:rsidR="00376C00" w:rsidRDefault="00376C00" w:rsidP="00376C00"/>
    <w:p w:rsidR="00821786" w:rsidRDefault="00376C00" w:rsidP="00376C00">
      <w:pPr>
        <w:rPr>
          <w:rFonts w:ascii="Times New Roman" w:hAnsi="Times New Roman" w:cs="Times New Roman"/>
          <w:sz w:val="24"/>
          <w:szCs w:val="24"/>
        </w:rPr>
      </w:pPr>
      <w:r>
        <w:tab/>
      </w:r>
      <w:r>
        <w:rPr>
          <w:rFonts w:ascii="Times New Roman" w:hAnsi="Times New Roman" w:cs="Times New Roman"/>
          <w:sz w:val="24"/>
          <w:szCs w:val="24"/>
        </w:rPr>
        <w:t>This is an appeal against an arbitral award</w:t>
      </w:r>
      <w:r w:rsidR="00821786">
        <w:rPr>
          <w:rFonts w:ascii="Times New Roman" w:hAnsi="Times New Roman" w:cs="Times New Roman"/>
          <w:sz w:val="24"/>
          <w:szCs w:val="24"/>
        </w:rPr>
        <w:t>.</w:t>
      </w:r>
    </w:p>
    <w:p w:rsidR="00821786" w:rsidRDefault="00376C00" w:rsidP="008217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w:t>
      </w:r>
      <w:r w:rsidR="00821786">
        <w:rPr>
          <w:rFonts w:ascii="Times New Roman" w:hAnsi="Times New Roman" w:cs="Times New Roman"/>
          <w:sz w:val="24"/>
          <w:szCs w:val="24"/>
        </w:rPr>
        <w:t xml:space="preserve"> are former employees of the Appellant. It seems that the last contracts signed were fixed term contracts running from 1</w:t>
      </w:r>
      <w:r w:rsidR="00821786" w:rsidRPr="00821786">
        <w:rPr>
          <w:rFonts w:ascii="Times New Roman" w:hAnsi="Times New Roman" w:cs="Times New Roman"/>
          <w:sz w:val="24"/>
          <w:szCs w:val="24"/>
          <w:vertAlign w:val="superscript"/>
        </w:rPr>
        <w:t>st</w:t>
      </w:r>
      <w:r w:rsidR="00821786">
        <w:rPr>
          <w:rFonts w:ascii="Times New Roman" w:hAnsi="Times New Roman" w:cs="Times New Roman"/>
          <w:sz w:val="24"/>
          <w:szCs w:val="24"/>
        </w:rPr>
        <w:t xml:space="preserve"> January 2012 to 31</w:t>
      </w:r>
      <w:r w:rsidR="00821786" w:rsidRPr="00821786">
        <w:rPr>
          <w:rFonts w:ascii="Times New Roman" w:hAnsi="Times New Roman" w:cs="Times New Roman"/>
          <w:sz w:val="24"/>
          <w:szCs w:val="24"/>
          <w:vertAlign w:val="superscript"/>
        </w:rPr>
        <w:t>st</w:t>
      </w:r>
      <w:r w:rsidR="00821786">
        <w:rPr>
          <w:rFonts w:ascii="Times New Roman" w:hAnsi="Times New Roman" w:cs="Times New Roman"/>
          <w:sz w:val="24"/>
          <w:szCs w:val="24"/>
        </w:rPr>
        <w:t xml:space="preserve"> March 2012.</w:t>
      </w:r>
    </w:p>
    <w:p w:rsidR="00F63476" w:rsidRDefault="00821786" w:rsidP="008217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Respondent’s contract was terminated on the 9</w:t>
      </w:r>
      <w:r w:rsidRPr="00821786">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2012 and he was paid four months’ salary including housing and transport allowance for two months totaling US$1 462.00. Other amounts paid out to first respondent before the termination were as follows:</w:t>
      </w:r>
    </w:p>
    <w:p w:rsidR="00821786" w:rsidRPr="00821786" w:rsidRDefault="00821786" w:rsidP="00821786">
      <w:pPr>
        <w:pStyle w:val="ListParagraph"/>
        <w:numPr>
          <w:ilvl w:val="0"/>
          <w:numId w:val="2"/>
        </w:numPr>
        <w:spacing w:after="0" w:line="240" w:lineRule="auto"/>
        <w:jc w:val="both"/>
        <w:rPr>
          <w:rFonts w:ascii="Times New Roman" w:hAnsi="Times New Roman" w:cs="Times New Roman"/>
        </w:rPr>
      </w:pPr>
      <w:r w:rsidRPr="00821786">
        <w:rPr>
          <w:rFonts w:ascii="Times New Roman" w:hAnsi="Times New Roman" w:cs="Times New Roman"/>
        </w:rPr>
        <w:t xml:space="preserve">In October 2011 housing allowance of $1 080.00 and transport allowance </w:t>
      </w:r>
      <w:r w:rsidR="003746B0" w:rsidRPr="00821786">
        <w:rPr>
          <w:rFonts w:ascii="Times New Roman" w:hAnsi="Times New Roman" w:cs="Times New Roman"/>
        </w:rPr>
        <w:t>of</w:t>
      </w:r>
      <w:r w:rsidRPr="00821786">
        <w:rPr>
          <w:rFonts w:ascii="Times New Roman" w:hAnsi="Times New Roman" w:cs="Times New Roman"/>
        </w:rPr>
        <w:t xml:space="preserve"> $528.00 for the period 2010 to 2011.</w:t>
      </w:r>
    </w:p>
    <w:p w:rsidR="00821786" w:rsidRPr="00821786" w:rsidRDefault="00821786" w:rsidP="00821786">
      <w:pPr>
        <w:pStyle w:val="ListParagraph"/>
        <w:numPr>
          <w:ilvl w:val="0"/>
          <w:numId w:val="2"/>
        </w:numPr>
        <w:spacing w:after="0" w:line="240" w:lineRule="auto"/>
        <w:jc w:val="both"/>
        <w:rPr>
          <w:rFonts w:ascii="Times New Roman" w:hAnsi="Times New Roman" w:cs="Times New Roman"/>
        </w:rPr>
      </w:pPr>
      <w:r w:rsidRPr="00821786">
        <w:rPr>
          <w:rFonts w:ascii="Times New Roman" w:hAnsi="Times New Roman" w:cs="Times New Roman"/>
        </w:rPr>
        <w:t>An overtime payment of $615.00</w:t>
      </w:r>
    </w:p>
    <w:p w:rsidR="00821786" w:rsidRPr="00821786" w:rsidRDefault="00821786" w:rsidP="00821786">
      <w:pPr>
        <w:pStyle w:val="ListParagraph"/>
        <w:numPr>
          <w:ilvl w:val="0"/>
          <w:numId w:val="2"/>
        </w:numPr>
        <w:spacing w:after="0" w:line="240" w:lineRule="auto"/>
        <w:jc w:val="both"/>
        <w:rPr>
          <w:rFonts w:ascii="Times New Roman" w:hAnsi="Times New Roman" w:cs="Times New Roman"/>
        </w:rPr>
      </w:pPr>
      <w:r w:rsidRPr="00821786">
        <w:rPr>
          <w:rFonts w:ascii="Times New Roman" w:hAnsi="Times New Roman" w:cs="Times New Roman"/>
        </w:rPr>
        <w:t>Cash in lieu of leave of $340.00</w:t>
      </w:r>
    </w:p>
    <w:p w:rsidR="00821786" w:rsidRDefault="00821786" w:rsidP="00821786">
      <w:pPr>
        <w:spacing w:after="0" w:line="240" w:lineRule="auto"/>
        <w:jc w:val="both"/>
      </w:pPr>
    </w:p>
    <w:p w:rsidR="00821786" w:rsidRPr="00821786" w:rsidRDefault="00821786" w:rsidP="00821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Respondent’s contract was terminated on the 31</w:t>
      </w:r>
      <w:r w:rsidRPr="00821786">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Second Respondent was paid the following:</w:t>
      </w:r>
    </w:p>
    <w:p w:rsidR="00821786" w:rsidRPr="00821786" w:rsidRDefault="00821786" w:rsidP="00821786">
      <w:pPr>
        <w:pStyle w:val="ListParagraph"/>
        <w:numPr>
          <w:ilvl w:val="0"/>
          <w:numId w:val="3"/>
        </w:numPr>
        <w:spacing w:after="0" w:line="240" w:lineRule="auto"/>
        <w:jc w:val="both"/>
        <w:rPr>
          <w:rFonts w:ascii="Times New Roman" w:hAnsi="Times New Roman" w:cs="Times New Roman"/>
        </w:rPr>
      </w:pPr>
      <w:r w:rsidRPr="00821786">
        <w:rPr>
          <w:rFonts w:ascii="Times New Roman" w:hAnsi="Times New Roman" w:cs="Times New Roman"/>
        </w:rPr>
        <w:t xml:space="preserve">Salary for 2 months being </w:t>
      </w:r>
      <w:r w:rsidRPr="00821786">
        <w:rPr>
          <w:rFonts w:ascii="Times New Roman" w:hAnsi="Times New Roman" w:cs="Times New Roman"/>
        </w:rPr>
        <w:tab/>
      </w:r>
      <w:r w:rsidRPr="00821786">
        <w:rPr>
          <w:rFonts w:ascii="Times New Roman" w:hAnsi="Times New Roman" w:cs="Times New Roman"/>
        </w:rPr>
        <w:tab/>
        <w:t>$597.00</w:t>
      </w:r>
    </w:p>
    <w:p w:rsidR="00821786" w:rsidRDefault="00821786" w:rsidP="00821786">
      <w:pPr>
        <w:pStyle w:val="ListParagraph"/>
        <w:numPr>
          <w:ilvl w:val="0"/>
          <w:numId w:val="3"/>
        </w:numPr>
        <w:spacing w:after="0" w:line="240" w:lineRule="auto"/>
        <w:jc w:val="both"/>
        <w:rPr>
          <w:rFonts w:ascii="Times New Roman" w:hAnsi="Times New Roman" w:cs="Times New Roman"/>
        </w:rPr>
      </w:pPr>
      <w:r w:rsidRPr="00821786">
        <w:rPr>
          <w:rFonts w:ascii="Times New Roman" w:hAnsi="Times New Roman" w:cs="Times New Roman"/>
        </w:rPr>
        <w:t xml:space="preserve">Cash in lieu of leave </w:t>
      </w:r>
      <w:r w:rsidRPr="00821786">
        <w:rPr>
          <w:rFonts w:ascii="Times New Roman" w:hAnsi="Times New Roman" w:cs="Times New Roman"/>
        </w:rPr>
        <w:tab/>
      </w:r>
      <w:r w:rsidRPr="00821786">
        <w:rPr>
          <w:rFonts w:ascii="Times New Roman" w:hAnsi="Times New Roman" w:cs="Times New Roman"/>
        </w:rPr>
        <w:tab/>
        <w:t>$340.00</w:t>
      </w:r>
    </w:p>
    <w:p w:rsidR="00821786" w:rsidRDefault="00821786" w:rsidP="008217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 xml:space="preserve">Gratuity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$185.00</w:t>
      </w:r>
    </w:p>
    <w:p w:rsidR="00821786" w:rsidRDefault="00821786" w:rsidP="008217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Overtime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$176.00</w:t>
      </w:r>
    </w:p>
    <w:p w:rsidR="00821786" w:rsidRDefault="00821786" w:rsidP="0082178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Transport allowance </w:t>
      </w:r>
      <w:r>
        <w:rPr>
          <w:rFonts w:ascii="Times New Roman" w:hAnsi="Times New Roman" w:cs="Times New Roman"/>
        </w:rPr>
        <w:tab/>
      </w:r>
      <w:r>
        <w:rPr>
          <w:rFonts w:ascii="Times New Roman" w:hAnsi="Times New Roman" w:cs="Times New Roman"/>
        </w:rPr>
        <w:tab/>
        <w:t>$383.00</w:t>
      </w:r>
    </w:p>
    <w:p w:rsidR="00821786" w:rsidRDefault="00821786" w:rsidP="00821786">
      <w:pPr>
        <w:spacing w:after="0" w:line="240" w:lineRule="auto"/>
        <w:jc w:val="both"/>
        <w:rPr>
          <w:rFonts w:ascii="Times New Roman" w:hAnsi="Times New Roman" w:cs="Times New Roman"/>
        </w:rPr>
      </w:pPr>
    </w:p>
    <w:p w:rsidR="00821786" w:rsidRDefault="00821786" w:rsidP="00821786">
      <w:pPr>
        <w:spacing w:after="0" w:line="360" w:lineRule="auto"/>
        <w:jc w:val="both"/>
        <w:rPr>
          <w:rFonts w:ascii="Times New Roman" w:hAnsi="Times New Roman" w:cs="Times New Roman"/>
          <w:sz w:val="24"/>
          <w:szCs w:val="24"/>
        </w:rPr>
      </w:pPr>
      <w:r w:rsidRPr="00821786">
        <w:rPr>
          <w:rFonts w:ascii="Times New Roman" w:hAnsi="Times New Roman" w:cs="Times New Roman"/>
          <w:sz w:val="24"/>
          <w:szCs w:val="24"/>
        </w:rPr>
        <w:t xml:space="preserve">The claim </w:t>
      </w:r>
      <w:r>
        <w:rPr>
          <w:rFonts w:ascii="Times New Roman" w:hAnsi="Times New Roman" w:cs="Times New Roman"/>
          <w:sz w:val="24"/>
          <w:szCs w:val="24"/>
        </w:rPr>
        <w:t>before the Arbitrator was for terminal benefits. Respondents</w:t>
      </w:r>
      <w:r w:rsidR="00A14F30">
        <w:rPr>
          <w:rFonts w:ascii="Times New Roman" w:hAnsi="Times New Roman" w:cs="Times New Roman"/>
          <w:sz w:val="24"/>
          <w:szCs w:val="24"/>
        </w:rPr>
        <w:t xml:space="preserve"> were claiming the following;</w:t>
      </w:r>
    </w:p>
    <w:tbl>
      <w:tblPr>
        <w:tblStyle w:val="TableGrid"/>
        <w:tblW w:w="9270" w:type="dxa"/>
        <w:tblInd w:w="198" w:type="dxa"/>
        <w:tblLook w:val="04A0" w:firstRow="1" w:lastRow="0" w:firstColumn="1" w:lastColumn="0" w:noHBand="0" w:noVBand="1"/>
      </w:tblPr>
      <w:tblGrid>
        <w:gridCol w:w="5490"/>
        <w:gridCol w:w="1800"/>
        <w:gridCol w:w="1980"/>
      </w:tblGrid>
      <w:tr w:rsidR="00A14F30" w:rsidRPr="00A14F30" w:rsidTr="00A14F30">
        <w:tc>
          <w:tcPr>
            <w:tcW w:w="5490" w:type="dxa"/>
          </w:tcPr>
          <w:p w:rsidR="00A14F30" w:rsidRPr="00A14F30" w:rsidRDefault="00A14F30" w:rsidP="00821786">
            <w:pPr>
              <w:spacing w:line="360" w:lineRule="auto"/>
              <w:jc w:val="both"/>
              <w:rPr>
                <w:rFonts w:ascii="Times New Roman" w:hAnsi="Times New Roman" w:cs="Times New Roman"/>
                <w:b/>
              </w:rPr>
            </w:pPr>
            <w:r w:rsidRPr="00A14F30">
              <w:rPr>
                <w:rFonts w:ascii="Times New Roman" w:hAnsi="Times New Roman" w:cs="Times New Roman"/>
                <w:b/>
              </w:rPr>
              <w:t xml:space="preserve">Item </w:t>
            </w:r>
          </w:p>
        </w:tc>
        <w:tc>
          <w:tcPr>
            <w:tcW w:w="1800" w:type="dxa"/>
          </w:tcPr>
          <w:p w:rsidR="00A14F30" w:rsidRPr="00A14F30" w:rsidRDefault="00A14F30" w:rsidP="00821786">
            <w:pPr>
              <w:spacing w:line="360" w:lineRule="auto"/>
              <w:jc w:val="both"/>
              <w:rPr>
                <w:rFonts w:ascii="Times New Roman" w:hAnsi="Times New Roman" w:cs="Times New Roman"/>
                <w:b/>
              </w:rPr>
            </w:pPr>
            <w:r w:rsidRPr="00A14F30">
              <w:rPr>
                <w:rFonts w:ascii="Times New Roman" w:hAnsi="Times New Roman" w:cs="Times New Roman"/>
                <w:b/>
              </w:rPr>
              <w:t>1</w:t>
            </w:r>
            <w:r w:rsidRPr="00A14F30">
              <w:rPr>
                <w:rFonts w:ascii="Times New Roman" w:hAnsi="Times New Roman" w:cs="Times New Roman"/>
                <w:b/>
                <w:vertAlign w:val="superscript"/>
              </w:rPr>
              <w:t>st</w:t>
            </w:r>
            <w:r w:rsidRPr="00A14F30">
              <w:rPr>
                <w:rFonts w:ascii="Times New Roman" w:hAnsi="Times New Roman" w:cs="Times New Roman"/>
                <w:b/>
              </w:rPr>
              <w:t xml:space="preserve"> Respondent</w:t>
            </w:r>
          </w:p>
        </w:tc>
        <w:tc>
          <w:tcPr>
            <w:tcW w:w="1980" w:type="dxa"/>
          </w:tcPr>
          <w:p w:rsidR="00A14F30" w:rsidRPr="00A14F30" w:rsidRDefault="00A14F30" w:rsidP="00821786">
            <w:pPr>
              <w:spacing w:line="360" w:lineRule="auto"/>
              <w:jc w:val="both"/>
              <w:rPr>
                <w:rFonts w:ascii="Times New Roman" w:hAnsi="Times New Roman" w:cs="Times New Roman"/>
                <w:b/>
              </w:rPr>
            </w:pPr>
            <w:r w:rsidRPr="00A14F30">
              <w:rPr>
                <w:rFonts w:ascii="Times New Roman" w:hAnsi="Times New Roman" w:cs="Times New Roman"/>
                <w:b/>
              </w:rPr>
              <w:t>2</w:t>
            </w:r>
            <w:r w:rsidRPr="00A14F30">
              <w:rPr>
                <w:rFonts w:ascii="Times New Roman" w:hAnsi="Times New Roman" w:cs="Times New Roman"/>
                <w:b/>
                <w:vertAlign w:val="superscript"/>
              </w:rPr>
              <w:t>nd</w:t>
            </w:r>
            <w:r w:rsidRPr="00A14F30">
              <w:rPr>
                <w:rFonts w:ascii="Times New Roman" w:hAnsi="Times New Roman" w:cs="Times New Roman"/>
                <w:b/>
              </w:rPr>
              <w:t xml:space="preserve"> Respondent</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3 months service pay for every year served</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2 940.00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1 719.00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6 months severance pay</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1 680.00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1 146.00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Relocation 3 months</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840.00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573.00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Disturbance allowance</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420.00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286.00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Notice pay 3 months</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840.00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573.00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Housing allowance 2009</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540.00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540.00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Housing allowance</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405.00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1 440.00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Transport allowance</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264.00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409.00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Overtime</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2 488.00</w:t>
            </w:r>
          </w:p>
        </w:tc>
      </w:tr>
      <w:tr w:rsidR="00A14F30" w:rsidRPr="00A14F30" w:rsidTr="00A14F30">
        <w:tc>
          <w:tcPr>
            <w:tcW w:w="5490" w:type="dxa"/>
          </w:tcPr>
          <w:p w:rsidR="00A14F30" w:rsidRPr="00A14F30" w:rsidRDefault="00A14F30" w:rsidP="00A14F30">
            <w:pPr>
              <w:pStyle w:val="ListParagraph"/>
              <w:numPr>
                <w:ilvl w:val="0"/>
                <w:numId w:val="4"/>
              </w:numPr>
              <w:spacing w:line="360" w:lineRule="auto"/>
              <w:jc w:val="both"/>
              <w:rPr>
                <w:rFonts w:ascii="Times New Roman" w:hAnsi="Times New Roman" w:cs="Times New Roman"/>
              </w:rPr>
            </w:pPr>
            <w:r w:rsidRPr="00A14F30">
              <w:rPr>
                <w:rFonts w:ascii="Times New Roman" w:hAnsi="Times New Roman" w:cs="Times New Roman"/>
              </w:rPr>
              <w:t>Leave days</w:t>
            </w:r>
          </w:p>
        </w:tc>
        <w:tc>
          <w:tcPr>
            <w:tcW w:w="180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500.00</w:t>
            </w:r>
          </w:p>
        </w:tc>
        <w:tc>
          <w:tcPr>
            <w:tcW w:w="1980" w:type="dxa"/>
          </w:tcPr>
          <w:p w:rsidR="00A14F30" w:rsidRPr="00A14F30" w:rsidRDefault="00A14F30" w:rsidP="00A14F30">
            <w:pPr>
              <w:spacing w:line="360" w:lineRule="auto"/>
              <w:jc w:val="center"/>
              <w:rPr>
                <w:rFonts w:ascii="Times New Roman" w:hAnsi="Times New Roman" w:cs="Times New Roman"/>
              </w:rPr>
            </w:pPr>
            <w:r w:rsidRPr="00A14F30">
              <w:rPr>
                <w:rFonts w:ascii="Times New Roman" w:hAnsi="Times New Roman" w:cs="Times New Roman"/>
              </w:rPr>
              <w:t>233.00</w:t>
            </w:r>
          </w:p>
        </w:tc>
      </w:tr>
      <w:tr w:rsidR="00A14F30" w:rsidRPr="00A14F30" w:rsidTr="00A14F30">
        <w:tc>
          <w:tcPr>
            <w:tcW w:w="5490" w:type="dxa"/>
          </w:tcPr>
          <w:p w:rsidR="00A14F30" w:rsidRPr="00A14F30" w:rsidRDefault="00A14F30" w:rsidP="00A14F30">
            <w:pPr>
              <w:pStyle w:val="ListParagraph"/>
              <w:spacing w:line="360" w:lineRule="auto"/>
              <w:ind w:left="360"/>
              <w:jc w:val="both"/>
              <w:rPr>
                <w:rFonts w:ascii="Times New Roman" w:hAnsi="Times New Roman" w:cs="Times New Roman"/>
                <w:b/>
              </w:rPr>
            </w:pPr>
            <w:r w:rsidRPr="00A14F30">
              <w:rPr>
                <w:rFonts w:ascii="Times New Roman" w:hAnsi="Times New Roman" w:cs="Times New Roman"/>
                <w:b/>
              </w:rPr>
              <w:t>Total</w:t>
            </w:r>
          </w:p>
        </w:tc>
        <w:tc>
          <w:tcPr>
            <w:tcW w:w="1800" w:type="dxa"/>
          </w:tcPr>
          <w:p w:rsidR="00A14F30" w:rsidRPr="00A14F30" w:rsidRDefault="00A14F30" w:rsidP="00A14F30">
            <w:pPr>
              <w:spacing w:line="360" w:lineRule="auto"/>
              <w:jc w:val="center"/>
              <w:rPr>
                <w:rFonts w:ascii="Times New Roman" w:hAnsi="Times New Roman" w:cs="Times New Roman"/>
                <w:b/>
              </w:rPr>
            </w:pPr>
            <w:r w:rsidRPr="00A14F30">
              <w:rPr>
                <w:rFonts w:ascii="Times New Roman" w:hAnsi="Times New Roman" w:cs="Times New Roman"/>
                <w:b/>
              </w:rPr>
              <w:t>8 429.00</w:t>
            </w:r>
          </w:p>
        </w:tc>
        <w:tc>
          <w:tcPr>
            <w:tcW w:w="1980" w:type="dxa"/>
          </w:tcPr>
          <w:p w:rsidR="00A14F30" w:rsidRPr="00A14F30" w:rsidRDefault="00A14F30" w:rsidP="00A14F30">
            <w:pPr>
              <w:spacing w:line="360" w:lineRule="auto"/>
              <w:jc w:val="center"/>
              <w:rPr>
                <w:rFonts w:ascii="Times New Roman" w:hAnsi="Times New Roman" w:cs="Times New Roman"/>
                <w:b/>
              </w:rPr>
            </w:pPr>
            <w:r w:rsidRPr="00A14F30">
              <w:rPr>
                <w:rFonts w:ascii="Times New Roman" w:hAnsi="Times New Roman" w:cs="Times New Roman"/>
                <w:b/>
              </w:rPr>
              <w:t>9 407.00</w:t>
            </w:r>
          </w:p>
        </w:tc>
      </w:tr>
    </w:tbl>
    <w:p w:rsidR="00A14F30" w:rsidRDefault="00A14F30" w:rsidP="00821786">
      <w:pPr>
        <w:spacing w:after="0" w:line="360" w:lineRule="auto"/>
        <w:jc w:val="both"/>
        <w:rPr>
          <w:rFonts w:ascii="Times New Roman" w:hAnsi="Times New Roman" w:cs="Times New Roman"/>
          <w:sz w:val="24"/>
          <w:szCs w:val="24"/>
        </w:rPr>
      </w:pPr>
    </w:p>
    <w:p w:rsidR="00A14F30" w:rsidRDefault="00A14F30" w:rsidP="00821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operative part of the award orders Appellant to pay as claimed.</w:t>
      </w:r>
    </w:p>
    <w:p w:rsidR="00314B3D" w:rsidRDefault="00A14F30" w:rsidP="00821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amount</w:t>
      </w:r>
      <w:r w:rsidR="00A06B60">
        <w:rPr>
          <w:rFonts w:ascii="Times New Roman" w:hAnsi="Times New Roman" w:cs="Times New Roman"/>
          <w:sz w:val="24"/>
          <w:szCs w:val="24"/>
        </w:rPr>
        <w:t>s</w:t>
      </w:r>
      <w:r>
        <w:rPr>
          <w:rFonts w:ascii="Times New Roman" w:hAnsi="Times New Roman" w:cs="Times New Roman"/>
          <w:sz w:val="24"/>
          <w:szCs w:val="24"/>
        </w:rPr>
        <w:t xml:space="preserve"> paid over time were paid and signed for by Respondents who had Trade Union representation. In one instance the Zimbabwe Federation of Trade Unions represented them to recover transport allowances. The Affirmative Action Group in the presence of a Labour Officer assisted and they signed for gratuity. The  </w:t>
      </w:r>
      <w:r w:rsidR="00314B3D">
        <w:rPr>
          <w:rFonts w:ascii="Times New Roman" w:hAnsi="Times New Roman" w:cs="Times New Roman"/>
          <w:sz w:val="24"/>
          <w:szCs w:val="24"/>
        </w:rPr>
        <w:t>Zimbabwe Federation of Trade Union seems to have assisted recover cash in lieu of leave.</w:t>
      </w:r>
    </w:p>
    <w:p w:rsidR="00314B3D" w:rsidRDefault="00314B3D" w:rsidP="00821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attention was drawn to the final agreement whose operative clauses are as follows:</w:t>
      </w:r>
    </w:p>
    <w:p w:rsidR="00F63476" w:rsidRDefault="00F63476" w:rsidP="00F6347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Memorandum of Agreement </w:t>
      </w:r>
    </w:p>
    <w:p w:rsidR="00F63476" w:rsidRDefault="00F63476" w:rsidP="00F6347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Between </w:t>
      </w:r>
    </w:p>
    <w:p w:rsidR="00F63476" w:rsidRDefault="00F63476" w:rsidP="00F6347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Oasis Industries (Pvt) Ltd.</w:t>
      </w:r>
    </w:p>
    <w:p w:rsidR="00F63476" w:rsidRDefault="00F63476" w:rsidP="00F63476">
      <w:pPr>
        <w:spacing w:after="0" w:line="240" w:lineRule="auto"/>
        <w:jc w:val="both"/>
        <w:rPr>
          <w:rFonts w:ascii="Times New Roman" w:hAnsi="Times New Roman" w:cs="Times New Roman"/>
        </w:rPr>
      </w:pPr>
      <w:r>
        <w:rPr>
          <w:rFonts w:ascii="Times New Roman" w:hAnsi="Times New Roman" w:cs="Times New Roman"/>
        </w:rPr>
        <w:tab/>
        <w:t xml:space="preserve">    </w:t>
      </w:r>
    </w:p>
    <w:p w:rsidR="00F63476" w:rsidRDefault="00F63476" w:rsidP="00F63476">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I Charles Pagiwa has accepted and Oasis Industries (Pvt) Ltd has agreed to pay outstanding  underpayment of :- basic pay, overtime, leave pay and housing allowance.</w:t>
      </w:r>
    </w:p>
    <w:p w:rsidR="00F63476" w:rsidRDefault="00F63476" w:rsidP="00F63476">
      <w:pPr>
        <w:pStyle w:val="ListParagraph"/>
        <w:spacing w:after="0" w:line="240" w:lineRule="auto"/>
        <w:ind w:left="1080"/>
        <w:jc w:val="both"/>
        <w:rPr>
          <w:rFonts w:ascii="Times New Roman" w:hAnsi="Times New Roman" w:cs="Times New Roman"/>
        </w:rPr>
      </w:pPr>
    </w:p>
    <w:p w:rsidR="00F63476" w:rsidRDefault="00F63476" w:rsidP="00F63476">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The recalculated amounts are dated from January 2010 to December 2011.</w:t>
      </w:r>
    </w:p>
    <w:p w:rsidR="00F63476" w:rsidRPr="00F63476" w:rsidRDefault="00F63476" w:rsidP="00F63476">
      <w:pPr>
        <w:pStyle w:val="ListParagraph"/>
        <w:rPr>
          <w:rFonts w:ascii="Times New Roman" w:hAnsi="Times New Roman" w:cs="Times New Roman"/>
        </w:rPr>
      </w:pPr>
    </w:p>
    <w:p w:rsidR="00F63476" w:rsidRDefault="00F63476" w:rsidP="00F63476">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The payment will be a full and final payment and the said employee will not have any further clams against Oasis Industries.</w:t>
      </w:r>
    </w:p>
    <w:p w:rsidR="00F63476" w:rsidRPr="00F63476" w:rsidRDefault="00F63476" w:rsidP="00F63476">
      <w:pPr>
        <w:pStyle w:val="ListParagraph"/>
        <w:rPr>
          <w:rFonts w:ascii="Times New Roman" w:hAnsi="Times New Roman" w:cs="Times New Roman"/>
        </w:rPr>
      </w:pPr>
    </w:p>
    <w:p w:rsidR="00F63476" w:rsidRDefault="00F63476" w:rsidP="00F63476">
      <w:pPr>
        <w:pStyle w:val="ListParagraph"/>
        <w:spacing w:after="0" w:line="240" w:lineRule="auto"/>
        <w:ind w:left="1080"/>
        <w:jc w:val="both"/>
        <w:rPr>
          <w:rFonts w:ascii="Times New Roman" w:hAnsi="Times New Roman" w:cs="Times New Roman"/>
        </w:rPr>
      </w:pPr>
      <w:r>
        <w:rPr>
          <w:rFonts w:ascii="Times New Roman" w:hAnsi="Times New Roman" w:cs="Times New Roman"/>
        </w:rPr>
        <w:t>…………………………………………..”</w:t>
      </w:r>
    </w:p>
    <w:p w:rsidR="00F63476" w:rsidRDefault="00F63476" w:rsidP="00F63476">
      <w:pPr>
        <w:spacing w:after="0" w:line="240" w:lineRule="auto"/>
        <w:jc w:val="both"/>
        <w:rPr>
          <w:rFonts w:ascii="Times New Roman" w:hAnsi="Times New Roman" w:cs="Times New Roman"/>
        </w:rPr>
      </w:pPr>
    </w:p>
    <w:p w:rsidR="00F63476" w:rsidRDefault="00F63476" w:rsidP="00F634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appears that the Arbitrator in casu was not available for the oral hearing on four occasions on which he had set the matter</w:t>
      </w:r>
      <w:r w:rsidR="00A06B60">
        <w:rPr>
          <w:rFonts w:ascii="Times New Roman" w:hAnsi="Times New Roman" w:cs="Times New Roman"/>
          <w:sz w:val="24"/>
          <w:szCs w:val="24"/>
        </w:rPr>
        <w:t xml:space="preserve"> down</w:t>
      </w:r>
      <w:r>
        <w:rPr>
          <w:rFonts w:ascii="Times New Roman" w:hAnsi="Times New Roman" w:cs="Times New Roman"/>
          <w:sz w:val="24"/>
          <w:szCs w:val="24"/>
        </w:rPr>
        <w:t xml:space="preserve">. He proceeded to determine the matter on the basis of written submissions from Respondents in respect of quantification. Appellants claim </w:t>
      </w:r>
      <w:r w:rsidR="003746B0">
        <w:rPr>
          <w:rFonts w:ascii="Times New Roman" w:hAnsi="Times New Roman" w:cs="Times New Roman"/>
          <w:sz w:val="24"/>
          <w:szCs w:val="24"/>
        </w:rPr>
        <w:t>to</w:t>
      </w:r>
      <w:r>
        <w:rPr>
          <w:rFonts w:ascii="Times New Roman" w:hAnsi="Times New Roman" w:cs="Times New Roman"/>
          <w:sz w:val="24"/>
          <w:szCs w:val="24"/>
        </w:rPr>
        <w:t xml:space="preserve"> have made original submissions and these were supported by the agreements signed when payments were made and the contracts. The Arbitrator has since passed</w:t>
      </w:r>
      <w:r w:rsidR="00A06B60">
        <w:rPr>
          <w:rFonts w:ascii="Times New Roman" w:hAnsi="Times New Roman" w:cs="Times New Roman"/>
          <w:sz w:val="24"/>
          <w:szCs w:val="24"/>
        </w:rPr>
        <w:t xml:space="preserve"> away</w:t>
      </w:r>
      <w:r>
        <w:rPr>
          <w:rFonts w:ascii="Times New Roman" w:hAnsi="Times New Roman" w:cs="Times New Roman"/>
          <w:sz w:val="24"/>
          <w:szCs w:val="24"/>
        </w:rPr>
        <w:t>.</w:t>
      </w:r>
    </w:p>
    <w:p w:rsidR="00F63476" w:rsidRDefault="00F63476" w:rsidP="00F634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raise the following issues for my determination.</w:t>
      </w:r>
    </w:p>
    <w:p w:rsidR="00F63476" w:rsidRDefault="00F63476" w:rsidP="00F6347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Arbitrator erred in determining the matter without receiving Appellant’s final submissions.</w:t>
      </w:r>
    </w:p>
    <w:p w:rsidR="00F63476" w:rsidRDefault="00F63476" w:rsidP="00F6347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Respondents could both sign in full and final settlement and make a further claim against Appellant.</w:t>
      </w:r>
    </w:p>
    <w:p w:rsidR="00F63476" w:rsidRDefault="00F63476" w:rsidP="00F63476">
      <w:pPr>
        <w:spacing w:after="0" w:line="360" w:lineRule="auto"/>
        <w:ind w:left="720"/>
        <w:jc w:val="both"/>
        <w:rPr>
          <w:rFonts w:ascii="Times New Roman" w:hAnsi="Times New Roman" w:cs="Times New Roman"/>
          <w:b/>
          <w:sz w:val="24"/>
          <w:szCs w:val="24"/>
          <w:u w:val="single"/>
        </w:rPr>
      </w:pPr>
      <w:r w:rsidRPr="00F63476">
        <w:rPr>
          <w:rFonts w:ascii="Times New Roman" w:hAnsi="Times New Roman" w:cs="Times New Roman"/>
          <w:b/>
          <w:sz w:val="24"/>
          <w:szCs w:val="24"/>
          <w:u w:val="single"/>
        </w:rPr>
        <w:t>Issue 1</w:t>
      </w:r>
    </w:p>
    <w:p w:rsidR="00F63476" w:rsidRDefault="00F63476" w:rsidP="00F63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an oral hearing could not be held on the quantification.  The record also shows that Respondents submitted th</w:t>
      </w:r>
      <w:r w:rsidR="00A06B60">
        <w:rPr>
          <w:rFonts w:ascii="Times New Roman" w:hAnsi="Times New Roman" w:cs="Times New Roman"/>
          <w:sz w:val="24"/>
          <w:szCs w:val="24"/>
        </w:rPr>
        <w:t>eir</w:t>
      </w:r>
      <w:r>
        <w:rPr>
          <w:rFonts w:ascii="Times New Roman" w:hAnsi="Times New Roman" w:cs="Times New Roman"/>
          <w:sz w:val="24"/>
          <w:szCs w:val="24"/>
        </w:rPr>
        <w:t xml:space="preserve"> claim to the Arbitrator. Appellant’s submissions are not available </w:t>
      </w:r>
      <w:r w:rsidR="00E560F5">
        <w:rPr>
          <w:rFonts w:ascii="Times New Roman" w:hAnsi="Times New Roman" w:cs="Times New Roman"/>
          <w:sz w:val="24"/>
          <w:szCs w:val="24"/>
        </w:rPr>
        <w:t>on the record and the arbitral award clearly states that the Appellant did not submit its position.</w:t>
      </w:r>
    </w:p>
    <w:p w:rsidR="00E560F5" w:rsidRDefault="00E560F5" w:rsidP="00F63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argues that a determination should not have been issued in absence of its submissions.</w:t>
      </w:r>
    </w:p>
    <w:p w:rsidR="00A06B60" w:rsidRDefault="00A06B60" w:rsidP="00F63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Respondents argue that the award is therefore a default judgment and the proper recourse is to apply for rescission of judgment to the tribunal </w:t>
      </w:r>
      <w:r w:rsidRPr="00A06B60">
        <w:rPr>
          <w:rFonts w:ascii="Times New Roman" w:hAnsi="Times New Roman" w:cs="Times New Roman"/>
          <w:i/>
          <w:sz w:val="24"/>
          <w:szCs w:val="24"/>
        </w:rPr>
        <w:t>aquo</w:t>
      </w:r>
      <w:r>
        <w:rPr>
          <w:rFonts w:ascii="Times New Roman" w:hAnsi="Times New Roman" w:cs="Times New Roman"/>
          <w:sz w:val="24"/>
          <w:szCs w:val="24"/>
        </w:rPr>
        <w:t xml:space="preserve"> and not to appeal.</w:t>
      </w:r>
    </w:p>
    <w:p w:rsidR="00E560F5" w:rsidRDefault="00E560F5" w:rsidP="00F63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Respondents as the law supports them in this regard. HOVE J in </w:t>
      </w:r>
      <w:r w:rsidRPr="00E560F5">
        <w:rPr>
          <w:rFonts w:ascii="Times New Roman" w:hAnsi="Times New Roman" w:cs="Times New Roman"/>
          <w:b/>
          <w:sz w:val="24"/>
          <w:szCs w:val="24"/>
        </w:rPr>
        <w:t xml:space="preserve">Cafca Ltd. </w:t>
      </w:r>
      <w:r w:rsidRPr="00E560F5">
        <w:rPr>
          <w:rFonts w:ascii="Times New Roman" w:hAnsi="Times New Roman" w:cs="Times New Roman"/>
          <w:sz w:val="24"/>
          <w:szCs w:val="24"/>
        </w:rPr>
        <w:t>v</w:t>
      </w:r>
      <w:r w:rsidRPr="00E560F5">
        <w:rPr>
          <w:rFonts w:ascii="Times New Roman" w:hAnsi="Times New Roman" w:cs="Times New Roman"/>
          <w:b/>
          <w:sz w:val="24"/>
          <w:szCs w:val="24"/>
        </w:rPr>
        <w:t xml:space="preserve"> Daniel Vutande</w:t>
      </w:r>
      <w:r>
        <w:rPr>
          <w:rFonts w:ascii="Times New Roman" w:hAnsi="Times New Roman" w:cs="Times New Roman"/>
          <w:sz w:val="24"/>
          <w:szCs w:val="24"/>
        </w:rPr>
        <w:t xml:space="preserve"> LC/H/592/2013 sets are the reasons for this; </w:t>
      </w:r>
    </w:p>
    <w:p w:rsidR="00E560F5" w:rsidRDefault="00232F6E" w:rsidP="00E560F5">
      <w:pPr>
        <w:pStyle w:val="ListParagraph"/>
        <w:numPr>
          <w:ilvl w:val="0"/>
          <w:numId w:val="7"/>
        </w:numPr>
        <w:spacing w:after="0" w:line="240" w:lineRule="auto"/>
        <w:jc w:val="both"/>
        <w:rPr>
          <w:rFonts w:ascii="Times New Roman" w:hAnsi="Times New Roman" w:cs="Times New Roman"/>
        </w:rPr>
      </w:pPr>
      <w:proofErr w:type="gramStart"/>
      <w:r>
        <w:rPr>
          <w:rFonts w:ascii="Times New Roman" w:hAnsi="Times New Roman" w:cs="Times New Roman"/>
        </w:rPr>
        <w:t>parties</w:t>
      </w:r>
      <w:proofErr w:type="gramEnd"/>
      <w:r>
        <w:rPr>
          <w:rFonts w:ascii="Times New Roman" w:hAnsi="Times New Roman" w:cs="Times New Roman"/>
        </w:rPr>
        <w:t xml:space="preserve"> should not dis</w:t>
      </w:r>
      <w:r w:rsidR="00A06B60">
        <w:rPr>
          <w:rFonts w:ascii="Times New Roman" w:hAnsi="Times New Roman" w:cs="Times New Roman"/>
        </w:rPr>
        <w:t>d</w:t>
      </w:r>
      <w:r>
        <w:rPr>
          <w:rFonts w:ascii="Times New Roman" w:hAnsi="Times New Roman" w:cs="Times New Roman"/>
        </w:rPr>
        <w:t>ai</w:t>
      </w:r>
      <w:r w:rsidR="00A06B60">
        <w:rPr>
          <w:rFonts w:ascii="Times New Roman" w:hAnsi="Times New Roman" w:cs="Times New Roman"/>
        </w:rPr>
        <w:t>n</w:t>
      </w:r>
      <w:r>
        <w:rPr>
          <w:rFonts w:ascii="Times New Roman" w:hAnsi="Times New Roman" w:cs="Times New Roman"/>
        </w:rPr>
        <w:t xml:space="preserve"> proceedings before Arbitrators and restrict themselves to appearing only in the Labour Court, making this Court a Court of first instance rather than a Court that hears appeals from decisions of Arbitrators.</w:t>
      </w:r>
    </w:p>
    <w:p w:rsidR="00232F6E" w:rsidRDefault="00232F6E" w:rsidP="00232F6E">
      <w:pPr>
        <w:pStyle w:val="ListParagraph"/>
        <w:spacing w:after="0" w:line="240" w:lineRule="auto"/>
        <w:ind w:left="1080"/>
        <w:jc w:val="both"/>
        <w:rPr>
          <w:rFonts w:ascii="Times New Roman" w:hAnsi="Times New Roman" w:cs="Times New Roman"/>
        </w:rPr>
      </w:pPr>
    </w:p>
    <w:p w:rsidR="00232F6E" w:rsidRDefault="00232F6E" w:rsidP="00E560F5">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it would be completely undesirable and cause anarchy in the proper administration of justice if litigants ignore proceedings before Arbitrators for no reason, only to start with an appeal at the Labour Court.</w:t>
      </w:r>
    </w:p>
    <w:p w:rsidR="00232F6E" w:rsidRPr="00232F6E" w:rsidRDefault="00232F6E" w:rsidP="00232F6E">
      <w:pPr>
        <w:pStyle w:val="ListParagraph"/>
        <w:rPr>
          <w:rFonts w:ascii="Times New Roman" w:hAnsi="Times New Roman" w:cs="Times New Roman"/>
        </w:rPr>
      </w:pPr>
    </w:p>
    <w:p w:rsidR="00232F6E" w:rsidRDefault="00232F6E" w:rsidP="00E560F5">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The Labour Court is not best suited to investigate the issues in relation to reasons why the Appellant would have been in default.</w:t>
      </w:r>
    </w:p>
    <w:p w:rsidR="00232F6E" w:rsidRPr="00232F6E" w:rsidRDefault="00232F6E" w:rsidP="00232F6E">
      <w:pPr>
        <w:pStyle w:val="ListParagraph"/>
        <w:rPr>
          <w:rFonts w:ascii="Times New Roman" w:hAnsi="Times New Roman" w:cs="Times New Roman"/>
        </w:rPr>
      </w:pPr>
    </w:p>
    <w:p w:rsidR="00232F6E" w:rsidRDefault="00232F6E" w:rsidP="00232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this Court has no jurisdiction to hear an appeal based on the default judgment of an Arbitrator as a default judgment is a default judgment. (See </w:t>
      </w:r>
      <w:r w:rsidRPr="00232F6E">
        <w:rPr>
          <w:rFonts w:ascii="Times New Roman" w:hAnsi="Times New Roman" w:cs="Times New Roman"/>
          <w:b/>
          <w:sz w:val="24"/>
          <w:szCs w:val="24"/>
        </w:rPr>
        <w:t>Redstar Wholesalers</w:t>
      </w:r>
      <w:r>
        <w:rPr>
          <w:rFonts w:ascii="Times New Roman" w:hAnsi="Times New Roman" w:cs="Times New Roman"/>
          <w:sz w:val="24"/>
          <w:szCs w:val="24"/>
        </w:rPr>
        <w:t xml:space="preserve"> v </w:t>
      </w:r>
      <w:r w:rsidRPr="00232F6E">
        <w:rPr>
          <w:rFonts w:ascii="Times New Roman" w:hAnsi="Times New Roman" w:cs="Times New Roman"/>
          <w:b/>
          <w:sz w:val="24"/>
          <w:szCs w:val="24"/>
        </w:rPr>
        <w:t>Livingstone Mutomba</w:t>
      </w:r>
      <w:r>
        <w:rPr>
          <w:rFonts w:ascii="Times New Roman" w:hAnsi="Times New Roman" w:cs="Times New Roman"/>
          <w:sz w:val="24"/>
          <w:szCs w:val="24"/>
        </w:rPr>
        <w:t xml:space="preserve"> SC 142/04). There is no basis to proceed to issue 2.</w:t>
      </w:r>
    </w:p>
    <w:p w:rsidR="00232F6E" w:rsidRDefault="00232F6E" w:rsidP="00232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complication in this case is however  that the Arbitrator, one Tapiwa Magureyi is deceased. The justices of this matter would therefore not be served by referring the Appellant </w:t>
      </w:r>
      <w:r>
        <w:rPr>
          <w:rFonts w:ascii="Times New Roman" w:hAnsi="Times New Roman" w:cs="Times New Roman"/>
          <w:sz w:val="24"/>
          <w:szCs w:val="24"/>
        </w:rPr>
        <w:lastRenderedPageBreak/>
        <w:t>to apply f</w:t>
      </w:r>
      <w:r w:rsidR="00A06B60">
        <w:rPr>
          <w:rFonts w:ascii="Times New Roman" w:hAnsi="Times New Roman" w:cs="Times New Roman"/>
          <w:sz w:val="24"/>
          <w:szCs w:val="24"/>
        </w:rPr>
        <w:t>o</w:t>
      </w:r>
      <w:r>
        <w:rPr>
          <w:rFonts w:ascii="Times New Roman" w:hAnsi="Times New Roman" w:cs="Times New Roman"/>
          <w:sz w:val="24"/>
          <w:szCs w:val="24"/>
        </w:rPr>
        <w:t>r rescission of judgment. Instead, I believe, a quashing of the arbitral awards in question and a referral for a fresh arbitral hearing would best serve the parties.</w:t>
      </w:r>
    </w:p>
    <w:p w:rsidR="00232F6E" w:rsidRDefault="00232F6E" w:rsidP="00232F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p>
    <w:p w:rsidR="00232F6E" w:rsidRDefault="00232F6E" w:rsidP="00232F6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w:t>
      </w:r>
      <w:r w:rsidR="003746B0">
        <w:rPr>
          <w:rFonts w:ascii="Times New Roman" w:hAnsi="Times New Roman" w:cs="Times New Roman"/>
          <w:sz w:val="24"/>
          <w:szCs w:val="24"/>
        </w:rPr>
        <w:t>r</w:t>
      </w:r>
      <w:r>
        <w:rPr>
          <w:rFonts w:ascii="Times New Roman" w:hAnsi="Times New Roman" w:cs="Times New Roman"/>
          <w:sz w:val="24"/>
          <w:szCs w:val="24"/>
        </w:rPr>
        <w:t>al proceedings before the late T. Magureyi be and are hereby quashed.</w:t>
      </w:r>
    </w:p>
    <w:p w:rsidR="00232F6E" w:rsidRDefault="00232F6E" w:rsidP="00232F6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are referred back to the Ministry of Labour, Chinhoyi Labour Relations Department for the appointment of an Arbitrator, for a fresh arbitral hearing on the initially agreed terms of reference.</w:t>
      </w:r>
    </w:p>
    <w:p w:rsidR="003746B0" w:rsidRDefault="003746B0" w:rsidP="003746B0">
      <w:pPr>
        <w:spacing w:after="0" w:line="360" w:lineRule="auto"/>
        <w:jc w:val="both"/>
        <w:rPr>
          <w:rFonts w:ascii="Times New Roman" w:hAnsi="Times New Roman" w:cs="Times New Roman"/>
          <w:sz w:val="24"/>
          <w:szCs w:val="24"/>
        </w:rPr>
      </w:pPr>
    </w:p>
    <w:p w:rsidR="003746B0" w:rsidRDefault="003746B0" w:rsidP="003746B0">
      <w:pPr>
        <w:spacing w:after="0" w:line="360" w:lineRule="auto"/>
        <w:jc w:val="both"/>
        <w:rPr>
          <w:rFonts w:ascii="Times New Roman" w:hAnsi="Times New Roman" w:cs="Times New Roman"/>
          <w:sz w:val="24"/>
          <w:szCs w:val="24"/>
        </w:rPr>
      </w:pPr>
    </w:p>
    <w:p w:rsidR="003746B0" w:rsidRDefault="003746B0" w:rsidP="003746B0">
      <w:pPr>
        <w:spacing w:after="0" w:line="360" w:lineRule="auto"/>
        <w:jc w:val="both"/>
        <w:rPr>
          <w:rFonts w:ascii="Times New Roman" w:hAnsi="Times New Roman" w:cs="Times New Roman"/>
          <w:sz w:val="24"/>
          <w:szCs w:val="24"/>
        </w:rPr>
      </w:pPr>
    </w:p>
    <w:p w:rsidR="003746B0" w:rsidRPr="003746B0" w:rsidRDefault="003746B0" w:rsidP="003746B0">
      <w:pPr>
        <w:spacing w:after="0" w:line="360" w:lineRule="auto"/>
        <w:jc w:val="both"/>
        <w:rPr>
          <w:rFonts w:ascii="Times New Roman" w:hAnsi="Times New Roman" w:cs="Times New Roman"/>
          <w:b/>
          <w:i/>
          <w:sz w:val="24"/>
          <w:szCs w:val="24"/>
        </w:rPr>
      </w:pPr>
      <w:r w:rsidRPr="003746B0">
        <w:rPr>
          <w:rFonts w:ascii="Times New Roman" w:hAnsi="Times New Roman" w:cs="Times New Roman"/>
          <w:b/>
          <w:i/>
          <w:sz w:val="24"/>
          <w:szCs w:val="24"/>
        </w:rPr>
        <w:t>George Timothy Makings – Appellant’s legal practitioners</w:t>
      </w:r>
    </w:p>
    <w:p w:rsidR="00F63476" w:rsidRPr="00F63476" w:rsidRDefault="00F63476" w:rsidP="00F63476">
      <w:pPr>
        <w:spacing w:after="0" w:line="360" w:lineRule="auto"/>
        <w:ind w:left="720"/>
        <w:jc w:val="both"/>
        <w:rPr>
          <w:rFonts w:ascii="Times New Roman" w:hAnsi="Times New Roman" w:cs="Times New Roman"/>
          <w:sz w:val="24"/>
          <w:szCs w:val="24"/>
        </w:rPr>
      </w:pPr>
      <w:r w:rsidRPr="00F63476">
        <w:rPr>
          <w:rFonts w:ascii="Times New Roman" w:hAnsi="Times New Roman" w:cs="Times New Roman"/>
          <w:sz w:val="24"/>
          <w:szCs w:val="24"/>
        </w:rPr>
        <w:t xml:space="preserve"> </w:t>
      </w:r>
    </w:p>
    <w:p w:rsidR="00A14F30" w:rsidRPr="00821786" w:rsidRDefault="00A14F30" w:rsidP="00821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1786" w:rsidRPr="00821786" w:rsidRDefault="00821786" w:rsidP="00821786">
      <w:pPr>
        <w:spacing w:after="0" w:line="240" w:lineRule="auto"/>
        <w:jc w:val="both"/>
        <w:rPr>
          <w:rFonts w:ascii="Times New Roman" w:hAnsi="Times New Roman" w:cs="Times New Roman"/>
        </w:rPr>
      </w:pPr>
    </w:p>
    <w:sectPr w:rsidR="00821786" w:rsidRPr="00821786" w:rsidSect="00376C00">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A0" w:rsidRDefault="00085FA0" w:rsidP="00376C00">
      <w:pPr>
        <w:spacing w:after="0" w:line="240" w:lineRule="auto"/>
      </w:pPr>
      <w:r>
        <w:separator/>
      </w:r>
    </w:p>
  </w:endnote>
  <w:endnote w:type="continuationSeparator" w:id="0">
    <w:p w:rsidR="00085FA0" w:rsidRDefault="00085FA0" w:rsidP="0037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329734"/>
      <w:docPartObj>
        <w:docPartGallery w:val="Page Numbers (Bottom of Page)"/>
        <w:docPartUnique/>
      </w:docPartObj>
    </w:sdtPr>
    <w:sdtEndPr>
      <w:rPr>
        <w:noProof/>
      </w:rPr>
    </w:sdtEndPr>
    <w:sdtContent>
      <w:p w:rsidR="00232F6E" w:rsidRDefault="00232F6E">
        <w:pPr>
          <w:pStyle w:val="Footer"/>
          <w:jc w:val="center"/>
        </w:pPr>
        <w:r>
          <w:fldChar w:fldCharType="begin"/>
        </w:r>
        <w:r>
          <w:instrText xml:space="preserve"> PAGE   \* MERGEFORMAT </w:instrText>
        </w:r>
        <w:r>
          <w:fldChar w:fldCharType="separate"/>
        </w:r>
        <w:r w:rsidR="00A06B60">
          <w:rPr>
            <w:noProof/>
          </w:rPr>
          <w:t>3</w:t>
        </w:r>
        <w:r>
          <w:rPr>
            <w:noProof/>
          </w:rPr>
          <w:fldChar w:fldCharType="end"/>
        </w:r>
      </w:p>
    </w:sdtContent>
  </w:sdt>
  <w:p w:rsidR="00232F6E" w:rsidRDefault="00232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605503"/>
      <w:docPartObj>
        <w:docPartGallery w:val="Page Numbers (Bottom of Page)"/>
        <w:docPartUnique/>
      </w:docPartObj>
    </w:sdtPr>
    <w:sdtEndPr>
      <w:rPr>
        <w:noProof/>
      </w:rPr>
    </w:sdtEndPr>
    <w:sdtContent>
      <w:p w:rsidR="00F63476" w:rsidRDefault="00F63476">
        <w:pPr>
          <w:pStyle w:val="Footer"/>
          <w:jc w:val="center"/>
        </w:pPr>
        <w:r>
          <w:fldChar w:fldCharType="begin"/>
        </w:r>
        <w:r>
          <w:instrText xml:space="preserve"> PAGE   \* MERGEFORMAT </w:instrText>
        </w:r>
        <w:r>
          <w:fldChar w:fldCharType="separate"/>
        </w:r>
        <w:r w:rsidR="00A06B60">
          <w:rPr>
            <w:noProof/>
          </w:rPr>
          <w:t>1</w:t>
        </w:r>
        <w:r>
          <w:rPr>
            <w:noProof/>
          </w:rPr>
          <w:fldChar w:fldCharType="end"/>
        </w:r>
      </w:p>
    </w:sdtContent>
  </w:sdt>
  <w:p w:rsidR="00F63476" w:rsidRDefault="00F63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A0" w:rsidRDefault="00085FA0" w:rsidP="00376C00">
      <w:pPr>
        <w:spacing w:after="0" w:line="240" w:lineRule="auto"/>
      </w:pPr>
      <w:r>
        <w:separator/>
      </w:r>
    </w:p>
  </w:footnote>
  <w:footnote w:type="continuationSeparator" w:id="0">
    <w:p w:rsidR="00085FA0" w:rsidRDefault="00085FA0" w:rsidP="00376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476" w:rsidRPr="00376C00" w:rsidRDefault="00F63476" w:rsidP="00376C00">
    <w:pPr>
      <w:pStyle w:val="Header"/>
      <w:rPr>
        <w:b/>
      </w:rPr>
    </w:pPr>
    <w:r>
      <w:rPr>
        <w:b/>
      </w:rPr>
      <w:tab/>
    </w:r>
    <w:r>
      <w:rPr>
        <w:b/>
      </w:rPr>
      <w:tab/>
    </w:r>
    <w:r w:rsidRPr="00376C00">
      <w:rPr>
        <w:b/>
      </w:rPr>
      <w:t>JUDGMENT NO. LC/H</w:t>
    </w:r>
    <w:r w:rsidR="00A06B60">
      <w:rPr>
        <w:b/>
      </w:rPr>
      <w:t>/697/</w:t>
    </w:r>
    <w:r w:rsidRPr="00376C00">
      <w:rPr>
        <w:b/>
      </w:rPr>
      <w:t>14</w:t>
    </w:r>
  </w:p>
  <w:p w:rsidR="00F63476" w:rsidRDefault="00F634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8CA"/>
    <w:multiLevelType w:val="hybridMultilevel"/>
    <w:tmpl w:val="150817D4"/>
    <w:lvl w:ilvl="0" w:tplc="9588ED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BA730D"/>
    <w:multiLevelType w:val="hybridMultilevel"/>
    <w:tmpl w:val="DE0C11C6"/>
    <w:lvl w:ilvl="0" w:tplc="9A2857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7856BB8"/>
    <w:multiLevelType w:val="hybridMultilevel"/>
    <w:tmpl w:val="8B8630B0"/>
    <w:lvl w:ilvl="0" w:tplc="397CCA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44866A5"/>
    <w:multiLevelType w:val="hybridMultilevel"/>
    <w:tmpl w:val="AF2A8B2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41871109"/>
    <w:multiLevelType w:val="hybridMultilevel"/>
    <w:tmpl w:val="77E88004"/>
    <w:lvl w:ilvl="0" w:tplc="6D9C635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5CE6A7E"/>
    <w:multiLevelType w:val="hybridMultilevel"/>
    <w:tmpl w:val="B6ECF10A"/>
    <w:lvl w:ilvl="0" w:tplc="B7A24C0C">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0B10100"/>
    <w:multiLevelType w:val="hybridMultilevel"/>
    <w:tmpl w:val="294255AA"/>
    <w:lvl w:ilvl="0" w:tplc="4586AA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EC052A4"/>
    <w:multiLevelType w:val="hybridMultilevel"/>
    <w:tmpl w:val="13FE68F4"/>
    <w:lvl w:ilvl="0" w:tplc="C3C284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00"/>
    <w:rsid w:val="00085FA0"/>
    <w:rsid w:val="00232F6E"/>
    <w:rsid w:val="00314B3D"/>
    <w:rsid w:val="003746B0"/>
    <w:rsid w:val="00376C00"/>
    <w:rsid w:val="007F08A3"/>
    <w:rsid w:val="00821786"/>
    <w:rsid w:val="00A06B60"/>
    <w:rsid w:val="00A14F30"/>
    <w:rsid w:val="00AD1554"/>
    <w:rsid w:val="00C7404A"/>
    <w:rsid w:val="00E560F5"/>
    <w:rsid w:val="00F63476"/>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C00"/>
    <w:rPr>
      <w:lang w:val="en-US"/>
    </w:rPr>
  </w:style>
  <w:style w:type="paragraph" w:styleId="Footer">
    <w:name w:val="footer"/>
    <w:basedOn w:val="Normal"/>
    <w:link w:val="FooterChar"/>
    <w:uiPriority w:val="99"/>
    <w:unhideWhenUsed/>
    <w:rsid w:val="0037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C00"/>
    <w:rPr>
      <w:lang w:val="en-US"/>
    </w:rPr>
  </w:style>
  <w:style w:type="paragraph" w:styleId="BalloonText">
    <w:name w:val="Balloon Text"/>
    <w:basedOn w:val="Normal"/>
    <w:link w:val="BalloonTextChar"/>
    <w:uiPriority w:val="99"/>
    <w:semiHidden/>
    <w:unhideWhenUsed/>
    <w:rsid w:val="00376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00"/>
    <w:rPr>
      <w:rFonts w:ascii="Tahoma" w:hAnsi="Tahoma" w:cs="Tahoma"/>
      <w:sz w:val="16"/>
      <w:szCs w:val="16"/>
      <w:lang w:val="en-US"/>
    </w:rPr>
  </w:style>
  <w:style w:type="paragraph" w:styleId="ListParagraph">
    <w:name w:val="List Paragraph"/>
    <w:basedOn w:val="Normal"/>
    <w:uiPriority w:val="34"/>
    <w:qFormat/>
    <w:rsid w:val="00821786"/>
    <w:pPr>
      <w:ind w:left="720"/>
      <w:contextualSpacing/>
    </w:pPr>
  </w:style>
  <w:style w:type="table" w:styleId="TableGrid">
    <w:name w:val="Table Grid"/>
    <w:basedOn w:val="TableNormal"/>
    <w:uiPriority w:val="59"/>
    <w:rsid w:val="00A14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C00"/>
    <w:rPr>
      <w:lang w:val="en-US"/>
    </w:rPr>
  </w:style>
  <w:style w:type="paragraph" w:styleId="Footer">
    <w:name w:val="footer"/>
    <w:basedOn w:val="Normal"/>
    <w:link w:val="FooterChar"/>
    <w:uiPriority w:val="99"/>
    <w:unhideWhenUsed/>
    <w:rsid w:val="0037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C00"/>
    <w:rPr>
      <w:lang w:val="en-US"/>
    </w:rPr>
  </w:style>
  <w:style w:type="paragraph" w:styleId="BalloonText">
    <w:name w:val="Balloon Text"/>
    <w:basedOn w:val="Normal"/>
    <w:link w:val="BalloonTextChar"/>
    <w:uiPriority w:val="99"/>
    <w:semiHidden/>
    <w:unhideWhenUsed/>
    <w:rsid w:val="00376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00"/>
    <w:rPr>
      <w:rFonts w:ascii="Tahoma" w:hAnsi="Tahoma" w:cs="Tahoma"/>
      <w:sz w:val="16"/>
      <w:szCs w:val="16"/>
      <w:lang w:val="en-US"/>
    </w:rPr>
  </w:style>
  <w:style w:type="paragraph" w:styleId="ListParagraph">
    <w:name w:val="List Paragraph"/>
    <w:basedOn w:val="Normal"/>
    <w:uiPriority w:val="34"/>
    <w:qFormat/>
    <w:rsid w:val="00821786"/>
    <w:pPr>
      <w:ind w:left="720"/>
      <w:contextualSpacing/>
    </w:pPr>
  </w:style>
  <w:style w:type="table" w:styleId="TableGrid">
    <w:name w:val="Table Grid"/>
    <w:basedOn w:val="TableNormal"/>
    <w:uiPriority w:val="59"/>
    <w:rsid w:val="00A14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2014-10-10T09:13:00Z</cp:lastPrinted>
  <dcterms:created xsi:type="dcterms:W3CDTF">2014-10-13T08:54:00Z</dcterms:created>
  <dcterms:modified xsi:type="dcterms:W3CDTF">2014-10-13T08:54:00Z</dcterms:modified>
</cp:coreProperties>
</file>