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930" w:rsidRDefault="006478A1" w:rsidP="000602F4">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OX MINING (PRIVATE) LIMITED</w:t>
      </w:r>
    </w:p>
    <w:p w:rsidR="006478A1" w:rsidRDefault="00B81F52" w:rsidP="000602F4">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6478A1">
        <w:rPr>
          <w:rFonts w:ascii="Times New Roman" w:hAnsi="Times New Roman" w:cs="Times New Roman"/>
          <w:sz w:val="24"/>
          <w:szCs w:val="24"/>
        </w:rPr>
        <w:t>nd</w:t>
      </w:r>
      <w:proofErr w:type="gramEnd"/>
    </w:p>
    <w:p w:rsidR="006478A1" w:rsidRDefault="006478A1" w:rsidP="000602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GOLD RECOVERY GROUP (PRIVATE) LIMITED</w:t>
      </w:r>
    </w:p>
    <w:p w:rsidR="006478A1" w:rsidRDefault="00B81F52" w:rsidP="000602F4">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6478A1">
        <w:rPr>
          <w:rFonts w:ascii="Times New Roman" w:hAnsi="Times New Roman" w:cs="Times New Roman"/>
          <w:sz w:val="24"/>
          <w:szCs w:val="24"/>
        </w:rPr>
        <w:t>ersus</w:t>
      </w:r>
      <w:proofErr w:type="gramEnd"/>
    </w:p>
    <w:p w:rsidR="006478A1" w:rsidRDefault="006478A1" w:rsidP="000602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OX DRILLING LLC</w:t>
      </w:r>
    </w:p>
    <w:p w:rsidR="006478A1" w:rsidRDefault="00B81F52" w:rsidP="000602F4">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6478A1">
        <w:rPr>
          <w:rFonts w:ascii="Times New Roman" w:hAnsi="Times New Roman" w:cs="Times New Roman"/>
          <w:sz w:val="24"/>
          <w:szCs w:val="24"/>
        </w:rPr>
        <w:t>nd</w:t>
      </w:r>
      <w:proofErr w:type="gramEnd"/>
    </w:p>
    <w:p w:rsidR="006478A1" w:rsidRDefault="006478A1" w:rsidP="000602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SIDNEY AUBREY STEYN</w:t>
      </w:r>
    </w:p>
    <w:p w:rsidR="006478A1" w:rsidRDefault="00B81F52" w:rsidP="000602F4">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6478A1">
        <w:rPr>
          <w:rFonts w:ascii="Times New Roman" w:hAnsi="Times New Roman" w:cs="Times New Roman"/>
          <w:sz w:val="24"/>
          <w:szCs w:val="24"/>
        </w:rPr>
        <w:t>nd</w:t>
      </w:r>
      <w:proofErr w:type="gramEnd"/>
    </w:p>
    <w:p w:rsidR="006478A1" w:rsidRDefault="006478A1" w:rsidP="000602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DIRK RENIER BENADE</w:t>
      </w:r>
    </w:p>
    <w:p w:rsidR="006478A1" w:rsidRDefault="00B81F52" w:rsidP="000602F4">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6478A1">
        <w:rPr>
          <w:rFonts w:ascii="Times New Roman" w:hAnsi="Times New Roman" w:cs="Times New Roman"/>
          <w:sz w:val="24"/>
          <w:szCs w:val="24"/>
        </w:rPr>
        <w:t>nd</w:t>
      </w:r>
      <w:proofErr w:type="gramEnd"/>
    </w:p>
    <w:p w:rsidR="006478A1" w:rsidRDefault="006478A1" w:rsidP="000602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COMMISSIONER-GENERAL</w:t>
      </w:r>
    </w:p>
    <w:p w:rsidR="006478A1" w:rsidRDefault="006478A1" w:rsidP="000602F4">
      <w:pPr>
        <w:spacing w:after="0" w:line="240" w:lineRule="auto"/>
        <w:jc w:val="both"/>
        <w:rPr>
          <w:rFonts w:ascii="Times New Roman" w:hAnsi="Times New Roman" w:cs="Times New Roman"/>
          <w:sz w:val="24"/>
          <w:szCs w:val="24"/>
        </w:rPr>
      </w:pPr>
    </w:p>
    <w:p w:rsidR="006478A1" w:rsidRDefault="006478A1" w:rsidP="000602F4">
      <w:pPr>
        <w:spacing w:after="0" w:line="240" w:lineRule="auto"/>
        <w:jc w:val="both"/>
        <w:rPr>
          <w:rFonts w:ascii="Times New Roman" w:hAnsi="Times New Roman" w:cs="Times New Roman"/>
          <w:sz w:val="24"/>
          <w:szCs w:val="24"/>
        </w:rPr>
      </w:pPr>
    </w:p>
    <w:p w:rsidR="006478A1" w:rsidRDefault="006478A1" w:rsidP="000602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6478A1" w:rsidRDefault="006478A1" w:rsidP="000602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MAKONI J</w:t>
      </w:r>
    </w:p>
    <w:p w:rsidR="006478A1" w:rsidRDefault="006478A1" w:rsidP="000602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11 February 2013</w:t>
      </w:r>
    </w:p>
    <w:p w:rsidR="00B81F52" w:rsidRDefault="00B81F52" w:rsidP="000602F4">
      <w:pPr>
        <w:spacing w:after="0" w:line="240" w:lineRule="auto"/>
        <w:jc w:val="both"/>
        <w:rPr>
          <w:rFonts w:ascii="Times New Roman" w:hAnsi="Times New Roman" w:cs="Times New Roman"/>
          <w:sz w:val="24"/>
          <w:szCs w:val="24"/>
        </w:rPr>
      </w:pPr>
    </w:p>
    <w:p w:rsidR="00B81F52" w:rsidRDefault="00B81F52" w:rsidP="000602F4">
      <w:pPr>
        <w:spacing w:after="0" w:line="240" w:lineRule="auto"/>
        <w:jc w:val="both"/>
        <w:rPr>
          <w:rFonts w:ascii="Times New Roman" w:hAnsi="Times New Roman" w:cs="Times New Roman"/>
          <w:sz w:val="24"/>
          <w:szCs w:val="24"/>
        </w:rPr>
      </w:pPr>
    </w:p>
    <w:p w:rsidR="00B81F52" w:rsidRPr="00B81F52" w:rsidRDefault="00B81F52" w:rsidP="000602F4">
      <w:pPr>
        <w:spacing w:after="0" w:line="240" w:lineRule="auto"/>
        <w:jc w:val="both"/>
        <w:rPr>
          <w:rFonts w:ascii="Times New Roman" w:hAnsi="Times New Roman" w:cs="Times New Roman"/>
          <w:b/>
          <w:sz w:val="24"/>
          <w:szCs w:val="24"/>
        </w:rPr>
      </w:pPr>
      <w:r w:rsidRPr="00B81F52">
        <w:rPr>
          <w:rFonts w:ascii="Times New Roman" w:hAnsi="Times New Roman" w:cs="Times New Roman"/>
          <w:b/>
          <w:sz w:val="24"/>
          <w:szCs w:val="24"/>
        </w:rPr>
        <w:t>Urgent Chamber Application</w:t>
      </w:r>
    </w:p>
    <w:p w:rsidR="006478A1" w:rsidRDefault="006478A1" w:rsidP="000602F4">
      <w:pPr>
        <w:spacing w:after="0" w:line="240" w:lineRule="auto"/>
        <w:jc w:val="both"/>
        <w:rPr>
          <w:rFonts w:ascii="Times New Roman" w:hAnsi="Times New Roman" w:cs="Times New Roman"/>
          <w:sz w:val="24"/>
          <w:szCs w:val="24"/>
        </w:rPr>
      </w:pPr>
    </w:p>
    <w:p w:rsidR="006478A1" w:rsidRDefault="006478A1" w:rsidP="000602F4">
      <w:pPr>
        <w:spacing w:after="0" w:line="240" w:lineRule="auto"/>
        <w:jc w:val="both"/>
        <w:rPr>
          <w:rFonts w:ascii="Times New Roman" w:hAnsi="Times New Roman" w:cs="Times New Roman"/>
          <w:sz w:val="24"/>
          <w:szCs w:val="24"/>
        </w:rPr>
      </w:pPr>
    </w:p>
    <w:p w:rsidR="006478A1" w:rsidRDefault="006478A1" w:rsidP="000602F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G </w:t>
      </w:r>
      <w:proofErr w:type="spellStart"/>
      <w:r>
        <w:rPr>
          <w:rFonts w:ascii="Times New Roman" w:hAnsi="Times New Roman" w:cs="Times New Roman"/>
          <w:i/>
          <w:sz w:val="24"/>
          <w:szCs w:val="24"/>
        </w:rPr>
        <w:t>Mlotshwa</w:t>
      </w:r>
      <w:proofErr w:type="spellEnd"/>
      <w:r>
        <w:rPr>
          <w:rFonts w:ascii="Times New Roman" w:hAnsi="Times New Roman" w:cs="Times New Roman"/>
          <w:sz w:val="24"/>
          <w:szCs w:val="24"/>
        </w:rPr>
        <w:t>, for the applicants</w:t>
      </w:r>
    </w:p>
    <w:p w:rsidR="006478A1" w:rsidRDefault="006478A1" w:rsidP="000602F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L </w:t>
      </w:r>
      <w:proofErr w:type="spellStart"/>
      <w:r>
        <w:rPr>
          <w:rFonts w:ascii="Times New Roman" w:hAnsi="Times New Roman" w:cs="Times New Roman"/>
          <w:i/>
          <w:sz w:val="24"/>
          <w:szCs w:val="24"/>
        </w:rPr>
        <w:t>Uriri</w:t>
      </w:r>
      <w:proofErr w:type="spellEnd"/>
      <w:r>
        <w:rPr>
          <w:rFonts w:ascii="Times New Roman" w:hAnsi="Times New Roman" w:cs="Times New Roman"/>
          <w:sz w:val="24"/>
          <w:szCs w:val="24"/>
        </w:rPr>
        <w:t>, for the 1</w:t>
      </w:r>
      <w:r w:rsidRPr="006478A1">
        <w:rPr>
          <w:rFonts w:ascii="Times New Roman" w:hAnsi="Times New Roman" w:cs="Times New Roman"/>
          <w:sz w:val="24"/>
          <w:szCs w:val="24"/>
          <w:vertAlign w:val="superscript"/>
        </w:rPr>
        <w:t>st</w:t>
      </w:r>
      <w:r>
        <w:rPr>
          <w:rFonts w:ascii="Times New Roman" w:hAnsi="Times New Roman" w:cs="Times New Roman"/>
          <w:sz w:val="24"/>
          <w:szCs w:val="24"/>
        </w:rPr>
        <w:t>, 2</w:t>
      </w:r>
      <w:r w:rsidRPr="006478A1">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6478A1">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w:t>
      </w:r>
    </w:p>
    <w:p w:rsidR="006478A1" w:rsidRDefault="006478A1" w:rsidP="000602F4">
      <w:pPr>
        <w:spacing w:after="0" w:line="240" w:lineRule="auto"/>
        <w:jc w:val="both"/>
        <w:rPr>
          <w:rFonts w:ascii="Times New Roman" w:hAnsi="Times New Roman" w:cs="Times New Roman"/>
          <w:sz w:val="24"/>
          <w:szCs w:val="24"/>
        </w:rPr>
      </w:pPr>
    </w:p>
    <w:p w:rsidR="006478A1" w:rsidRDefault="006478A1" w:rsidP="000602F4">
      <w:pPr>
        <w:spacing w:after="0" w:line="240" w:lineRule="auto"/>
        <w:jc w:val="both"/>
        <w:rPr>
          <w:rFonts w:ascii="Times New Roman" w:hAnsi="Times New Roman" w:cs="Times New Roman"/>
          <w:sz w:val="24"/>
          <w:szCs w:val="24"/>
        </w:rPr>
      </w:pPr>
    </w:p>
    <w:p w:rsidR="006478A1" w:rsidRDefault="006478A1" w:rsidP="000602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MAKONI J:</w:t>
      </w:r>
      <w:r w:rsidR="00D03CF0">
        <w:rPr>
          <w:rFonts w:ascii="Times New Roman" w:hAnsi="Times New Roman" w:cs="Times New Roman"/>
          <w:sz w:val="24"/>
          <w:szCs w:val="24"/>
        </w:rPr>
        <w:t xml:space="preserve">  </w:t>
      </w:r>
      <w:r>
        <w:rPr>
          <w:rFonts w:ascii="Times New Roman" w:hAnsi="Times New Roman" w:cs="Times New Roman"/>
          <w:sz w:val="24"/>
          <w:szCs w:val="24"/>
        </w:rPr>
        <w:t>The applicants approached this court on a certificate of urgency</w:t>
      </w:r>
      <w:r w:rsidR="004F64D4">
        <w:rPr>
          <w:rFonts w:ascii="Times New Roman" w:hAnsi="Times New Roman" w:cs="Times New Roman"/>
          <w:sz w:val="24"/>
          <w:szCs w:val="24"/>
        </w:rPr>
        <w:t>,</w:t>
      </w:r>
      <w:r>
        <w:rPr>
          <w:rFonts w:ascii="Times New Roman" w:hAnsi="Times New Roman" w:cs="Times New Roman"/>
          <w:sz w:val="24"/>
          <w:szCs w:val="24"/>
        </w:rPr>
        <w:t xml:space="preserve"> seeking </w:t>
      </w:r>
      <w:proofErr w:type="spellStart"/>
      <w:r>
        <w:rPr>
          <w:rFonts w:ascii="Times New Roman" w:hAnsi="Times New Roman" w:cs="Times New Roman"/>
          <w:sz w:val="24"/>
          <w:szCs w:val="24"/>
        </w:rPr>
        <w:t>spoliatory</w:t>
      </w:r>
      <w:proofErr w:type="spellEnd"/>
      <w:r>
        <w:rPr>
          <w:rFonts w:ascii="Times New Roman" w:hAnsi="Times New Roman" w:cs="Times New Roman"/>
          <w:sz w:val="24"/>
          <w:szCs w:val="24"/>
        </w:rPr>
        <w:t xml:space="preserve"> relief on an interim basis and declaratory and interdictory relief in the final against the respondents.</w:t>
      </w:r>
    </w:p>
    <w:p w:rsidR="006478A1" w:rsidRDefault="006478A1" w:rsidP="000602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the respondents raised various points 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viz</w:t>
      </w:r>
      <w:proofErr w:type="spellEnd"/>
      <w:r>
        <w:rPr>
          <w:rFonts w:ascii="Times New Roman" w:hAnsi="Times New Roman" w:cs="Times New Roman"/>
          <w:sz w:val="24"/>
          <w:szCs w:val="24"/>
        </w:rPr>
        <w:t>:</w:t>
      </w:r>
    </w:p>
    <w:p w:rsidR="006478A1" w:rsidRDefault="006478A1" w:rsidP="000602F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the applicants had </w:t>
      </w:r>
      <w:r>
        <w:rPr>
          <w:rFonts w:ascii="Times New Roman" w:hAnsi="Times New Roman" w:cs="Times New Roman"/>
          <w:i/>
          <w:sz w:val="24"/>
          <w:szCs w:val="24"/>
        </w:rPr>
        <w:t xml:space="preserve">locus </w:t>
      </w:r>
      <w:proofErr w:type="spellStart"/>
      <w:r>
        <w:rPr>
          <w:rFonts w:ascii="Times New Roman" w:hAnsi="Times New Roman" w:cs="Times New Roman"/>
          <w:i/>
          <w:sz w:val="24"/>
          <w:szCs w:val="24"/>
        </w:rPr>
        <w:t>standi</w:t>
      </w:r>
      <w:proofErr w:type="spellEnd"/>
      <w:r>
        <w:rPr>
          <w:rFonts w:ascii="Times New Roman" w:hAnsi="Times New Roman" w:cs="Times New Roman"/>
          <w:sz w:val="24"/>
          <w:szCs w:val="24"/>
        </w:rPr>
        <w:t xml:space="preserve"> to seek protection of the court;</w:t>
      </w:r>
    </w:p>
    <w:p w:rsidR="006478A1" w:rsidRDefault="006478A1" w:rsidP="000602F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deponents to the founding affidavits had authority;</w:t>
      </w:r>
    </w:p>
    <w:p w:rsidR="00864FFE" w:rsidRDefault="006478A1" w:rsidP="000602F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w:t>
      </w:r>
      <w:proofErr w:type="spellStart"/>
      <w:r>
        <w:rPr>
          <w:rFonts w:ascii="Times New Roman" w:hAnsi="Times New Roman" w:cs="Times New Roman"/>
          <w:sz w:val="24"/>
          <w:szCs w:val="24"/>
        </w:rPr>
        <w:t>spoilatory</w:t>
      </w:r>
      <w:proofErr w:type="spellEnd"/>
      <w:r>
        <w:rPr>
          <w:rFonts w:ascii="Times New Roman" w:hAnsi="Times New Roman" w:cs="Times New Roman"/>
          <w:sz w:val="24"/>
          <w:szCs w:val="24"/>
        </w:rPr>
        <w:t xml:space="preserve"> relief was available to the applicants when they allege</w:t>
      </w:r>
      <w:r w:rsidR="00864FFE">
        <w:rPr>
          <w:rFonts w:ascii="Times New Roman" w:hAnsi="Times New Roman" w:cs="Times New Roman"/>
          <w:sz w:val="24"/>
          <w:szCs w:val="24"/>
        </w:rPr>
        <w:t xml:space="preserve"> more </w:t>
      </w:r>
      <w:r w:rsidR="007F0EAD">
        <w:rPr>
          <w:rFonts w:ascii="Times New Roman" w:hAnsi="Times New Roman" w:cs="Times New Roman"/>
          <w:sz w:val="24"/>
          <w:szCs w:val="24"/>
        </w:rPr>
        <w:t>than</w:t>
      </w:r>
      <w:r w:rsidR="00864FFE">
        <w:rPr>
          <w:rFonts w:ascii="Times New Roman" w:hAnsi="Times New Roman" w:cs="Times New Roman"/>
          <w:sz w:val="24"/>
          <w:szCs w:val="24"/>
        </w:rPr>
        <w:t xml:space="preserve"> possession </w:t>
      </w:r>
      <w:r w:rsidR="007F0EAD">
        <w:rPr>
          <w:rFonts w:ascii="Times New Roman" w:hAnsi="Times New Roman" w:cs="Times New Roman"/>
          <w:sz w:val="24"/>
          <w:szCs w:val="24"/>
        </w:rPr>
        <w:t>i.e.</w:t>
      </w:r>
      <w:r w:rsidR="00864FFE">
        <w:rPr>
          <w:rFonts w:ascii="Times New Roman" w:hAnsi="Times New Roman" w:cs="Times New Roman"/>
          <w:sz w:val="24"/>
          <w:szCs w:val="24"/>
        </w:rPr>
        <w:t xml:space="preserve"> go into the merits of the possession;</w:t>
      </w:r>
    </w:p>
    <w:p w:rsidR="00864FFE" w:rsidRDefault="00864FFE" w:rsidP="000602F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matter is urgent;</w:t>
      </w:r>
    </w:p>
    <w:p w:rsidR="00864FFE" w:rsidRDefault="004F64D4" w:rsidP="000602F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w:t>
      </w:r>
      <w:r w:rsidR="00864FFE">
        <w:rPr>
          <w:rFonts w:ascii="Times New Roman" w:hAnsi="Times New Roman" w:cs="Times New Roman"/>
          <w:sz w:val="24"/>
          <w:szCs w:val="24"/>
        </w:rPr>
        <w:t>here are serious disputes of fact; and</w:t>
      </w:r>
    </w:p>
    <w:p w:rsidR="00864FFE" w:rsidRDefault="00864FFE" w:rsidP="000602F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second applicant cannot claim to have been despoiled of possession which </w:t>
      </w:r>
      <w:r w:rsidR="004F64D4">
        <w:rPr>
          <w:rFonts w:ascii="Times New Roman" w:hAnsi="Times New Roman" w:cs="Times New Roman"/>
          <w:sz w:val="24"/>
          <w:szCs w:val="24"/>
        </w:rPr>
        <w:t xml:space="preserve">it </w:t>
      </w:r>
      <w:r>
        <w:rPr>
          <w:rFonts w:ascii="Times New Roman" w:hAnsi="Times New Roman" w:cs="Times New Roman"/>
          <w:sz w:val="24"/>
          <w:szCs w:val="24"/>
        </w:rPr>
        <w:t>never ha</w:t>
      </w:r>
      <w:r w:rsidR="004F64D4">
        <w:rPr>
          <w:rFonts w:ascii="Times New Roman" w:hAnsi="Times New Roman" w:cs="Times New Roman"/>
          <w:sz w:val="24"/>
          <w:szCs w:val="24"/>
        </w:rPr>
        <w:t>d</w:t>
      </w:r>
      <w:r>
        <w:rPr>
          <w:rFonts w:ascii="Times New Roman" w:hAnsi="Times New Roman" w:cs="Times New Roman"/>
          <w:sz w:val="24"/>
          <w:szCs w:val="24"/>
        </w:rPr>
        <w:t>.</w:t>
      </w:r>
    </w:p>
    <w:p w:rsidR="00864FFE" w:rsidRDefault="00864FFE" w:rsidP="000602F4">
      <w:pPr>
        <w:spacing w:after="0" w:line="240" w:lineRule="auto"/>
        <w:jc w:val="both"/>
        <w:rPr>
          <w:rFonts w:ascii="Times New Roman" w:hAnsi="Times New Roman" w:cs="Times New Roman"/>
          <w:sz w:val="24"/>
          <w:szCs w:val="24"/>
        </w:rPr>
      </w:pPr>
    </w:p>
    <w:p w:rsidR="0030224A" w:rsidRDefault="00864FFE" w:rsidP="000602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brief background to the matter is that the first applicant operates </w:t>
      </w:r>
      <w:r w:rsidR="004123E1">
        <w:rPr>
          <w:rFonts w:ascii="Times New Roman" w:hAnsi="Times New Roman" w:cs="Times New Roman"/>
          <w:sz w:val="24"/>
          <w:szCs w:val="24"/>
        </w:rPr>
        <w:t xml:space="preserve">Inez </w:t>
      </w:r>
      <w:r w:rsidR="0030224A">
        <w:rPr>
          <w:rFonts w:ascii="Times New Roman" w:hAnsi="Times New Roman" w:cs="Times New Roman"/>
          <w:sz w:val="24"/>
          <w:szCs w:val="24"/>
        </w:rPr>
        <w:t xml:space="preserve">Mine in </w:t>
      </w:r>
      <w:proofErr w:type="spellStart"/>
      <w:r w:rsidR="0030224A">
        <w:rPr>
          <w:rFonts w:ascii="Times New Roman" w:hAnsi="Times New Roman" w:cs="Times New Roman"/>
          <w:sz w:val="24"/>
          <w:szCs w:val="24"/>
        </w:rPr>
        <w:t>Kadoma</w:t>
      </w:r>
      <w:proofErr w:type="spellEnd"/>
      <w:r w:rsidR="0030224A">
        <w:rPr>
          <w:rFonts w:ascii="Times New Roman" w:hAnsi="Times New Roman" w:cs="Times New Roman"/>
          <w:sz w:val="24"/>
          <w:szCs w:val="24"/>
        </w:rPr>
        <w:t xml:space="preserve">. On 28 April 20112 the first, second, third respondents entered into an agreement in terms of which the entire issued shares in the first applicant were purchased by the second </w:t>
      </w:r>
      <w:r w:rsidR="0030224A">
        <w:rPr>
          <w:rFonts w:ascii="Times New Roman" w:hAnsi="Times New Roman" w:cs="Times New Roman"/>
          <w:sz w:val="24"/>
          <w:szCs w:val="24"/>
        </w:rPr>
        <w:lastRenderedPageBreak/>
        <w:t>applicant. The parties agreed to amend the agreement. The effect of the addendum was to vest control and possession of Inez Mine in the new Board of Directors of the first applicant. What happened after the addendum is in dispute.</w:t>
      </w:r>
    </w:p>
    <w:p w:rsidR="0030224A" w:rsidRDefault="0030224A" w:rsidP="000602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aver</w:t>
      </w:r>
      <w:r w:rsidR="00437856">
        <w:rPr>
          <w:rFonts w:ascii="Times New Roman" w:hAnsi="Times New Roman" w:cs="Times New Roman"/>
          <w:sz w:val="24"/>
          <w:szCs w:val="24"/>
        </w:rPr>
        <w:t>s</w:t>
      </w:r>
      <w:r>
        <w:rPr>
          <w:rFonts w:ascii="Times New Roman" w:hAnsi="Times New Roman" w:cs="Times New Roman"/>
          <w:sz w:val="24"/>
          <w:szCs w:val="24"/>
        </w:rPr>
        <w:t xml:space="preserve"> that Messrs Fred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xml:space="preserve"> and Paul Diamond were appointed directors of the first applicant with the old board of directors resigning. The third respondent remained as operation manager in the first respondent until he resigned mid-November 2012. This is disputed by the third respondent.</w:t>
      </w:r>
    </w:p>
    <w:p w:rsidR="004F64D4" w:rsidRDefault="0030224A" w:rsidP="000602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is not in dispute is that, the third respondent, having been </w:t>
      </w:r>
      <w:r w:rsidR="009C0D48">
        <w:rPr>
          <w:rFonts w:ascii="Times New Roman" w:hAnsi="Times New Roman" w:cs="Times New Roman"/>
          <w:sz w:val="24"/>
          <w:szCs w:val="24"/>
        </w:rPr>
        <w:t xml:space="preserve">away from the mine since November 2012 visited the mine on 1, 2 and 3 February 2013. </w:t>
      </w:r>
      <w:r w:rsidR="004F64D4">
        <w:rPr>
          <w:rFonts w:ascii="Times New Roman" w:hAnsi="Times New Roman" w:cs="Times New Roman"/>
          <w:sz w:val="24"/>
          <w:szCs w:val="24"/>
        </w:rPr>
        <w:t>He</w:t>
      </w:r>
      <w:r w:rsidR="009C0D48">
        <w:rPr>
          <w:rFonts w:ascii="Times New Roman" w:hAnsi="Times New Roman" w:cs="Times New Roman"/>
          <w:sz w:val="24"/>
          <w:szCs w:val="24"/>
        </w:rPr>
        <w:t xml:space="preserve"> ordered the deponent to the founding affidavit not to allow Messrs </w:t>
      </w:r>
      <w:proofErr w:type="spellStart"/>
      <w:r w:rsidR="009C0D48">
        <w:rPr>
          <w:rFonts w:ascii="Times New Roman" w:hAnsi="Times New Roman" w:cs="Times New Roman"/>
          <w:sz w:val="24"/>
          <w:szCs w:val="24"/>
        </w:rPr>
        <w:t>Moyo</w:t>
      </w:r>
      <w:proofErr w:type="spellEnd"/>
      <w:r w:rsidR="009C0D48">
        <w:rPr>
          <w:rFonts w:ascii="Times New Roman" w:hAnsi="Times New Roman" w:cs="Times New Roman"/>
          <w:sz w:val="24"/>
          <w:szCs w:val="24"/>
        </w:rPr>
        <w:t xml:space="preserve"> and Diamond to have access to the mine. On 3 February 2013 </w:t>
      </w:r>
      <w:r w:rsidR="004F64D4">
        <w:rPr>
          <w:rFonts w:ascii="Times New Roman" w:hAnsi="Times New Roman" w:cs="Times New Roman"/>
          <w:sz w:val="24"/>
          <w:szCs w:val="24"/>
        </w:rPr>
        <w:t>he</w:t>
      </w:r>
      <w:r w:rsidR="009C0D48">
        <w:rPr>
          <w:rFonts w:ascii="Times New Roman" w:hAnsi="Times New Roman" w:cs="Times New Roman"/>
          <w:sz w:val="24"/>
          <w:szCs w:val="24"/>
        </w:rPr>
        <w:t xml:space="preserve"> handed a letter from the third respondent’s legal practitioners to the deponent</w:t>
      </w:r>
      <w:r w:rsidR="004F64D4">
        <w:rPr>
          <w:rFonts w:ascii="Times New Roman" w:hAnsi="Times New Roman" w:cs="Times New Roman"/>
          <w:sz w:val="24"/>
          <w:szCs w:val="24"/>
        </w:rPr>
        <w:t xml:space="preserve"> which is </w:t>
      </w:r>
      <w:proofErr w:type="spellStart"/>
      <w:r w:rsidR="004F64D4">
        <w:rPr>
          <w:rFonts w:ascii="Times New Roman" w:hAnsi="Times New Roman" w:cs="Times New Roman"/>
          <w:sz w:val="24"/>
          <w:szCs w:val="24"/>
        </w:rPr>
        <w:t>annexture</w:t>
      </w:r>
      <w:proofErr w:type="spellEnd"/>
      <w:r w:rsidR="004F64D4">
        <w:rPr>
          <w:rFonts w:ascii="Times New Roman" w:hAnsi="Times New Roman" w:cs="Times New Roman"/>
          <w:sz w:val="24"/>
          <w:szCs w:val="24"/>
        </w:rPr>
        <w:t xml:space="preserve"> H</w:t>
      </w:r>
      <w:r w:rsidR="009C0D48">
        <w:rPr>
          <w:rFonts w:ascii="Times New Roman" w:hAnsi="Times New Roman" w:cs="Times New Roman"/>
          <w:sz w:val="24"/>
          <w:szCs w:val="24"/>
        </w:rPr>
        <w:t xml:space="preserve">. </w:t>
      </w:r>
      <w:r w:rsidR="004F64D4">
        <w:rPr>
          <w:rFonts w:ascii="Times New Roman" w:hAnsi="Times New Roman" w:cs="Times New Roman"/>
          <w:sz w:val="24"/>
          <w:szCs w:val="24"/>
        </w:rPr>
        <w:t>He</w:t>
      </w:r>
      <w:r w:rsidR="009C0D48">
        <w:rPr>
          <w:rFonts w:ascii="Times New Roman" w:hAnsi="Times New Roman" w:cs="Times New Roman"/>
          <w:sz w:val="24"/>
          <w:szCs w:val="24"/>
        </w:rPr>
        <w:t xml:space="preserve"> informed him</w:t>
      </w:r>
      <w:r w:rsidR="004F64D4">
        <w:rPr>
          <w:rFonts w:ascii="Times New Roman" w:hAnsi="Times New Roman" w:cs="Times New Roman"/>
          <w:sz w:val="24"/>
          <w:szCs w:val="24"/>
        </w:rPr>
        <w:t xml:space="preserve"> (the deponent)</w:t>
      </w:r>
      <w:r w:rsidR="009C0D48">
        <w:rPr>
          <w:rFonts w:ascii="Times New Roman" w:hAnsi="Times New Roman" w:cs="Times New Roman"/>
          <w:sz w:val="24"/>
          <w:szCs w:val="24"/>
        </w:rPr>
        <w:t xml:space="preserve"> that the respondents were taking back their mine. The third respondent instructed two men to change the chain and the lock</w:t>
      </w:r>
      <w:r w:rsidR="004F64D4">
        <w:rPr>
          <w:rFonts w:ascii="Times New Roman" w:hAnsi="Times New Roman" w:cs="Times New Roman"/>
          <w:sz w:val="24"/>
          <w:szCs w:val="24"/>
        </w:rPr>
        <w:t>s</w:t>
      </w:r>
      <w:r w:rsidR="009C0D48">
        <w:rPr>
          <w:rFonts w:ascii="Times New Roman" w:hAnsi="Times New Roman" w:cs="Times New Roman"/>
          <w:sz w:val="24"/>
          <w:szCs w:val="24"/>
        </w:rPr>
        <w:t xml:space="preserve"> to the main gate into the mining complex. The third respondent installed his security at the gate with instructions not to allow Messrs </w:t>
      </w:r>
      <w:proofErr w:type="spellStart"/>
      <w:r w:rsidR="009C0D48">
        <w:rPr>
          <w:rFonts w:ascii="Times New Roman" w:hAnsi="Times New Roman" w:cs="Times New Roman"/>
          <w:sz w:val="24"/>
          <w:szCs w:val="24"/>
        </w:rPr>
        <w:t>Moyo</w:t>
      </w:r>
      <w:proofErr w:type="spellEnd"/>
      <w:r w:rsidR="009C0D48">
        <w:rPr>
          <w:rFonts w:ascii="Times New Roman" w:hAnsi="Times New Roman" w:cs="Times New Roman"/>
          <w:sz w:val="24"/>
          <w:szCs w:val="24"/>
        </w:rPr>
        <w:t xml:space="preserve"> and Diamond access into the mine. He also handed over a document to one Mr </w:t>
      </w:r>
      <w:proofErr w:type="spellStart"/>
      <w:r w:rsidR="009C0D48">
        <w:rPr>
          <w:rFonts w:ascii="Times New Roman" w:hAnsi="Times New Roman" w:cs="Times New Roman"/>
          <w:sz w:val="24"/>
          <w:szCs w:val="24"/>
        </w:rPr>
        <w:t>Mkunguluthi</w:t>
      </w:r>
      <w:proofErr w:type="spellEnd"/>
      <w:r w:rsidR="009C0D48">
        <w:rPr>
          <w:rFonts w:ascii="Times New Roman" w:hAnsi="Times New Roman" w:cs="Times New Roman"/>
          <w:sz w:val="24"/>
          <w:szCs w:val="24"/>
        </w:rPr>
        <w:t>, a miner. The document indicated that the third respondent and the other former directors had been re-instated as directors of the company as evidenced by the letter head.</w:t>
      </w:r>
    </w:p>
    <w:p w:rsidR="009C0D48" w:rsidRDefault="009C0D48" w:rsidP="000602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last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of the letter from the third respondent’s legal practitioners reads:</w:t>
      </w:r>
    </w:p>
    <w:p w:rsidR="009C0D48" w:rsidRDefault="009C0D48" w:rsidP="000602F4">
      <w:pPr>
        <w:spacing w:after="0" w:line="240" w:lineRule="auto"/>
        <w:ind w:left="720"/>
        <w:jc w:val="both"/>
        <w:rPr>
          <w:rFonts w:ascii="Times New Roman" w:hAnsi="Times New Roman" w:cs="Times New Roman"/>
          <w:sz w:val="24"/>
          <w:szCs w:val="24"/>
        </w:rPr>
      </w:pPr>
    </w:p>
    <w:p w:rsidR="002624E2" w:rsidRDefault="009C0D48" w:rsidP="000602F4">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00986FFE">
        <w:rPr>
          <w:rFonts w:ascii="Times New Roman" w:hAnsi="Times New Roman" w:cs="Times New Roman"/>
          <w:sz w:val="24"/>
          <w:szCs w:val="24"/>
        </w:rPr>
        <w:t>(</w:t>
      </w:r>
      <w:r>
        <w:rPr>
          <w:rFonts w:ascii="Times New Roman" w:hAnsi="Times New Roman" w:cs="Times New Roman"/>
          <w:sz w:val="24"/>
          <w:szCs w:val="24"/>
        </w:rPr>
        <w:t>c)</w:t>
      </w:r>
      <w:r>
        <w:rPr>
          <w:rFonts w:ascii="Times New Roman" w:hAnsi="Times New Roman" w:cs="Times New Roman"/>
          <w:sz w:val="24"/>
          <w:szCs w:val="24"/>
        </w:rPr>
        <w:tab/>
      </w:r>
      <w:r w:rsidRPr="007F0EAD">
        <w:rPr>
          <w:rFonts w:ascii="Times New Roman" w:hAnsi="Times New Roman" w:cs="Times New Roman"/>
          <w:i/>
          <w:sz w:val="24"/>
          <w:szCs w:val="24"/>
        </w:rPr>
        <w:t>Ex-</w:t>
      </w:r>
      <w:proofErr w:type="spellStart"/>
      <w:r w:rsidRPr="007F0EAD">
        <w:rPr>
          <w:rFonts w:ascii="Times New Roman" w:hAnsi="Times New Roman" w:cs="Times New Roman"/>
          <w:i/>
          <w:sz w:val="24"/>
          <w:szCs w:val="24"/>
        </w:rPr>
        <w:t>abudante</w:t>
      </w:r>
      <w:proofErr w:type="spellEnd"/>
      <w:r w:rsidRPr="007F0EAD">
        <w:rPr>
          <w:rFonts w:ascii="Times New Roman" w:hAnsi="Times New Roman" w:cs="Times New Roman"/>
          <w:i/>
          <w:sz w:val="24"/>
          <w:szCs w:val="24"/>
        </w:rPr>
        <w:t xml:space="preserve"> </w:t>
      </w:r>
      <w:proofErr w:type="spellStart"/>
      <w:r w:rsidRPr="007F0EAD">
        <w:rPr>
          <w:rFonts w:ascii="Times New Roman" w:hAnsi="Times New Roman" w:cs="Times New Roman"/>
          <w:i/>
          <w:sz w:val="24"/>
          <w:szCs w:val="24"/>
        </w:rPr>
        <w:t>cautela</w:t>
      </w:r>
      <w:proofErr w:type="spellEnd"/>
      <w:r>
        <w:rPr>
          <w:rFonts w:ascii="Times New Roman" w:hAnsi="Times New Roman" w:cs="Times New Roman"/>
          <w:sz w:val="24"/>
          <w:szCs w:val="24"/>
        </w:rPr>
        <w:t xml:space="preserve">, we would like to point out that your </w:t>
      </w:r>
      <w:r w:rsidR="007F0EAD">
        <w:rPr>
          <w:rFonts w:ascii="Times New Roman" w:hAnsi="Times New Roman" w:cs="Times New Roman"/>
          <w:sz w:val="24"/>
          <w:szCs w:val="24"/>
        </w:rPr>
        <w:t>privilege</w:t>
      </w:r>
      <w:r>
        <w:rPr>
          <w:rFonts w:ascii="Times New Roman" w:hAnsi="Times New Roman" w:cs="Times New Roman"/>
          <w:sz w:val="24"/>
          <w:szCs w:val="24"/>
        </w:rPr>
        <w:t xml:space="preserve"> and or right to occupy and control Inez Mine is extinguished as a result of the aforesaid cancellation and that, as a consequence, control of and ownership rights </w:t>
      </w:r>
      <w:r w:rsidRPr="002624E2">
        <w:rPr>
          <w:rFonts w:ascii="Times New Roman" w:hAnsi="Times New Roman" w:cs="Times New Roman"/>
          <w:sz w:val="24"/>
          <w:szCs w:val="24"/>
        </w:rPr>
        <w:t xml:space="preserve">in </w:t>
      </w:r>
      <w:r w:rsidR="002624E2">
        <w:rPr>
          <w:rFonts w:ascii="Times New Roman" w:hAnsi="Times New Roman" w:cs="Times New Roman"/>
          <w:sz w:val="24"/>
          <w:szCs w:val="24"/>
        </w:rPr>
        <w:t>I</w:t>
      </w:r>
      <w:r w:rsidRPr="002624E2">
        <w:rPr>
          <w:rFonts w:ascii="Times New Roman" w:hAnsi="Times New Roman" w:cs="Times New Roman"/>
          <w:sz w:val="24"/>
          <w:szCs w:val="24"/>
        </w:rPr>
        <w:t>nez Mine reverted to</w:t>
      </w:r>
      <w:r w:rsidR="002624E2">
        <w:rPr>
          <w:rFonts w:ascii="Times New Roman" w:hAnsi="Times New Roman" w:cs="Times New Roman"/>
          <w:sz w:val="24"/>
          <w:szCs w:val="24"/>
        </w:rPr>
        <w:t xml:space="preserve"> and now vest in our clients with immediate effect.”</w:t>
      </w:r>
      <w:r>
        <w:rPr>
          <w:rFonts w:ascii="Times New Roman" w:hAnsi="Times New Roman" w:cs="Times New Roman"/>
          <w:i/>
          <w:sz w:val="24"/>
          <w:szCs w:val="24"/>
        </w:rPr>
        <w:t xml:space="preserve"> </w:t>
      </w:r>
      <w:r w:rsidR="0030224A">
        <w:rPr>
          <w:rFonts w:ascii="Times New Roman" w:hAnsi="Times New Roman" w:cs="Times New Roman"/>
          <w:sz w:val="24"/>
          <w:szCs w:val="24"/>
        </w:rPr>
        <w:t xml:space="preserve"> </w:t>
      </w:r>
      <w:r w:rsidR="00864FFE" w:rsidRPr="00864FFE">
        <w:rPr>
          <w:rFonts w:ascii="Times New Roman" w:hAnsi="Times New Roman" w:cs="Times New Roman"/>
          <w:sz w:val="24"/>
          <w:szCs w:val="24"/>
        </w:rPr>
        <w:t xml:space="preserve"> </w:t>
      </w:r>
    </w:p>
    <w:p w:rsidR="004F64D4" w:rsidRDefault="004F64D4" w:rsidP="004F64D4">
      <w:pPr>
        <w:spacing w:after="0" w:line="240" w:lineRule="auto"/>
        <w:jc w:val="both"/>
        <w:rPr>
          <w:rFonts w:ascii="Times New Roman" w:hAnsi="Times New Roman" w:cs="Times New Roman"/>
          <w:sz w:val="24"/>
          <w:szCs w:val="24"/>
        </w:rPr>
      </w:pPr>
    </w:p>
    <w:p w:rsidR="004F64D4" w:rsidRDefault="004F64D4" w:rsidP="004F64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have decided to quote it as it will be relevant later on in the judgment.</w:t>
      </w:r>
    </w:p>
    <w:p w:rsidR="002624E2" w:rsidRDefault="002624E2" w:rsidP="004F64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to the points 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Mr </w:t>
      </w:r>
      <w:proofErr w:type="spellStart"/>
      <w:r>
        <w:rPr>
          <w:rFonts w:ascii="Times New Roman" w:hAnsi="Times New Roman" w:cs="Times New Roman"/>
          <w:i/>
          <w:sz w:val="24"/>
          <w:szCs w:val="24"/>
        </w:rPr>
        <w:t>Mlotshwa</w:t>
      </w:r>
      <w:proofErr w:type="spellEnd"/>
      <w:r>
        <w:rPr>
          <w:rFonts w:ascii="Times New Roman" w:hAnsi="Times New Roman" w:cs="Times New Roman"/>
          <w:sz w:val="24"/>
          <w:szCs w:val="24"/>
        </w:rPr>
        <w:t xml:space="preserve">, for the applicants raised a point whether the first and second respondents were properly before me. My view is that it is important to deal with this point first as its disposal affects the points raised 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by the respondents. </w:t>
      </w:r>
    </w:p>
    <w:p w:rsidR="002624E2" w:rsidRDefault="002624E2" w:rsidP="000602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Mlotshwa</w:t>
      </w:r>
      <w:proofErr w:type="spellEnd"/>
      <w:r>
        <w:rPr>
          <w:rFonts w:ascii="Times New Roman" w:hAnsi="Times New Roman" w:cs="Times New Roman"/>
          <w:sz w:val="24"/>
          <w:szCs w:val="24"/>
        </w:rPr>
        <w:t xml:space="preserve"> submitted that the third respondent purports in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2 of his founding affidavit to depose to the affidavit on behalf of the other two respondents. Nowhere in his papers does he state or provide authority to do so. The special power of attorney produced</w:t>
      </w:r>
      <w:r w:rsidR="004F64D4">
        <w:rPr>
          <w:rFonts w:ascii="Times New Roman" w:hAnsi="Times New Roman" w:cs="Times New Roman"/>
          <w:sz w:val="24"/>
          <w:szCs w:val="24"/>
        </w:rPr>
        <w:t xml:space="preserve"> as</w:t>
      </w:r>
      <w:r>
        <w:rPr>
          <w:rFonts w:ascii="Times New Roman" w:hAnsi="Times New Roman" w:cs="Times New Roman"/>
          <w:sz w:val="24"/>
          <w:szCs w:val="24"/>
        </w:rPr>
        <w:t xml:space="preserve"> </w:t>
      </w:r>
      <w:r>
        <w:rPr>
          <w:rFonts w:ascii="Times New Roman" w:hAnsi="Times New Roman" w:cs="Times New Roman"/>
          <w:sz w:val="24"/>
          <w:szCs w:val="24"/>
        </w:rPr>
        <w:lastRenderedPageBreak/>
        <w:t>authority to represent the first respondent was commissioned outside the country and was not notarised in terms of the rules. The first respondent is therefore not properly before the court.</w:t>
      </w:r>
    </w:p>
    <w:p w:rsidR="00184D31" w:rsidRDefault="00184D31" w:rsidP="000602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4F64D4">
        <w:rPr>
          <w:rFonts w:ascii="Times New Roman" w:hAnsi="Times New Roman" w:cs="Times New Roman"/>
          <w:sz w:val="24"/>
          <w:szCs w:val="24"/>
        </w:rPr>
        <w:t>second</w:t>
      </w:r>
      <w:r>
        <w:rPr>
          <w:rFonts w:ascii="Times New Roman" w:hAnsi="Times New Roman" w:cs="Times New Roman"/>
          <w:sz w:val="24"/>
          <w:szCs w:val="24"/>
        </w:rPr>
        <w:t xml:space="preserve"> respondent is also</w:t>
      </w:r>
      <w:r w:rsidR="004F64D4">
        <w:rPr>
          <w:rFonts w:ascii="Times New Roman" w:hAnsi="Times New Roman" w:cs="Times New Roman"/>
          <w:sz w:val="24"/>
          <w:szCs w:val="24"/>
        </w:rPr>
        <w:t xml:space="preserve"> not properly</w:t>
      </w:r>
      <w:r>
        <w:rPr>
          <w:rFonts w:ascii="Times New Roman" w:hAnsi="Times New Roman" w:cs="Times New Roman"/>
          <w:sz w:val="24"/>
          <w:szCs w:val="24"/>
        </w:rPr>
        <w:t xml:space="preserve"> before the court as there is no supporting affidavit in the papers filed by</w:t>
      </w:r>
      <w:r w:rsidR="004F64D4">
        <w:rPr>
          <w:rFonts w:ascii="Times New Roman" w:hAnsi="Times New Roman" w:cs="Times New Roman"/>
          <w:sz w:val="24"/>
          <w:szCs w:val="24"/>
        </w:rPr>
        <w:t xml:space="preserve"> him giving</w:t>
      </w:r>
      <w:r>
        <w:rPr>
          <w:rFonts w:ascii="Times New Roman" w:hAnsi="Times New Roman" w:cs="Times New Roman"/>
          <w:sz w:val="24"/>
          <w:szCs w:val="24"/>
        </w:rPr>
        <w:t xml:space="preserve"> the </w:t>
      </w:r>
      <w:r w:rsidR="004F64D4">
        <w:rPr>
          <w:rFonts w:ascii="Times New Roman" w:hAnsi="Times New Roman" w:cs="Times New Roman"/>
          <w:sz w:val="24"/>
          <w:szCs w:val="24"/>
        </w:rPr>
        <w:t>third</w:t>
      </w:r>
      <w:r>
        <w:rPr>
          <w:rFonts w:ascii="Times New Roman" w:hAnsi="Times New Roman" w:cs="Times New Roman"/>
          <w:sz w:val="24"/>
          <w:szCs w:val="24"/>
        </w:rPr>
        <w:t xml:space="preserve"> respondent</w:t>
      </w:r>
      <w:r w:rsidR="004F64D4">
        <w:rPr>
          <w:rFonts w:ascii="Times New Roman" w:hAnsi="Times New Roman" w:cs="Times New Roman"/>
          <w:sz w:val="24"/>
          <w:szCs w:val="24"/>
        </w:rPr>
        <w:t xml:space="preserve"> authority to represent him.</w:t>
      </w:r>
      <w:r>
        <w:rPr>
          <w:rFonts w:ascii="Times New Roman" w:hAnsi="Times New Roman" w:cs="Times New Roman"/>
          <w:sz w:val="24"/>
          <w:szCs w:val="24"/>
        </w:rPr>
        <w:t xml:space="preserve"> There is no special power of attorney either. </w:t>
      </w:r>
    </w:p>
    <w:p w:rsidR="00184D31" w:rsidRDefault="00184D31" w:rsidP="000602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Uriri</w:t>
      </w:r>
      <w:proofErr w:type="spellEnd"/>
      <w:r>
        <w:rPr>
          <w:rFonts w:ascii="Times New Roman" w:hAnsi="Times New Roman" w:cs="Times New Roman"/>
          <w:sz w:val="24"/>
          <w:szCs w:val="24"/>
        </w:rPr>
        <w:t xml:space="preserve"> conceded that the Special Power of Attorney </w:t>
      </w:r>
      <w:r w:rsidR="004F64D4">
        <w:rPr>
          <w:rFonts w:ascii="Times New Roman" w:hAnsi="Times New Roman" w:cs="Times New Roman"/>
          <w:sz w:val="24"/>
          <w:szCs w:val="24"/>
        </w:rPr>
        <w:t xml:space="preserve">produced by the third respondent </w:t>
      </w:r>
      <w:r>
        <w:rPr>
          <w:rFonts w:ascii="Times New Roman" w:hAnsi="Times New Roman" w:cs="Times New Roman"/>
          <w:sz w:val="24"/>
          <w:szCs w:val="24"/>
        </w:rPr>
        <w:t>was executed in Ndola</w:t>
      </w:r>
      <w:r w:rsidR="004F64D4">
        <w:rPr>
          <w:rFonts w:ascii="Times New Roman" w:hAnsi="Times New Roman" w:cs="Times New Roman"/>
          <w:sz w:val="24"/>
          <w:szCs w:val="24"/>
        </w:rPr>
        <w:t>,</w:t>
      </w:r>
      <w:r>
        <w:rPr>
          <w:rFonts w:ascii="Times New Roman" w:hAnsi="Times New Roman" w:cs="Times New Roman"/>
          <w:sz w:val="24"/>
          <w:szCs w:val="24"/>
        </w:rPr>
        <w:t xml:space="preserve"> Zambia and that it had not been authenticated in terms of the High Court (Authentication of Documents) Rules, 1971.</w:t>
      </w:r>
    </w:p>
    <w:p w:rsidR="00825D91" w:rsidRDefault="00184D31" w:rsidP="00825D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second respondent, Mr </w:t>
      </w:r>
      <w:proofErr w:type="spellStart"/>
      <w:r>
        <w:rPr>
          <w:rFonts w:ascii="Times New Roman" w:hAnsi="Times New Roman" w:cs="Times New Roman"/>
          <w:i/>
          <w:sz w:val="24"/>
          <w:szCs w:val="24"/>
        </w:rPr>
        <w:t>Uriri</w:t>
      </w:r>
      <w:proofErr w:type="spellEnd"/>
      <w:r>
        <w:rPr>
          <w:rFonts w:ascii="Times New Roman" w:hAnsi="Times New Roman" w:cs="Times New Roman"/>
          <w:sz w:val="24"/>
          <w:szCs w:val="24"/>
        </w:rPr>
        <w:t xml:space="preserve"> submitted that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5 of Annexure B provides authority for the third respondent to represent the second respondent. He however pointed out that he could not take it further than that. In my view it was a </w:t>
      </w:r>
      <w:r w:rsidR="00492009">
        <w:rPr>
          <w:rFonts w:ascii="Times New Roman" w:hAnsi="Times New Roman" w:cs="Times New Roman"/>
          <w:sz w:val="24"/>
          <w:szCs w:val="24"/>
        </w:rPr>
        <w:t>veiled</w:t>
      </w:r>
      <w:r>
        <w:rPr>
          <w:rFonts w:ascii="Times New Roman" w:hAnsi="Times New Roman" w:cs="Times New Roman"/>
          <w:sz w:val="24"/>
          <w:szCs w:val="24"/>
        </w:rPr>
        <w:t xml:space="preserve"> concession. </w:t>
      </w:r>
    </w:p>
    <w:p w:rsidR="00184D31" w:rsidRDefault="00184D31" w:rsidP="00825D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Paragraph 5 of Annexure B</w:t>
      </w:r>
      <w:r w:rsidR="00825D91">
        <w:rPr>
          <w:rFonts w:ascii="Times New Roman" w:hAnsi="Times New Roman" w:cs="Times New Roman"/>
          <w:sz w:val="24"/>
          <w:szCs w:val="24"/>
        </w:rPr>
        <w:t>,</w:t>
      </w:r>
      <w:r>
        <w:rPr>
          <w:rFonts w:ascii="Times New Roman" w:hAnsi="Times New Roman" w:cs="Times New Roman"/>
          <w:sz w:val="24"/>
          <w:szCs w:val="24"/>
        </w:rPr>
        <w:t xml:space="preserve"> </w:t>
      </w:r>
      <w:r w:rsidR="00492009">
        <w:rPr>
          <w:rFonts w:ascii="Times New Roman" w:hAnsi="Times New Roman" w:cs="Times New Roman"/>
          <w:sz w:val="24"/>
          <w:szCs w:val="24"/>
        </w:rPr>
        <w:t xml:space="preserve">which is a Resolution of the shareholders of the first respondent authorises the third respondent to do and </w:t>
      </w:r>
      <w:r w:rsidR="00825D91">
        <w:rPr>
          <w:rFonts w:ascii="Times New Roman" w:hAnsi="Times New Roman" w:cs="Times New Roman"/>
          <w:sz w:val="24"/>
          <w:szCs w:val="24"/>
        </w:rPr>
        <w:t>per</w:t>
      </w:r>
      <w:r w:rsidR="00492009">
        <w:rPr>
          <w:rFonts w:ascii="Times New Roman" w:hAnsi="Times New Roman" w:cs="Times New Roman"/>
          <w:sz w:val="24"/>
          <w:szCs w:val="24"/>
        </w:rPr>
        <w:t>form acts to effect cancellation of the share purchase agreement against the second applicant and recover all assets of the first respondent. There is no mention of the third respondent representing the second respondent.</w:t>
      </w:r>
    </w:p>
    <w:p w:rsidR="00492009" w:rsidRDefault="00492009" w:rsidP="000602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above, it is clear that the third respondent has no authority to represent the first and second respondents. The first and second respondents are therefore not properly before me. This leaves the third respondent.</w:t>
      </w:r>
    </w:p>
    <w:p w:rsidR="00492009" w:rsidRDefault="00492009" w:rsidP="000602F4">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Going back to the points 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raised by the respondent</w:t>
      </w:r>
      <w:r w:rsidR="00825D91">
        <w:rPr>
          <w:rFonts w:ascii="Times New Roman" w:hAnsi="Times New Roman" w:cs="Times New Roman"/>
          <w:sz w:val="24"/>
          <w:szCs w:val="24"/>
        </w:rPr>
        <w:t>s</w:t>
      </w:r>
      <w:r>
        <w:rPr>
          <w:rFonts w:ascii="Times New Roman" w:hAnsi="Times New Roman" w:cs="Times New Roman"/>
          <w:sz w:val="24"/>
          <w:szCs w:val="24"/>
        </w:rPr>
        <w:t xml:space="preserve">, my view is that the third respondent cannot take those points in </w:t>
      </w:r>
      <w:proofErr w:type="spellStart"/>
      <w:r>
        <w:rPr>
          <w:rFonts w:ascii="Times New Roman" w:hAnsi="Times New Roman" w:cs="Times New Roman"/>
          <w:i/>
          <w:sz w:val="24"/>
          <w:szCs w:val="24"/>
        </w:rPr>
        <w:t>limine</w:t>
      </w:r>
      <w:proofErr w:type="spellEnd"/>
      <w:r>
        <w:rPr>
          <w:rFonts w:ascii="Times New Roman" w:hAnsi="Times New Roman" w:cs="Times New Roman"/>
          <w:i/>
          <w:sz w:val="24"/>
          <w:szCs w:val="24"/>
        </w:rPr>
        <w:t xml:space="preserve">. </w:t>
      </w:r>
      <w:r w:rsidRPr="00492009">
        <w:rPr>
          <w:rFonts w:ascii="Times New Roman" w:hAnsi="Times New Roman" w:cs="Times New Roman"/>
          <w:sz w:val="24"/>
          <w:szCs w:val="24"/>
        </w:rPr>
        <w:t xml:space="preserve">Those points </w:t>
      </w:r>
      <w:r>
        <w:rPr>
          <w:rFonts w:ascii="Times New Roman" w:hAnsi="Times New Roman" w:cs="Times New Roman"/>
          <w:sz w:val="24"/>
          <w:szCs w:val="24"/>
        </w:rPr>
        <w:t xml:space="preserve">emanate from the relationship between the applicants and the first respondent. To the extent that the court has made a finding that the third respondent cannot represent the first respondent, the third respondent cannot therefore comment on the issues pertaining to the agreement between the applicants and the first respondent. I will therefore dismiss the points in </w:t>
      </w:r>
      <w:proofErr w:type="spellStart"/>
      <w:r>
        <w:rPr>
          <w:rFonts w:ascii="Times New Roman" w:hAnsi="Times New Roman" w:cs="Times New Roman"/>
          <w:i/>
          <w:sz w:val="24"/>
          <w:szCs w:val="24"/>
        </w:rPr>
        <w:t>limine</w:t>
      </w:r>
      <w:proofErr w:type="spellEnd"/>
      <w:r>
        <w:rPr>
          <w:rFonts w:ascii="Times New Roman" w:hAnsi="Times New Roman" w:cs="Times New Roman"/>
          <w:i/>
          <w:sz w:val="24"/>
          <w:szCs w:val="24"/>
        </w:rPr>
        <w:t>.</w:t>
      </w:r>
    </w:p>
    <w:p w:rsidR="00825D91" w:rsidRDefault="00492009" w:rsidP="000602F4">
      <w:pPr>
        <w:spacing w:after="0" w:line="360" w:lineRule="auto"/>
        <w:ind w:firstLine="720"/>
        <w:jc w:val="both"/>
        <w:rPr>
          <w:rFonts w:ascii="Times New Roman" w:hAnsi="Times New Roman" w:cs="Times New Roman"/>
          <w:sz w:val="24"/>
          <w:szCs w:val="24"/>
        </w:rPr>
      </w:pPr>
      <w:r w:rsidRPr="00492009">
        <w:rPr>
          <w:rFonts w:ascii="Times New Roman" w:hAnsi="Times New Roman" w:cs="Times New Roman"/>
          <w:sz w:val="24"/>
          <w:szCs w:val="24"/>
        </w:rPr>
        <w:t>As regards the act complained of, it is common cause that the third respondent, a</w:t>
      </w:r>
      <w:r>
        <w:rPr>
          <w:rFonts w:ascii="Times New Roman" w:hAnsi="Times New Roman" w:cs="Times New Roman"/>
          <w:sz w:val="24"/>
          <w:szCs w:val="24"/>
        </w:rPr>
        <w:t>r</w:t>
      </w:r>
      <w:r w:rsidRPr="00492009">
        <w:rPr>
          <w:rFonts w:ascii="Times New Roman" w:hAnsi="Times New Roman" w:cs="Times New Roman"/>
          <w:sz w:val="24"/>
          <w:szCs w:val="24"/>
        </w:rPr>
        <w:t>med</w:t>
      </w:r>
      <w:r>
        <w:rPr>
          <w:rFonts w:ascii="Times New Roman" w:hAnsi="Times New Roman" w:cs="Times New Roman"/>
          <w:sz w:val="24"/>
          <w:szCs w:val="24"/>
        </w:rPr>
        <w:t xml:space="preserve"> with a letter from his </w:t>
      </w:r>
      <w:r w:rsidR="003D52F8">
        <w:rPr>
          <w:rFonts w:ascii="Times New Roman" w:hAnsi="Times New Roman" w:cs="Times New Roman"/>
          <w:sz w:val="24"/>
          <w:szCs w:val="24"/>
        </w:rPr>
        <w:t xml:space="preserve">legal practitioners visited the mine on three successive days. He changed the locks to the main gate, changed the security personnel and instructed one of the miners to return to his previous posting before the agreement between the applicants and the first respondent. He did not have </w:t>
      </w:r>
      <w:r w:rsidR="00825D91">
        <w:rPr>
          <w:rFonts w:ascii="Times New Roman" w:hAnsi="Times New Roman" w:cs="Times New Roman"/>
          <w:sz w:val="24"/>
          <w:szCs w:val="24"/>
        </w:rPr>
        <w:t>the</w:t>
      </w:r>
      <w:r w:rsidR="003D52F8">
        <w:rPr>
          <w:rFonts w:ascii="Times New Roman" w:hAnsi="Times New Roman" w:cs="Times New Roman"/>
          <w:sz w:val="24"/>
          <w:szCs w:val="24"/>
        </w:rPr>
        <w:t xml:space="preserve"> consent of the directors of the applicant</w:t>
      </w:r>
      <w:r w:rsidR="00825D91">
        <w:rPr>
          <w:rFonts w:ascii="Times New Roman" w:hAnsi="Times New Roman" w:cs="Times New Roman"/>
          <w:sz w:val="24"/>
          <w:szCs w:val="24"/>
        </w:rPr>
        <w:t>s</w:t>
      </w:r>
      <w:r w:rsidR="003D52F8">
        <w:rPr>
          <w:rFonts w:ascii="Times New Roman" w:hAnsi="Times New Roman" w:cs="Times New Roman"/>
          <w:sz w:val="24"/>
          <w:szCs w:val="24"/>
        </w:rPr>
        <w:t>. These acts were not in terms of any statutory enactment. He in fact was acting on the strength of Annexure H written by his legal practitioners and addressed to the applicants</w:t>
      </w:r>
      <w:r w:rsidR="00BB6714">
        <w:rPr>
          <w:rFonts w:ascii="Times New Roman" w:hAnsi="Times New Roman" w:cs="Times New Roman"/>
          <w:sz w:val="24"/>
          <w:szCs w:val="24"/>
        </w:rPr>
        <w:t>,</w:t>
      </w:r>
      <w:r w:rsidR="00825D91">
        <w:rPr>
          <w:rFonts w:ascii="Times New Roman" w:hAnsi="Times New Roman" w:cs="Times New Roman"/>
          <w:sz w:val="24"/>
          <w:szCs w:val="24"/>
        </w:rPr>
        <w:t xml:space="preserve"> in particular the last paragraph.</w:t>
      </w:r>
      <w:r w:rsidR="00BB6714">
        <w:rPr>
          <w:rFonts w:ascii="Times New Roman" w:hAnsi="Times New Roman" w:cs="Times New Roman"/>
          <w:sz w:val="24"/>
          <w:szCs w:val="24"/>
        </w:rPr>
        <w:t xml:space="preserve"> He was advised that he could take control and ownership with immediate effect. The legal basis for such </w:t>
      </w:r>
      <w:proofErr w:type="spellStart"/>
      <w:proofErr w:type="gramStart"/>
      <w:r w:rsidR="00BB6714">
        <w:rPr>
          <w:rFonts w:ascii="Times New Roman" w:hAnsi="Times New Roman" w:cs="Times New Roman"/>
          <w:sz w:val="24"/>
          <w:szCs w:val="24"/>
        </w:rPr>
        <w:t>advi</w:t>
      </w:r>
      <w:r w:rsidR="00775DCF">
        <w:rPr>
          <w:rFonts w:ascii="Times New Roman" w:hAnsi="Times New Roman" w:cs="Times New Roman"/>
          <w:sz w:val="24"/>
          <w:szCs w:val="24"/>
        </w:rPr>
        <w:t>s</w:t>
      </w:r>
      <w:r w:rsidR="00BB6714">
        <w:rPr>
          <w:rFonts w:ascii="Times New Roman" w:hAnsi="Times New Roman" w:cs="Times New Roman"/>
          <w:sz w:val="24"/>
          <w:szCs w:val="24"/>
        </w:rPr>
        <w:t>e</w:t>
      </w:r>
      <w:proofErr w:type="spellEnd"/>
      <w:proofErr w:type="gramEnd"/>
      <w:r w:rsidR="00BB6714">
        <w:rPr>
          <w:rFonts w:ascii="Times New Roman" w:hAnsi="Times New Roman" w:cs="Times New Roman"/>
          <w:sz w:val="24"/>
          <w:szCs w:val="24"/>
        </w:rPr>
        <w:t xml:space="preserve"> is not clear from the letter.</w:t>
      </w:r>
    </w:p>
    <w:p w:rsidR="003D52F8" w:rsidRDefault="00825D91" w:rsidP="000602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I</w:t>
      </w:r>
      <w:r w:rsidR="003D52F8">
        <w:rPr>
          <w:rFonts w:ascii="Times New Roman" w:hAnsi="Times New Roman" w:cs="Times New Roman"/>
          <w:sz w:val="24"/>
          <w:szCs w:val="24"/>
        </w:rPr>
        <w:t xml:space="preserve">n spoliation proceedings </w:t>
      </w:r>
      <w:r>
        <w:rPr>
          <w:rFonts w:ascii="Times New Roman" w:hAnsi="Times New Roman" w:cs="Times New Roman"/>
          <w:sz w:val="24"/>
          <w:szCs w:val="24"/>
        </w:rPr>
        <w:t>an</w:t>
      </w:r>
      <w:r w:rsidR="003D52F8">
        <w:rPr>
          <w:rFonts w:ascii="Times New Roman" w:hAnsi="Times New Roman" w:cs="Times New Roman"/>
          <w:sz w:val="24"/>
          <w:szCs w:val="24"/>
        </w:rPr>
        <w:t xml:space="preserve"> applicant must establish the necessary factual basis for a finding that the respondents threatened or disturbed their occupation of their property. See </w:t>
      </w:r>
      <w:r w:rsidR="003D52F8">
        <w:rPr>
          <w:rFonts w:ascii="Times New Roman" w:hAnsi="Times New Roman" w:cs="Times New Roman"/>
          <w:i/>
          <w:sz w:val="24"/>
          <w:szCs w:val="24"/>
        </w:rPr>
        <w:t xml:space="preserve">Minister of Agriculture &amp; </w:t>
      </w:r>
      <w:r w:rsidR="00736EEE">
        <w:rPr>
          <w:rFonts w:ascii="Times New Roman" w:hAnsi="Times New Roman" w:cs="Times New Roman"/>
          <w:i/>
          <w:sz w:val="24"/>
          <w:szCs w:val="24"/>
        </w:rPr>
        <w:t>Development</w:t>
      </w:r>
      <w:r w:rsidR="00736EEE">
        <w:rPr>
          <w:rFonts w:ascii="Times New Roman" w:hAnsi="Times New Roman" w:cs="Times New Roman"/>
          <w:sz w:val="24"/>
          <w:szCs w:val="24"/>
        </w:rPr>
        <w:t xml:space="preserve"> v </w:t>
      </w:r>
      <w:proofErr w:type="spellStart"/>
      <w:r w:rsidR="00736EEE" w:rsidRPr="00736EEE">
        <w:rPr>
          <w:rFonts w:ascii="Times New Roman" w:hAnsi="Times New Roman" w:cs="Times New Roman"/>
          <w:i/>
          <w:sz w:val="24"/>
          <w:szCs w:val="24"/>
        </w:rPr>
        <w:t>Segopolo</w:t>
      </w:r>
      <w:proofErr w:type="spellEnd"/>
      <w:r w:rsidR="00736EEE">
        <w:rPr>
          <w:rFonts w:ascii="Times New Roman" w:hAnsi="Times New Roman" w:cs="Times New Roman"/>
          <w:i/>
          <w:sz w:val="24"/>
          <w:szCs w:val="24"/>
        </w:rPr>
        <w:t xml:space="preserve"> </w:t>
      </w:r>
      <w:r w:rsidR="00736EEE" w:rsidRPr="00736EEE">
        <w:rPr>
          <w:rFonts w:ascii="Times New Roman" w:hAnsi="Times New Roman" w:cs="Times New Roman"/>
          <w:sz w:val="24"/>
          <w:szCs w:val="24"/>
        </w:rPr>
        <w:t>1992 (3)</w:t>
      </w:r>
      <w:r w:rsidR="00736EEE">
        <w:rPr>
          <w:rFonts w:ascii="Times New Roman" w:hAnsi="Times New Roman" w:cs="Times New Roman"/>
          <w:sz w:val="24"/>
          <w:szCs w:val="24"/>
        </w:rPr>
        <w:t xml:space="preserve"> SA 967 at 973 G.</w:t>
      </w:r>
    </w:p>
    <w:p w:rsidR="00736EEE" w:rsidRDefault="00736EEE" w:rsidP="000602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the applicant must establish was clearly spelt out in </w:t>
      </w:r>
      <w:proofErr w:type="spellStart"/>
      <w:r>
        <w:rPr>
          <w:rFonts w:ascii="Times New Roman" w:hAnsi="Times New Roman" w:cs="Times New Roman"/>
          <w:i/>
          <w:sz w:val="24"/>
          <w:szCs w:val="24"/>
        </w:rPr>
        <w:t>vant</w:t>
      </w:r>
      <w:r>
        <w:rPr>
          <w:rFonts w:ascii="Times New Roman" w:hAnsi="Times New Roman" w:cs="Times New Roman"/>
          <w:sz w:val="24"/>
          <w:szCs w:val="24"/>
        </w:rPr>
        <w:t>’</w:t>
      </w:r>
      <w:r>
        <w:rPr>
          <w:rFonts w:ascii="Times New Roman" w:hAnsi="Times New Roman" w:cs="Times New Roman"/>
          <w:i/>
          <w:sz w:val="24"/>
          <w:szCs w:val="24"/>
        </w:rPr>
        <w:t>Hoff</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vant</w:t>
      </w:r>
      <w:r>
        <w:rPr>
          <w:rFonts w:ascii="Times New Roman" w:hAnsi="Times New Roman" w:cs="Times New Roman"/>
          <w:sz w:val="24"/>
          <w:szCs w:val="24"/>
        </w:rPr>
        <w:t>’</w:t>
      </w:r>
      <w:r>
        <w:rPr>
          <w:rFonts w:ascii="Times New Roman" w:hAnsi="Times New Roman" w:cs="Times New Roman"/>
          <w:i/>
          <w:sz w:val="24"/>
          <w:szCs w:val="24"/>
        </w:rPr>
        <w:t>Hoff</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(1) 1988 (1) ZLR 294 (HC) at 296 B-C thus:</w:t>
      </w:r>
    </w:p>
    <w:p w:rsidR="00736EEE" w:rsidRDefault="00736EEE" w:rsidP="00736EEE">
      <w:pPr>
        <w:spacing w:after="0" w:line="240" w:lineRule="auto"/>
        <w:jc w:val="both"/>
        <w:rPr>
          <w:rFonts w:ascii="Times New Roman" w:hAnsi="Times New Roman" w:cs="Times New Roman"/>
          <w:sz w:val="24"/>
          <w:szCs w:val="24"/>
        </w:rPr>
      </w:pPr>
    </w:p>
    <w:p w:rsidR="00736EEE" w:rsidRDefault="00736EEE" w:rsidP="00736EE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is well established that in spoliation proceedings, all that the applicant needs to prove is that:</w:t>
      </w:r>
    </w:p>
    <w:p w:rsidR="00736EEE" w:rsidRDefault="00736EEE" w:rsidP="00736EEE">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he was in peaceful and undisturbed possession; and</w:t>
      </w:r>
    </w:p>
    <w:p w:rsidR="00736EEE" w:rsidRDefault="00736EEE" w:rsidP="00736EEE">
      <w:pPr>
        <w:pStyle w:val="ListParagraph"/>
        <w:numPr>
          <w:ilvl w:val="0"/>
          <w:numId w:val="2"/>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he had been unlawfully deprived of such possession.</w:t>
      </w:r>
    </w:p>
    <w:p w:rsidR="00736EEE" w:rsidRDefault="00736EEE" w:rsidP="00736EEE">
      <w:pPr>
        <w:spacing w:after="0" w:line="240" w:lineRule="auto"/>
        <w:jc w:val="both"/>
        <w:rPr>
          <w:rFonts w:ascii="Times New Roman" w:hAnsi="Times New Roman" w:cs="Times New Roman"/>
          <w:sz w:val="24"/>
          <w:szCs w:val="24"/>
        </w:rPr>
      </w:pPr>
    </w:p>
    <w:p w:rsidR="00736EEE" w:rsidRDefault="00736EEE" w:rsidP="004378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I am satisfied that the applicants are entitled to the relief they seek. The third respondent had no legal basis whatsoever to</w:t>
      </w:r>
      <w:r w:rsidR="00437856">
        <w:rPr>
          <w:rFonts w:ascii="Times New Roman" w:hAnsi="Times New Roman" w:cs="Times New Roman"/>
          <w:sz w:val="24"/>
          <w:szCs w:val="24"/>
        </w:rPr>
        <w:t xml:space="preserve"> act in the </w:t>
      </w:r>
      <w:r w:rsidR="00BB6714">
        <w:rPr>
          <w:rFonts w:ascii="Times New Roman" w:hAnsi="Times New Roman" w:cs="Times New Roman"/>
          <w:sz w:val="24"/>
          <w:szCs w:val="24"/>
        </w:rPr>
        <w:t>manner he did.</w:t>
      </w:r>
    </w:p>
    <w:p w:rsidR="00437856" w:rsidRDefault="00437856" w:rsidP="004378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will grant the provisional order.</w:t>
      </w:r>
    </w:p>
    <w:p w:rsidR="00437856" w:rsidRDefault="00437856" w:rsidP="00437856">
      <w:pPr>
        <w:spacing w:after="0" w:line="360" w:lineRule="auto"/>
        <w:jc w:val="both"/>
        <w:rPr>
          <w:rFonts w:ascii="Times New Roman" w:hAnsi="Times New Roman" w:cs="Times New Roman"/>
          <w:sz w:val="24"/>
          <w:szCs w:val="24"/>
        </w:rPr>
      </w:pPr>
    </w:p>
    <w:p w:rsidR="00437856" w:rsidRDefault="00437856" w:rsidP="00437856">
      <w:pPr>
        <w:spacing w:after="0" w:line="360" w:lineRule="auto"/>
        <w:jc w:val="both"/>
        <w:rPr>
          <w:rFonts w:ascii="Times New Roman" w:hAnsi="Times New Roman" w:cs="Times New Roman"/>
          <w:sz w:val="24"/>
          <w:szCs w:val="24"/>
        </w:rPr>
      </w:pPr>
    </w:p>
    <w:p w:rsidR="00437856" w:rsidRDefault="00437856" w:rsidP="00437856">
      <w:pPr>
        <w:spacing w:after="0" w:line="360" w:lineRule="auto"/>
        <w:jc w:val="both"/>
        <w:rPr>
          <w:rFonts w:ascii="Times New Roman" w:hAnsi="Times New Roman" w:cs="Times New Roman"/>
          <w:sz w:val="24"/>
          <w:szCs w:val="24"/>
        </w:rPr>
      </w:pPr>
    </w:p>
    <w:p w:rsidR="00437856" w:rsidRDefault="00437856" w:rsidP="0043785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G N </w:t>
      </w:r>
      <w:proofErr w:type="spellStart"/>
      <w:r>
        <w:rPr>
          <w:rFonts w:ascii="Times New Roman" w:hAnsi="Times New Roman" w:cs="Times New Roman"/>
          <w:i/>
          <w:sz w:val="24"/>
          <w:szCs w:val="24"/>
        </w:rPr>
        <w:t>Mlotshwa</w:t>
      </w:r>
      <w:proofErr w:type="spellEnd"/>
      <w:r>
        <w:rPr>
          <w:rFonts w:ascii="Times New Roman" w:hAnsi="Times New Roman" w:cs="Times New Roman"/>
          <w:i/>
          <w:sz w:val="24"/>
          <w:szCs w:val="24"/>
        </w:rPr>
        <w:t xml:space="preserve"> &amp; Company</w:t>
      </w:r>
      <w:r>
        <w:rPr>
          <w:rFonts w:ascii="Times New Roman" w:hAnsi="Times New Roman" w:cs="Times New Roman"/>
          <w:sz w:val="24"/>
          <w:szCs w:val="24"/>
        </w:rPr>
        <w:t>, applicants’ legal practitioners</w:t>
      </w:r>
    </w:p>
    <w:p w:rsidR="00437856" w:rsidRPr="00437856" w:rsidRDefault="00437856" w:rsidP="00437856">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Farai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Nyamayaro</w:t>
      </w:r>
      <w:proofErr w:type="spellEnd"/>
      <w:r>
        <w:rPr>
          <w:rFonts w:ascii="Times New Roman" w:hAnsi="Times New Roman" w:cs="Times New Roman"/>
          <w:i/>
          <w:sz w:val="24"/>
          <w:szCs w:val="24"/>
        </w:rPr>
        <w:t xml:space="preserve"> Law Chambers</w:t>
      </w:r>
      <w:r>
        <w:rPr>
          <w:rFonts w:ascii="Times New Roman" w:hAnsi="Times New Roman" w:cs="Times New Roman"/>
          <w:sz w:val="24"/>
          <w:szCs w:val="24"/>
        </w:rPr>
        <w:t>, 1</w:t>
      </w:r>
      <w:r w:rsidRPr="00437856">
        <w:rPr>
          <w:rFonts w:ascii="Times New Roman" w:hAnsi="Times New Roman" w:cs="Times New Roman"/>
          <w:sz w:val="24"/>
          <w:szCs w:val="24"/>
          <w:vertAlign w:val="superscript"/>
        </w:rPr>
        <w:t>st</w:t>
      </w:r>
      <w:r>
        <w:rPr>
          <w:rFonts w:ascii="Times New Roman" w:hAnsi="Times New Roman" w:cs="Times New Roman"/>
          <w:sz w:val="24"/>
          <w:szCs w:val="24"/>
        </w:rPr>
        <w:t>, 2</w:t>
      </w:r>
      <w:r w:rsidRPr="00437856">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437856">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legal practitioners</w:t>
      </w:r>
    </w:p>
    <w:p w:rsidR="00437856" w:rsidRDefault="00437856" w:rsidP="00437856">
      <w:pPr>
        <w:spacing w:after="0" w:line="360" w:lineRule="auto"/>
        <w:jc w:val="both"/>
        <w:rPr>
          <w:rFonts w:ascii="Times New Roman" w:hAnsi="Times New Roman" w:cs="Times New Roman"/>
          <w:sz w:val="24"/>
          <w:szCs w:val="24"/>
        </w:rPr>
      </w:pPr>
    </w:p>
    <w:p w:rsidR="00437856" w:rsidRPr="00736EEE" w:rsidRDefault="00437856" w:rsidP="00736EEE">
      <w:pPr>
        <w:spacing w:after="0" w:line="240" w:lineRule="auto"/>
        <w:ind w:left="720"/>
        <w:jc w:val="both"/>
        <w:rPr>
          <w:rFonts w:ascii="Times New Roman" w:hAnsi="Times New Roman" w:cs="Times New Roman"/>
          <w:sz w:val="24"/>
          <w:szCs w:val="24"/>
        </w:rPr>
      </w:pPr>
    </w:p>
    <w:sectPr w:rsidR="00437856" w:rsidRPr="00736EEE">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B9B" w:rsidRDefault="00110B9B" w:rsidP="00C80B0D">
      <w:pPr>
        <w:spacing w:after="0" w:line="240" w:lineRule="auto"/>
      </w:pPr>
      <w:r>
        <w:separator/>
      </w:r>
    </w:p>
  </w:endnote>
  <w:endnote w:type="continuationSeparator" w:id="0">
    <w:p w:rsidR="00110B9B" w:rsidRDefault="00110B9B" w:rsidP="00C80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B9B" w:rsidRDefault="00110B9B" w:rsidP="00C80B0D">
      <w:pPr>
        <w:spacing w:after="0" w:line="240" w:lineRule="auto"/>
      </w:pPr>
      <w:r>
        <w:separator/>
      </w:r>
    </w:p>
  </w:footnote>
  <w:footnote w:type="continuationSeparator" w:id="0">
    <w:p w:rsidR="00110B9B" w:rsidRDefault="00110B9B" w:rsidP="00C80B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2580709"/>
      <w:docPartObj>
        <w:docPartGallery w:val="Page Numbers (Top of Page)"/>
        <w:docPartUnique/>
      </w:docPartObj>
    </w:sdtPr>
    <w:sdtEndPr>
      <w:rPr>
        <w:noProof/>
      </w:rPr>
    </w:sdtEndPr>
    <w:sdtContent>
      <w:p w:rsidR="00C80B0D" w:rsidRDefault="00C80B0D">
        <w:pPr>
          <w:pStyle w:val="Header"/>
          <w:jc w:val="right"/>
          <w:rPr>
            <w:noProof/>
          </w:rPr>
        </w:pPr>
        <w:r>
          <w:fldChar w:fldCharType="begin"/>
        </w:r>
        <w:r>
          <w:instrText xml:space="preserve"> PAGE   \* MERGEFORMAT </w:instrText>
        </w:r>
        <w:r>
          <w:fldChar w:fldCharType="separate"/>
        </w:r>
        <w:r w:rsidR="00C33AB3">
          <w:rPr>
            <w:noProof/>
          </w:rPr>
          <w:t>1</w:t>
        </w:r>
        <w:r>
          <w:rPr>
            <w:noProof/>
          </w:rPr>
          <w:fldChar w:fldCharType="end"/>
        </w:r>
      </w:p>
      <w:p w:rsidR="00C80B0D" w:rsidRDefault="00C80B0D">
        <w:pPr>
          <w:pStyle w:val="Header"/>
          <w:jc w:val="right"/>
          <w:rPr>
            <w:noProof/>
          </w:rPr>
        </w:pPr>
        <w:r>
          <w:rPr>
            <w:noProof/>
          </w:rPr>
          <w:t>HH</w:t>
        </w:r>
        <w:r w:rsidR="005E1F7C">
          <w:rPr>
            <w:noProof/>
          </w:rPr>
          <w:t xml:space="preserve"> 54-2013</w:t>
        </w:r>
      </w:p>
      <w:p w:rsidR="00C80B0D" w:rsidRDefault="00C80B0D">
        <w:pPr>
          <w:pStyle w:val="Header"/>
          <w:jc w:val="right"/>
        </w:pPr>
        <w:r>
          <w:rPr>
            <w:noProof/>
          </w:rPr>
          <w:t>HC 934/13</w:t>
        </w:r>
      </w:p>
    </w:sdtContent>
  </w:sdt>
  <w:p w:rsidR="00C80B0D" w:rsidRDefault="00C80B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819D4"/>
    <w:multiLevelType w:val="hybridMultilevel"/>
    <w:tmpl w:val="27F68198"/>
    <w:lvl w:ilvl="0" w:tplc="3B3E3B6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77A96466"/>
    <w:multiLevelType w:val="hybridMultilevel"/>
    <w:tmpl w:val="7C9629C4"/>
    <w:lvl w:ilvl="0" w:tplc="49DE5C4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8A1"/>
    <w:rsid w:val="000602F4"/>
    <w:rsid w:val="00110B9B"/>
    <w:rsid w:val="00184D31"/>
    <w:rsid w:val="002624E2"/>
    <w:rsid w:val="0030224A"/>
    <w:rsid w:val="003D52F8"/>
    <w:rsid w:val="004123E1"/>
    <w:rsid w:val="00437856"/>
    <w:rsid w:val="00444245"/>
    <w:rsid w:val="00492009"/>
    <w:rsid w:val="004D1CB6"/>
    <w:rsid w:val="004F64D4"/>
    <w:rsid w:val="005E1F7C"/>
    <w:rsid w:val="00634316"/>
    <w:rsid w:val="006478A1"/>
    <w:rsid w:val="00736EEE"/>
    <w:rsid w:val="00775DCF"/>
    <w:rsid w:val="007F0EAD"/>
    <w:rsid w:val="00825D91"/>
    <w:rsid w:val="00864FFE"/>
    <w:rsid w:val="009051D3"/>
    <w:rsid w:val="00986FFE"/>
    <w:rsid w:val="009A32D2"/>
    <w:rsid w:val="009C0D48"/>
    <w:rsid w:val="009F4930"/>
    <w:rsid w:val="00B81F52"/>
    <w:rsid w:val="00BB6714"/>
    <w:rsid w:val="00C33AB3"/>
    <w:rsid w:val="00C80B0D"/>
    <w:rsid w:val="00CA512A"/>
    <w:rsid w:val="00D03CF0"/>
    <w:rsid w:val="00FE4CD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8A1"/>
    <w:pPr>
      <w:ind w:left="720"/>
      <w:contextualSpacing/>
    </w:pPr>
  </w:style>
  <w:style w:type="paragraph" w:styleId="Header">
    <w:name w:val="header"/>
    <w:basedOn w:val="Normal"/>
    <w:link w:val="HeaderChar"/>
    <w:uiPriority w:val="99"/>
    <w:unhideWhenUsed/>
    <w:rsid w:val="00C80B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B0D"/>
  </w:style>
  <w:style w:type="paragraph" w:styleId="Footer">
    <w:name w:val="footer"/>
    <w:basedOn w:val="Normal"/>
    <w:link w:val="FooterChar"/>
    <w:uiPriority w:val="99"/>
    <w:unhideWhenUsed/>
    <w:rsid w:val="00C80B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B0D"/>
  </w:style>
  <w:style w:type="paragraph" w:styleId="BalloonText">
    <w:name w:val="Balloon Text"/>
    <w:basedOn w:val="Normal"/>
    <w:link w:val="BalloonTextChar"/>
    <w:uiPriority w:val="99"/>
    <w:semiHidden/>
    <w:unhideWhenUsed/>
    <w:rsid w:val="004442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2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8A1"/>
    <w:pPr>
      <w:ind w:left="720"/>
      <w:contextualSpacing/>
    </w:pPr>
  </w:style>
  <w:style w:type="paragraph" w:styleId="Header">
    <w:name w:val="header"/>
    <w:basedOn w:val="Normal"/>
    <w:link w:val="HeaderChar"/>
    <w:uiPriority w:val="99"/>
    <w:unhideWhenUsed/>
    <w:rsid w:val="00C80B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B0D"/>
  </w:style>
  <w:style w:type="paragraph" w:styleId="Footer">
    <w:name w:val="footer"/>
    <w:basedOn w:val="Normal"/>
    <w:link w:val="FooterChar"/>
    <w:uiPriority w:val="99"/>
    <w:unhideWhenUsed/>
    <w:rsid w:val="00C80B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B0D"/>
  </w:style>
  <w:style w:type="paragraph" w:styleId="BalloonText">
    <w:name w:val="Balloon Text"/>
    <w:basedOn w:val="Normal"/>
    <w:link w:val="BalloonTextChar"/>
    <w:uiPriority w:val="99"/>
    <w:semiHidden/>
    <w:unhideWhenUsed/>
    <w:rsid w:val="004442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2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1133</Words>
  <Characters>6460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2013-02-22T14:24:00Z</cp:lastPrinted>
  <dcterms:created xsi:type="dcterms:W3CDTF">2013-03-21T13:27:00Z</dcterms:created>
  <dcterms:modified xsi:type="dcterms:W3CDTF">2013-03-21T13:27:00Z</dcterms:modified>
</cp:coreProperties>
</file>