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D93D6" w14:textId="77777777" w:rsidR="00743640" w:rsidRPr="0030207C" w:rsidRDefault="005B52A5" w:rsidP="005B52A5">
      <w:pPr>
        <w:pStyle w:val="ListParagraph"/>
        <w:numPr>
          <w:ilvl w:val="0"/>
          <w:numId w:val="1"/>
        </w:numPr>
        <w:rPr>
          <w:rFonts w:ascii="Times New Roman" w:hAnsi="Times New Roman"/>
          <w:sz w:val="24"/>
          <w:szCs w:val="24"/>
        </w:rPr>
      </w:pPr>
      <w:bookmarkStart w:id="0" w:name="_GoBack"/>
      <w:bookmarkEnd w:id="0"/>
      <w:r w:rsidRPr="0030207C">
        <w:rPr>
          <w:rFonts w:ascii="Times New Roman" w:hAnsi="Times New Roman"/>
          <w:sz w:val="24"/>
          <w:szCs w:val="24"/>
        </w:rPr>
        <w:t>NYARAI MUDUNGWE</w:t>
      </w:r>
    </w:p>
    <w:p w14:paraId="081D56DB"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 xml:space="preserve">And </w:t>
      </w:r>
    </w:p>
    <w:p w14:paraId="6899C86D"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WITNESS MUDUNGWE</w:t>
      </w:r>
    </w:p>
    <w:p w14:paraId="6EAAF8A1"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Versus</w:t>
      </w:r>
    </w:p>
    <w:p w14:paraId="30111C12"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RHODIAN PHOTO</w:t>
      </w:r>
    </w:p>
    <w:p w14:paraId="1B6EA174"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And</w:t>
      </w:r>
    </w:p>
    <w:p w14:paraId="7E349A7B"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AROSUME PROPERTY DEVELOPMENT (PVT) LTD</w:t>
      </w:r>
    </w:p>
    <w:p w14:paraId="43175B7E"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And</w:t>
      </w:r>
    </w:p>
    <w:p w14:paraId="721DBF85"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THE MINISTER OF LOCAL GOVERNMENT AND PUBLIC WORKS</w:t>
      </w:r>
    </w:p>
    <w:p w14:paraId="7A494DD8" w14:textId="77777777" w:rsidR="005B52A5" w:rsidRPr="0030207C" w:rsidRDefault="005B52A5">
      <w:pPr>
        <w:rPr>
          <w:rFonts w:ascii="Times New Roman" w:hAnsi="Times New Roman"/>
          <w:sz w:val="24"/>
          <w:szCs w:val="24"/>
        </w:rPr>
      </w:pPr>
    </w:p>
    <w:p w14:paraId="693C5379" w14:textId="77777777" w:rsidR="005B52A5" w:rsidRPr="0030207C" w:rsidRDefault="005B52A5" w:rsidP="005B52A5">
      <w:pPr>
        <w:pStyle w:val="ListParagraph"/>
        <w:numPr>
          <w:ilvl w:val="0"/>
          <w:numId w:val="1"/>
        </w:numPr>
        <w:rPr>
          <w:rFonts w:ascii="Times New Roman" w:hAnsi="Times New Roman"/>
          <w:sz w:val="24"/>
          <w:szCs w:val="24"/>
        </w:rPr>
      </w:pPr>
      <w:r w:rsidRPr="0030207C">
        <w:rPr>
          <w:rFonts w:ascii="Times New Roman" w:hAnsi="Times New Roman"/>
          <w:sz w:val="24"/>
          <w:szCs w:val="24"/>
        </w:rPr>
        <w:t>AROSUME PROPERTY DEVELOPMENT (PVT) LTD</w:t>
      </w:r>
    </w:p>
    <w:p w14:paraId="4A5B3A79" w14:textId="77777777" w:rsidR="005B52A5" w:rsidRPr="0030207C" w:rsidRDefault="00D3519F" w:rsidP="005B52A5">
      <w:pPr>
        <w:pStyle w:val="ListParagraph"/>
        <w:rPr>
          <w:rFonts w:ascii="Times New Roman" w:hAnsi="Times New Roman"/>
          <w:sz w:val="24"/>
          <w:szCs w:val="24"/>
        </w:rPr>
      </w:pPr>
      <w:r w:rsidRPr="0030207C">
        <w:rPr>
          <w:rFonts w:ascii="Times New Roman" w:hAnsi="Times New Roman"/>
          <w:sz w:val="24"/>
          <w:szCs w:val="24"/>
        </w:rPr>
        <w:t xml:space="preserve">Versus </w:t>
      </w:r>
    </w:p>
    <w:p w14:paraId="28DF14EA" w14:textId="77777777" w:rsidR="005B52A5" w:rsidRPr="0030207C" w:rsidRDefault="005B52A5" w:rsidP="005B52A5">
      <w:pPr>
        <w:pStyle w:val="ListParagraph"/>
        <w:rPr>
          <w:rFonts w:ascii="Times New Roman" w:hAnsi="Times New Roman"/>
          <w:sz w:val="24"/>
          <w:szCs w:val="24"/>
        </w:rPr>
      </w:pPr>
      <w:r w:rsidRPr="0030207C">
        <w:rPr>
          <w:rFonts w:ascii="Times New Roman" w:hAnsi="Times New Roman"/>
          <w:sz w:val="24"/>
          <w:szCs w:val="24"/>
        </w:rPr>
        <w:t>RHODIAN PHOTO</w:t>
      </w:r>
    </w:p>
    <w:p w14:paraId="11323080" w14:textId="77777777" w:rsidR="005B52A5" w:rsidRPr="0030207C" w:rsidRDefault="005B52A5" w:rsidP="00D3519F">
      <w:pPr>
        <w:pStyle w:val="ListParagraph"/>
        <w:rPr>
          <w:rFonts w:ascii="Times New Roman" w:hAnsi="Times New Roman"/>
          <w:sz w:val="24"/>
          <w:szCs w:val="24"/>
        </w:rPr>
      </w:pPr>
      <w:r w:rsidRPr="0030207C">
        <w:rPr>
          <w:rFonts w:ascii="Times New Roman" w:hAnsi="Times New Roman"/>
          <w:sz w:val="24"/>
          <w:szCs w:val="24"/>
        </w:rPr>
        <w:t>And</w:t>
      </w:r>
    </w:p>
    <w:p w14:paraId="4D7B49A9" w14:textId="77777777" w:rsidR="005B52A5" w:rsidRPr="0030207C" w:rsidRDefault="005B52A5" w:rsidP="00D3519F">
      <w:pPr>
        <w:pStyle w:val="ListParagraph"/>
        <w:rPr>
          <w:rFonts w:ascii="Times New Roman" w:hAnsi="Times New Roman"/>
          <w:sz w:val="24"/>
          <w:szCs w:val="24"/>
        </w:rPr>
      </w:pPr>
      <w:r w:rsidRPr="0030207C">
        <w:rPr>
          <w:rFonts w:ascii="Times New Roman" w:hAnsi="Times New Roman"/>
          <w:sz w:val="24"/>
          <w:szCs w:val="24"/>
        </w:rPr>
        <w:t>THE MINISTER OF LOCAL GOVERNMENT AND PUBLIC WORKS</w:t>
      </w:r>
    </w:p>
    <w:p w14:paraId="0DC5A3DA" w14:textId="77777777" w:rsidR="005B52A5" w:rsidRPr="0030207C" w:rsidRDefault="005B52A5" w:rsidP="00D3519F">
      <w:pPr>
        <w:pStyle w:val="ListParagraph"/>
        <w:rPr>
          <w:rFonts w:ascii="Times New Roman" w:hAnsi="Times New Roman"/>
          <w:sz w:val="24"/>
          <w:szCs w:val="24"/>
        </w:rPr>
      </w:pPr>
      <w:r w:rsidRPr="0030207C">
        <w:rPr>
          <w:rFonts w:ascii="Times New Roman" w:hAnsi="Times New Roman"/>
          <w:sz w:val="24"/>
          <w:szCs w:val="24"/>
        </w:rPr>
        <w:t>And</w:t>
      </w:r>
    </w:p>
    <w:p w14:paraId="722B924C" w14:textId="77777777" w:rsidR="005B52A5" w:rsidRPr="0030207C" w:rsidRDefault="005B52A5" w:rsidP="00D3519F">
      <w:pPr>
        <w:pStyle w:val="ListParagraph"/>
        <w:rPr>
          <w:rFonts w:ascii="Times New Roman" w:hAnsi="Times New Roman"/>
          <w:sz w:val="24"/>
          <w:szCs w:val="24"/>
        </w:rPr>
      </w:pPr>
      <w:r w:rsidRPr="0030207C">
        <w:rPr>
          <w:rFonts w:ascii="Times New Roman" w:hAnsi="Times New Roman"/>
          <w:sz w:val="24"/>
          <w:szCs w:val="24"/>
        </w:rPr>
        <w:t>WITNESS MUDUNGWE</w:t>
      </w:r>
    </w:p>
    <w:p w14:paraId="0C985EFB" w14:textId="77777777" w:rsidR="005B52A5" w:rsidRPr="0030207C" w:rsidRDefault="005B52A5" w:rsidP="00D3519F">
      <w:pPr>
        <w:pStyle w:val="ListParagraph"/>
        <w:rPr>
          <w:rFonts w:ascii="Times New Roman" w:hAnsi="Times New Roman"/>
          <w:sz w:val="24"/>
          <w:szCs w:val="24"/>
        </w:rPr>
      </w:pPr>
      <w:r w:rsidRPr="0030207C">
        <w:rPr>
          <w:rFonts w:ascii="Times New Roman" w:hAnsi="Times New Roman"/>
          <w:sz w:val="24"/>
          <w:szCs w:val="24"/>
        </w:rPr>
        <w:t xml:space="preserve">And </w:t>
      </w:r>
    </w:p>
    <w:p w14:paraId="4C806FEA" w14:textId="77777777" w:rsidR="005B52A5" w:rsidRPr="0030207C" w:rsidRDefault="005B52A5" w:rsidP="00D3519F">
      <w:pPr>
        <w:pStyle w:val="ListParagraph"/>
        <w:rPr>
          <w:rFonts w:ascii="Times New Roman" w:hAnsi="Times New Roman"/>
          <w:sz w:val="24"/>
          <w:szCs w:val="24"/>
        </w:rPr>
      </w:pPr>
      <w:r w:rsidRPr="0030207C">
        <w:rPr>
          <w:rFonts w:ascii="Times New Roman" w:hAnsi="Times New Roman"/>
          <w:sz w:val="24"/>
          <w:szCs w:val="24"/>
        </w:rPr>
        <w:t>NYARAI MUDUNGWE</w:t>
      </w:r>
    </w:p>
    <w:p w14:paraId="76524EB4" w14:textId="77777777" w:rsidR="00D3519F" w:rsidRPr="0030207C" w:rsidRDefault="00D3519F" w:rsidP="00D3519F">
      <w:pPr>
        <w:pStyle w:val="ListParagraph"/>
        <w:rPr>
          <w:rFonts w:ascii="Times New Roman" w:hAnsi="Times New Roman"/>
          <w:sz w:val="24"/>
          <w:szCs w:val="24"/>
        </w:rPr>
      </w:pPr>
    </w:p>
    <w:p w14:paraId="4EA24268" w14:textId="77777777" w:rsidR="00D3519F" w:rsidRPr="0030207C" w:rsidRDefault="00D3519F" w:rsidP="00D3519F">
      <w:pPr>
        <w:pStyle w:val="ListParagraph"/>
        <w:rPr>
          <w:rFonts w:ascii="Times New Roman" w:hAnsi="Times New Roman"/>
          <w:sz w:val="24"/>
          <w:szCs w:val="24"/>
        </w:rPr>
      </w:pPr>
      <w:r w:rsidRPr="0030207C">
        <w:rPr>
          <w:rFonts w:ascii="Times New Roman" w:hAnsi="Times New Roman"/>
          <w:sz w:val="24"/>
          <w:szCs w:val="24"/>
        </w:rPr>
        <w:t>HIGH COURT OF ZIMBABWE</w:t>
      </w:r>
    </w:p>
    <w:p w14:paraId="41DA62BA" w14:textId="77777777" w:rsidR="00D3519F" w:rsidRPr="0030207C" w:rsidRDefault="00D3519F" w:rsidP="00D3519F">
      <w:pPr>
        <w:pStyle w:val="ListParagraph"/>
        <w:rPr>
          <w:rFonts w:ascii="Times New Roman" w:hAnsi="Times New Roman"/>
          <w:sz w:val="24"/>
          <w:szCs w:val="24"/>
        </w:rPr>
      </w:pPr>
      <w:r w:rsidRPr="0030207C">
        <w:rPr>
          <w:rFonts w:ascii="Times New Roman" w:hAnsi="Times New Roman"/>
          <w:sz w:val="24"/>
          <w:szCs w:val="24"/>
        </w:rPr>
        <w:t>HARARE 16 March &amp; 7 November 2022</w:t>
      </w:r>
    </w:p>
    <w:p w14:paraId="720A5654" w14:textId="77777777" w:rsidR="00D3519F" w:rsidRPr="0030207C" w:rsidRDefault="00D3519F" w:rsidP="00D3519F">
      <w:pPr>
        <w:pStyle w:val="ListParagraph"/>
        <w:rPr>
          <w:rFonts w:ascii="Times New Roman" w:hAnsi="Times New Roman"/>
          <w:sz w:val="24"/>
          <w:szCs w:val="24"/>
        </w:rPr>
      </w:pPr>
      <w:r w:rsidRPr="0030207C">
        <w:rPr>
          <w:rFonts w:ascii="Times New Roman" w:hAnsi="Times New Roman"/>
          <w:sz w:val="24"/>
          <w:szCs w:val="24"/>
        </w:rPr>
        <w:t>CHILIMBE J</w:t>
      </w:r>
    </w:p>
    <w:p w14:paraId="119ECFC7" w14:textId="77777777" w:rsidR="00D3519F" w:rsidRPr="0030207C" w:rsidRDefault="00D3519F" w:rsidP="00D3519F">
      <w:pPr>
        <w:pStyle w:val="ListParagraph"/>
        <w:rPr>
          <w:rFonts w:ascii="Times New Roman" w:hAnsi="Times New Roman"/>
          <w:sz w:val="24"/>
          <w:szCs w:val="24"/>
        </w:rPr>
      </w:pPr>
    </w:p>
    <w:p w14:paraId="1495B121" w14:textId="77777777" w:rsidR="0030207C" w:rsidRPr="0030207C" w:rsidRDefault="0030207C" w:rsidP="00D3519F">
      <w:pPr>
        <w:pStyle w:val="ListParagraph"/>
        <w:rPr>
          <w:rFonts w:ascii="Times New Roman" w:hAnsi="Times New Roman"/>
          <w:b/>
          <w:bCs/>
          <w:sz w:val="24"/>
          <w:szCs w:val="24"/>
        </w:rPr>
      </w:pPr>
      <w:r w:rsidRPr="0030207C">
        <w:rPr>
          <w:rFonts w:ascii="Times New Roman" w:hAnsi="Times New Roman"/>
          <w:b/>
          <w:bCs/>
          <w:sz w:val="24"/>
          <w:szCs w:val="24"/>
        </w:rPr>
        <w:t>Opposed application</w:t>
      </w:r>
    </w:p>
    <w:p w14:paraId="4DB8FC6E" w14:textId="77777777" w:rsidR="0030207C" w:rsidRDefault="0030207C" w:rsidP="00D3519F">
      <w:pPr>
        <w:pStyle w:val="ListParagraph"/>
        <w:rPr>
          <w:rFonts w:ascii="Times New Roman" w:hAnsi="Times New Roman"/>
          <w:sz w:val="24"/>
          <w:szCs w:val="24"/>
        </w:rPr>
      </w:pPr>
    </w:p>
    <w:p w14:paraId="4CB8DFB4" w14:textId="77777777" w:rsidR="003A68B9" w:rsidRPr="0030207C" w:rsidRDefault="003A68B9" w:rsidP="00D3519F">
      <w:pPr>
        <w:pStyle w:val="ListParagraph"/>
        <w:rPr>
          <w:rFonts w:ascii="Times New Roman" w:hAnsi="Times New Roman"/>
          <w:sz w:val="24"/>
          <w:szCs w:val="24"/>
        </w:rPr>
      </w:pPr>
      <w:r w:rsidRPr="0030207C">
        <w:rPr>
          <w:rFonts w:ascii="Times New Roman" w:hAnsi="Times New Roman"/>
          <w:sz w:val="24"/>
          <w:szCs w:val="24"/>
        </w:rPr>
        <w:t xml:space="preserve">Appearance as per parties` </w:t>
      </w:r>
      <w:r w:rsidR="0030207C">
        <w:rPr>
          <w:rFonts w:ascii="Times New Roman" w:hAnsi="Times New Roman"/>
          <w:sz w:val="24"/>
          <w:szCs w:val="24"/>
        </w:rPr>
        <w:t xml:space="preserve">citation </w:t>
      </w:r>
      <w:r w:rsidRPr="0030207C">
        <w:rPr>
          <w:rFonts w:ascii="Times New Roman" w:hAnsi="Times New Roman"/>
          <w:sz w:val="24"/>
          <w:szCs w:val="24"/>
        </w:rPr>
        <w:t>in case (1)</w:t>
      </w:r>
    </w:p>
    <w:p w14:paraId="6B6ACAC3" w14:textId="77777777" w:rsidR="00D3519F" w:rsidRPr="0030207C" w:rsidRDefault="00115D7C" w:rsidP="00D3519F">
      <w:pPr>
        <w:pStyle w:val="ListParagraph"/>
        <w:rPr>
          <w:rFonts w:ascii="Times New Roman" w:hAnsi="Times New Roman"/>
          <w:sz w:val="24"/>
          <w:szCs w:val="24"/>
        </w:rPr>
      </w:pPr>
      <w:r w:rsidRPr="0030207C">
        <w:rPr>
          <w:rFonts w:ascii="Times New Roman" w:hAnsi="Times New Roman"/>
          <w:i/>
          <w:iCs/>
          <w:sz w:val="24"/>
          <w:szCs w:val="24"/>
        </w:rPr>
        <w:t>S.M. Bwanya</w:t>
      </w:r>
      <w:r w:rsidRPr="0030207C">
        <w:rPr>
          <w:rFonts w:ascii="Times New Roman" w:hAnsi="Times New Roman"/>
          <w:sz w:val="24"/>
          <w:szCs w:val="24"/>
        </w:rPr>
        <w:t>-for applicants</w:t>
      </w:r>
    </w:p>
    <w:p w14:paraId="7AF19AE4" w14:textId="77777777" w:rsidR="003A68B9" w:rsidRPr="0030207C" w:rsidRDefault="003A68B9" w:rsidP="00D3519F">
      <w:pPr>
        <w:pStyle w:val="ListParagraph"/>
        <w:rPr>
          <w:rFonts w:ascii="Times New Roman" w:hAnsi="Times New Roman"/>
          <w:sz w:val="24"/>
          <w:szCs w:val="24"/>
        </w:rPr>
      </w:pPr>
      <w:r w:rsidRPr="0030207C">
        <w:rPr>
          <w:rFonts w:ascii="Times New Roman" w:hAnsi="Times New Roman"/>
          <w:i/>
          <w:iCs/>
          <w:sz w:val="24"/>
          <w:szCs w:val="24"/>
        </w:rPr>
        <w:t>S. Murondoti</w:t>
      </w:r>
      <w:r w:rsidRPr="0030207C">
        <w:rPr>
          <w:rFonts w:ascii="Times New Roman" w:hAnsi="Times New Roman"/>
          <w:sz w:val="24"/>
          <w:szCs w:val="24"/>
        </w:rPr>
        <w:t xml:space="preserve"> with </w:t>
      </w:r>
      <w:r w:rsidRPr="0030207C">
        <w:rPr>
          <w:rFonts w:ascii="Times New Roman" w:hAnsi="Times New Roman"/>
          <w:i/>
          <w:iCs/>
          <w:sz w:val="24"/>
          <w:szCs w:val="24"/>
        </w:rPr>
        <w:t>S. Dizwani</w:t>
      </w:r>
      <w:r w:rsidRPr="0030207C">
        <w:rPr>
          <w:rFonts w:ascii="Times New Roman" w:hAnsi="Times New Roman"/>
          <w:sz w:val="24"/>
          <w:szCs w:val="24"/>
        </w:rPr>
        <w:t xml:space="preserve"> for first respondent</w:t>
      </w:r>
    </w:p>
    <w:p w14:paraId="21D00701" w14:textId="77777777" w:rsidR="003A68B9" w:rsidRPr="0030207C" w:rsidRDefault="003A68B9" w:rsidP="00D3519F">
      <w:pPr>
        <w:pStyle w:val="ListParagraph"/>
        <w:rPr>
          <w:rFonts w:ascii="Times New Roman" w:hAnsi="Times New Roman"/>
          <w:sz w:val="24"/>
          <w:szCs w:val="24"/>
        </w:rPr>
      </w:pPr>
      <w:r w:rsidRPr="0030207C">
        <w:rPr>
          <w:rFonts w:ascii="Times New Roman" w:hAnsi="Times New Roman"/>
          <w:i/>
          <w:iCs/>
          <w:sz w:val="24"/>
          <w:szCs w:val="24"/>
        </w:rPr>
        <w:t>F. Nyangani</w:t>
      </w:r>
      <w:r w:rsidRPr="0030207C">
        <w:rPr>
          <w:rFonts w:ascii="Times New Roman" w:hAnsi="Times New Roman"/>
          <w:sz w:val="24"/>
          <w:szCs w:val="24"/>
        </w:rPr>
        <w:t xml:space="preserve"> for second respondent</w:t>
      </w:r>
    </w:p>
    <w:p w14:paraId="44A973AD" w14:textId="77777777" w:rsidR="003A68B9" w:rsidRPr="0030207C" w:rsidRDefault="003A68B9" w:rsidP="00D3519F">
      <w:pPr>
        <w:pStyle w:val="ListParagraph"/>
        <w:rPr>
          <w:rFonts w:ascii="Times New Roman" w:hAnsi="Times New Roman"/>
          <w:sz w:val="24"/>
          <w:szCs w:val="24"/>
        </w:rPr>
      </w:pPr>
      <w:r w:rsidRPr="0030207C">
        <w:rPr>
          <w:rFonts w:ascii="Times New Roman" w:hAnsi="Times New Roman"/>
          <w:sz w:val="24"/>
          <w:szCs w:val="24"/>
        </w:rPr>
        <w:t>No appearance for third respondent.</w:t>
      </w:r>
    </w:p>
    <w:p w14:paraId="33C7842C" w14:textId="77777777" w:rsidR="003A68B9" w:rsidRPr="0030207C" w:rsidRDefault="003A68B9" w:rsidP="00D3519F">
      <w:pPr>
        <w:pStyle w:val="ListParagraph"/>
        <w:rPr>
          <w:rFonts w:ascii="Times New Roman" w:hAnsi="Times New Roman"/>
          <w:sz w:val="24"/>
          <w:szCs w:val="24"/>
        </w:rPr>
      </w:pPr>
    </w:p>
    <w:p w14:paraId="08265B0A" w14:textId="77777777" w:rsidR="00115D7C" w:rsidRPr="0030207C" w:rsidRDefault="00115D7C" w:rsidP="00D3519F">
      <w:pPr>
        <w:pStyle w:val="ListParagraph"/>
        <w:rPr>
          <w:rFonts w:ascii="Times New Roman" w:hAnsi="Times New Roman"/>
          <w:sz w:val="24"/>
          <w:szCs w:val="24"/>
        </w:rPr>
      </w:pPr>
    </w:p>
    <w:p w14:paraId="427F33F3" w14:textId="77777777" w:rsidR="00115D7C" w:rsidRPr="004264BB" w:rsidRDefault="003A68B9" w:rsidP="0030207C">
      <w:pPr>
        <w:pStyle w:val="ListParagraph"/>
        <w:spacing w:line="360" w:lineRule="auto"/>
        <w:jc w:val="both"/>
        <w:rPr>
          <w:rFonts w:ascii="Times New Roman" w:hAnsi="Times New Roman"/>
        </w:rPr>
      </w:pPr>
      <w:r w:rsidRPr="004264BB">
        <w:rPr>
          <w:rFonts w:ascii="Times New Roman" w:hAnsi="Times New Roman"/>
        </w:rPr>
        <w:t>CHILIMBE J</w:t>
      </w:r>
    </w:p>
    <w:p w14:paraId="24F8B64A" w14:textId="77777777" w:rsidR="00115D7C" w:rsidRPr="0030207C" w:rsidRDefault="00115D7C" w:rsidP="0030207C">
      <w:pPr>
        <w:pStyle w:val="ListParagraph"/>
        <w:spacing w:line="360" w:lineRule="auto"/>
        <w:jc w:val="both"/>
        <w:rPr>
          <w:rFonts w:ascii="Times New Roman" w:hAnsi="Times New Roman"/>
          <w:sz w:val="24"/>
          <w:szCs w:val="24"/>
        </w:rPr>
      </w:pPr>
    </w:p>
    <w:p w14:paraId="7475F385" w14:textId="77777777" w:rsidR="00115D7C" w:rsidRPr="00115D7C" w:rsidRDefault="003A68B9" w:rsidP="0030207C">
      <w:pPr>
        <w:pStyle w:val="ListParagraph"/>
        <w:spacing w:line="360" w:lineRule="auto"/>
        <w:ind w:left="1134"/>
        <w:jc w:val="both"/>
        <w:rPr>
          <w:rFonts w:ascii="Times New Roman" w:hAnsi="Times New Roman"/>
          <w:sz w:val="24"/>
          <w:szCs w:val="24"/>
          <w:lang w:val="en-US"/>
        </w:rPr>
      </w:pPr>
      <w:r w:rsidRPr="006A1EB6">
        <w:rPr>
          <w:rFonts w:ascii="Times New Roman" w:hAnsi="Times New Roman"/>
          <w:i/>
          <w:iCs/>
          <w:sz w:val="24"/>
          <w:szCs w:val="24"/>
          <w:lang w:val="en-US"/>
        </w:rPr>
        <w:t>“</w:t>
      </w:r>
      <w:r w:rsidR="00115D7C" w:rsidRPr="00115D7C">
        <w:rPr>
          <w:rFonts w:ascii="Times New Roman" w:hAnsi="Times New Roman"/>
          <w:i/>
          <w:iCs/>
          <w:sz w:val="24"/>
          <w:szCs w:val="24"/>
          <w:lang w:val="en-US"/>
        </w:rPr>
        <w:t xml:space="preserve">The inevitable regurgitating of the same facts already traversed shows the undesirability of writing piecemeal </w:t>
      </w:r>
      <w:r w:rsidRPr="006A1EB6">
        <w:rPr>
          <w:rFonts w:ascii="Times New Roman" w:hAnsi="Times New Roman"/>
          <w:i/>
          <w:iCs/>
          <w:sz w:val="24"/>
          <w:szCs w:val="24"/>
          <w:lang w:val="en-US"/>
        </w:rPr>
        <w:t>judgments</w:t>
      </w:r>
      <w:r w:rsidRPr="0030207C">
        <w:rPr>
          <w:rFonts w:ascii="Times New Roman" w:hAnsi="Times New Roman"/>
          <w:sz w:val="24"/>
          <w:szCs w:val="24"/>
          <w:lang w:val="en-US"/>
        </w:rPr>
        <w:t>.</w:t>
      </w:r>
      <w:r w:rsidR="006A1EB6">
        <w:rPr>
          <w:rFonts w:ascii="Times New Roman" w:hAnsi="Times New Roman"/>
          <w:sz w:val="24"/>
          <w:szCs w:val="24"/>
          <w:lang w:val="en-US"/>
        </w:rPr>
        <w:t>”</w:t>
      </w:r>
      <w:r w:rsidRPr="0030207C">
        <w:rPr>
          <w:rFonts w:ascii="Times New Roman" w:hAnsi="Times New Roman"/>
          <w:sz w:val="24"/>
          <w:szCs w:val="24"/>
          <w:lang w:val="en-US"/>
        </w:rPr>
        <w:t xml:space="preserve"> </w:t>
      </w:r>
      <w:r w:rsidRPr="00B84D63">
        <w:rPr>
          <w:rFonts w:ascii="Times New Roman" w:hAnsi="Times New Roman"/>
          <w:lang w:val="en-US"/>
        </w:rPr>
        <w:t>CHITAPI J</w:t>
      </w:r>
      <w:r w:rsidR="00103627" w:rsidRPr="0030207C">
        <w:rPr>
          <w:rStyle w:val="FootnoteReference"/>
          <w:rFonts w:ascii="Times New Roman" w:hAnsi="Times New Roman"/>
          <w:sz w:val="24"/>
          <w:szCs w:val="24"/>
          <w:lang w:val="en-US"/>
        </w:rPr>
        <w:footnoteReference w:id="1"/>
      </w:r>
    </w:p>
    <w:p w14:paraId="6C0C2FD2" w14:textId="77777777" w:rsidR="00115D7C" w:rsidRPr="0030207C" w:rsidRDefault="00115D7C" w:rsidP="0030207C">
      <w:pPr>
        <w:pStyle w:val="ListParagraph"/>
        <w:spacing w:line="360" w:lineRule="auto"/>
        <w:jc w:val="both"/>
        <w:rPr>
          <w:rFonts w:ascii="Times New Roman" w:hAnsi="Times New Roman"/>
          <w:sz w:val="24"/>
          <w:szCs w:val="24"/>
        </w:rPr>
      </w:pPr>
    </w:p>
    <w:p w14:paraId="2A938AE5" w14:textId="77777777" w:rsidR="003A68B9" w:rsidRPr="004264BB" w:rsidRDefault="003A68B9" w:rsidP="0030207C">
      <w:pPr>
        <w:pStyle w:val="ListParagraph"/>
        <w:spacing w:line="360" w:lineRule="auto"/>
        <w:jc w:val="both"/>
        <w:rPr>
          <w:rFonts w:ascii="Times New Roman" w:hAnsi="Times New Roman"/>
        </w:rPr>
      </w:pPr>
      <w:r w:rsidRPr="004264BB">
        <w:rPr>
          <w:rFonts w:ascii="Times New Roman" w:hAnsi="Times New Roman"/>
        </w:rPr>
        <w:t>BACKGROUND</w:t>
      </w:r>
    </w:p>
    <w:p w14:paraId="64C15936" w14:textId="42253462" w:rsidR="0022741C"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[1] </w:t>
      </w:r>
      <w:r w:rsidR="0030207C">
        <w:rPr>
          <w:rFonts w:ascii="Times New Roman" w:hAnsi="Times New Roman"/>
          <w:sz w:val="24"/>
          <w:szCs w:val="24"/>
        </w:rPr>
        <w:t>Th</w:t>
      </w:r>
      <w:r w:rsidR="00660B92">
        <w:rPr>
          <w:rFonts w:ascii="Times New Roman" w:hAnsi="Times New Roman"/>
          <w:sz w:val="24"/>
          <w:szCs w:val="24"/>
        </w:rPr>
        <w:t xml:space="preserve">is is a piecemeal </w:t>
      </w:r>
      <w:r w:rsidR="004A0A2F">
        <w:rPr>
          <w:rFonts w:ascii="Times New Roman" w:hAnsi="Times New Roman"/>
          <w:sz w:val="24"/>
          <w:szCs w:val="24"/>
        </w:rPr>
        <w:t>judgment. For</w:t>
      </w:r>
      <w:r w:rsidR="0022741C">
        <w:rPr>
          <w:rFonts w:ascii="Times New Roman" w:hAnsi="Times New Roman"/>
          <w:sz w:val="24"/>
          <w:szCs w:val="24"/>
        </w:rPr>
        <w:t xml:space="preserve"> that and other reasons explained hereunder, the</w:t>
      </w:r>
      <w:r w:rsidR="0030207C">
        <w:rPr>
          <w:rFonts w:ascii="Times New Roman" w:hAnsi="Times New Roman"/>
          <w:sz w:val="24"/>
          <w:szCs w:val="24"/>
        </w:rPr>
        <w:t xml:space="preserve"> </w:t>
      </w:r>
      <w:r w:rsidR="006A1EB6">
        <w:rPr>
          <w:rFonts w:ascii="Times New Roman" w:hAnsi="Times New Roman"/>
          <w:sz w:val="24"/>
          <w:szCs w:val="24"/>
        </w:rPr>
        <w:t xml:space="preserve">above </w:t>
      </w:r>
      <w:r w:rsidR="0030207C">
        <w:rPr>
          <w:rFonts w:ascii="Times New Roman" w:hAnsi="Times New Roman"/>
          <w:sz w:val="24"/>
          <w:szCs w:val="24"/>
        </w:rPr>
        <w:t xml:space="preserve">remarks by </w:t>
      </w:r>
      <w:r w:rsidR="0030207C" w:rsidRPr="00B84D63">
        <w:rPr>
          <w:rFonts w:ascii="Times New Roman" w:hAnsi="Times New Roman"/>
        </w:rPr>
        <w:t xml:space="preserve">CHITAPI </w:t>
      </w:r>
      <w:r w:rsidR="006A1EB6" w:rsidRPr="00B84D63">
        <w:rPr>
          <w:rFonts w:ascii="Times New Roman" w:hAnsi="Times New Roman"/>
        </w:rPr>
        <w:t>J</w:t>
      </w:r>
      <w:r w:rsidR="006A1EB6">
        <w:rPr>
          <w:rFonts w:ascii="Times New Roman" w:hAnsi="Times New Roman"/>
          <w:sz w:val="24"/>
          <w:szCs w:val="24"/>
        </w:rPr>
        <w:t xml:space="preserve"> </w:t>
      </w:r>
      <w:r w:rsidR="0022741C">
        <w:rPr>
          <w:rFonts w:ascii="Times New Roman" w:hAnsi="Times New Roman"/>
          <w:sz w:val="24"/>
          <w:szCs w:val="24"/>
        </w:rPr>
        <w:t xml:space="preserve">become </w:t>
      </w:r>
      <w:r w:rsidR="00660B92">
        <w:rPr>
          <w:rFonts w:ascii="Times New Roman" w:hAnsi="Times New Roman"/>
          <w:sz w:val="24"/>
          <w:szCs w:val="24"/>
        </w:rPr>
        <w:t xml:space="preserve">quite </w:t>
      </w:r>
      <w:r w:rsidR="006A1EB6">
        <w:rPr>
          <w:rFonts w:ascii="Times New Roman" w:hAnsi="Times New Roman"/>
          <w:sz w:val="24"/>
          <w:szCs w:val="24"/>
        </w:rPr>
        <w:t xml:space="preserve">relevant </w:t>
      </w:r>
      <w:r w:rsidR="00C416DD">
        <w:rPr>
          <w:rFonts w:ascii="Times New Roman" w:hAnsi="Times New Roman"/>
          <w:sz w:val="24"/>
          <w:szCs w:val="24"/>
        </w:rPr>
        <w:t xml:space="preserve">to the resolution of points </w:t>
      </w:r>
      <w:r w:rsidR="00C416DD" w:rsidRPr="006A1EB6">
        <w:rPr>
          <w:rFonts w:ascii="Times New Roman" w:hAnsi="Times New Roman"/>
          <w:i/>
          <w:iCs/>
          <w:sz w:val="24"/>
          <w:szCs w:val="24"/>
        </w:rPr>
        <w:t>in limine</w:t>
      </w:r>
      <w:r w:rsidR="00C416DD">
        <w:rPr>
          <w:rFonts w:ascii="Times New Roman" w:hAnsi="Times New Roman"/>
          <w:sz w:val="24"/>
          <w:szCs w:val="24"/>
        </w:rPr>
        <w:t xml:space="preserve"> raised by first respondent, in this application for rescission of judgment.</w:t>
      </w:r>
      <w:r w:rsidR="0030207C">
        <w:rPr>
          <w:rFonts w:ascii="Times New Roman" w:hAnsi="Times New Roman"/>
          <w:sz w:val="24"/>
          <w:szCs w:val="24"/>
        </w:rPr>
        <w:t xml:space="preserve"> </w:t>
      </w:r>
    </w:p>
    <w:p w14:paraId="4EFE086F" w14:textId="77777777" w:rsidR="0022741C" w:rsidRDefault="0022741C" w:rsidP="0030207C">
      <w:pPr>
        <w:pStyle w:val="ListParagraph"/>
        <w:spacing w:line="360" w:lineRule="auto"/>
        <w:jc w:val="both"/>
        <w:rPr>
          <w:rFonts w:ascii="Times New Roman" w:hAnsi="Times New Roman"/>
          <w:sz w:val="24"/>
          <w:szCs w:val="24"/>
        </w:rPr>
      </w:pPr>
    </w:p>
    <w:p w14:paraId="7944338D" w14:textId="766031CD" w:rsidR="006A1EB6" w:rsidRDefault="0022741C"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[ 2] </w:t>
      </w:r>
      <w:r w:rsidR="006A1EB6">
        <w:rPr>
          <w:rFonts w:ascii="Times New Roman" w:hAnsi="Times New Roman"/>
          <w:sz w:val="24"/>
          <w:szCs w:val="24"/>
        </w:rPr>
        <w:t xml:space="preserve">The </w:t>
      </w:r>
      <w:r w:rsidR="004A0A2F">
        <w:rPr>
          <w:rFonts w:ascii="Times New Roman" w:hAnsi="Times New Roman"/>
          <w:sz w:val="24"/>
          <w:szCs w:val="24"/>
        </w:rPr>
        <w:t>L</w:t>
      </w:r>
      <w:r w:rsidR="006A1EB6">
        <w:rPr>
          <w:rFonts w:ascii="Times New Roman" w:hAnsi="Times New Roman"/>
          <w:sz w:val="24"/>
          <w:szCs w:val="24"/>
        </w:rPr>
        <w:t xml:space="preserve">earned Judge`s observations </w:t>
      </w:r>
      <w:r w:rsidR="004A0A2F">
        <w:rPr>
          <w:rFonts w:ascii="Times New Roman" w:hAnsi="Times New Roman"/>
          <w:sz w:val="24"/>
          <w:szCs w:val="24"/>
        </w:rPr>
        <w:t xml:space="preserve">in </w:t>
      </w:r>
      <w:r w:rsidR="004A0A2F" w:rsidRPr="004A0A2F">
        <w:rPr>
          <w:rFonts w:ascii="Times New Roman" w:hAnsi="Times New Roman"/>
          <w:i/>
          <w:iCs/>
          <w:sz w:val="24"/>
          <w:szCs w:val="24"/>
        </w:rPr>
        <w:t>Exavier Maoneke v Trustees of Mount Olive Trust</w:t>
      </w:r>
      <w:r w:rsidR="004A0A2F" w:rsidRPr="004A0A2F">
        <w:rPr>
          <w:rFonts w:ascii="Times New Roman" w:hAnsi="Times New Roman"/>
          <w:sz w:val="24"/>
          <w:szCs w:val="24"/>
        </w:rPr>
        <w:t xml:space="preserve"> </w:t>
      </w:r>
      <w:r w:rsidR="004A0A2F">
        <w:rPr>
          <w:rFonts w:ascii="Times New Roman" w:hAnsi="Times New Roman"/>
          <w:sz w:val="24"/>
          <w:szCs w:val="24"/>
        </w:rPr>
        <w:t>(supra), are</w:t>
      </w:r>
      <w:r w:rsidR="006A1EB6">
        <w:rPr>
          <w:rFonts w:ascii="Times New Roman" w:hAnsi="Times New Roman"/>
          <w:sz w:val="24"/>
          <w:szCs w:val="24"/>
        </w:rPr>
        <w:t xml:space="preserve"> but a timely reminder that objections </w:t>
      </w:r>
      <w:r w:rsidR="006A1EB6" w:rsidRPr="004075FA">
        <w:rPr>
          <w:rFonts w:ascii="Times New Roman" w:hAnsi="Times New Roman"/>
          <w:i/>
          <w:iCs/>
          <w:sz w:val="24"/>
          <w:szCs w:val="24"/>
        </w:rPr>
        <w:t>in limine</w:t>
      </w:r>
      <w:r w:rsidR="006A1EB6">
        <w:rPr>
          <w:rFonts w:ascii="Times New Roman" w:hAnsi="Times New Roman"/>
          <w:sz w:val="24"/>
          <w:szCs w:val="24"/>
        </w:rPr>
        <w:t xml:space="preserve">, like all other responses by a litigant to </w:t>
      </w:r>
      <w:r w:rsidR="00420140">
        <w:rPr>
          <w:rFonts w:ascii="Times New Roman" w:hAnsi="Times New Roman"/>
          <w:sz w:val="24"/>
          <w:szCs w:val="24"/>
        </w:rPr>
        <w:t>its opponent`s case</w:t>
      </w:r>
      <w:r w:rsidR="006A1EB6">
        <w:rPr>
          <w:rFonts w:ascii="Times New Roman" w:hAnsi="Times New Roman"/>
          <w:sz w:val="24"/>
          <w:szCs w:val="24"/>
        </w:rPr>
        <w:t xml:space="preserve">, must </w:t>
      </w:r>
      <w:r w:rsidR="00420140">
        <w:rPr>
          <w:rFonts w:ascii="Times New Roman" w:hAnsi="Times New Roman"/>
          <w:sz w:val="24"/>
          <w:szCs w:val="24"/>
        </w:rPr>
        <w:t xml:space="preserve">at all times be correctly </w:t>
      </w:r>
      <w:r w:rsidR="006A1EB6">
        <w:rPr>
          <w:rFonts w:ascii="Times New Roman" w:hAnsi="Times New Roman"/>
          <w:sz w:val="24"/>
          <w:szCs w:val="24"/>
        </w:rPr>
        <w:t xml:space="preserve">packaged and </w:t>
      </w:r>
      <w:r w:rsidR="00420140">
        <w:rPr>
          <w:rFonts w:ascii="Times New Roman" w:hAnsi="Times New Roman"/>
          <w:sz w:val="24"/>
          <w:szCs w:val="24"/>
        </w:rPr>
        <w:t xml:space="preserve">raised at an appropriate stage in the litigation </w:t>
      </w:r>
      <w:r>
        <w:rPr>
          <w:rFonts w:ascii="Times New Roman" w:hAnsi="Times New Roman"/>
          <w:sz w:val="24"/>
          <w:szCs w:val="24"/>
        </w:rPr>
        <w:t>lifecycle. Much has been said in this court in recent times with</w:t>
      </w:r>
      <w:r w:rsidR="004075FA">
        <w:rPr>
          <w:rFonts w:ascii="Times New Roman" w:hAnsi="Times New Roman"/>
          <w:sz w:val="24"/>
          <w:szCs w:val="24"/>
        </w:rPr>
        <w:t xml:space="preserve"> emphasis</w:t>
      </w:r>
      <w:r>
        <w:rPr>
          <w:rFonts w:ascii="Times New Roman" w:hAnsi="Times New Roman"/>
          <w:sz w:val="24"/>
          <w:szCs w:val="24"/>
        </w:rPr>
        <w:t xml:space="preserve"> lying more</w:t>
      </w:r>
      <w:r w:rsidR="004075FA">
        <w:rPr>
          <w:rFonts w:ascii="Times New Roman" w:hAnsi="Times New Roman"/>
          <w:sz w:val="24"/>
          <w:szCs w:val="24"/>
        </w:rPr>
        <w:t xml:space="preserve"> on what points </w:t>
      </w:r>
      <w:r w:rsidR="004075FA" w:rsidRPr="00420140">
        <w:rPr>
          <w:rFonts w:ascii="Times New Roman" w:hAnsi="Times New Roman"/>
          <w:i/>
          <w:iCs/>
          <w:sz w:val="24"/>
          <w:szCs w:val="24"/>
        </w:rPr>
        <w:t>in limine</w:t>
      </w:r>
      <w:r w:rsidR="004075FA">
        <w:rPr>
          <w:rFonts w:ascii="Times New Roman" w:hAnsi="Times New Roman"/>
          <w:sz w:val="24"/>
          <w:szCs w:val="24"/>
        </w:rPr>
        <w:t xml:space="preserve"> </w:t>
      </w:r>
      <w:r w:rsidR="004075FA" w:rsidRPr="00420140">
        <w:rPr>
          <w:rFonts w:ascii="Times New Roman" w:hAnsi="Times New Roman"/>
          <w:sz w:val="24"/>
          <w:szCs w:val="24"/>
          <w:u w:val="single"/>
        </w:rPr>
        <w:t>are not</w:t>
      </w:r>
      <w:r w:rsidR="004075FA">
        <w:rPr>
          <w:rFonts w:ascii="Times New Roman" w:hAnsi="Times New Roman"/>
          <w:sz w:val="24"/>
          <w:szCs w:val="24"/>
        </w:rPr>
        <w:t xml:space="preserve"> and </w:t>
      </w:r>
      <w:r w:rsidR="004075FA" w:rsidRPr="00420140">
        <w:rPr>
          <w:rFonts w:ascii="Times New Roman" w:hAnsi="Times New Roman"/>
          <w:sz w:val="24"/>
          <w:szCs w:val="24"/>
          <w:u w:val="single"/>
        </w:rPr>
        <w:t>should not be</w:t>
      </w:r>
      <w:r w:rsidR="004075FA">
        <w:rPr>
          <w:rFonts w:ascii="Times New Roman" w:hAnsi="Times New Roman"/>
          <w:sz w:val="24"/>
          <w:szCs w:val="24"/>
        </w:rPr>
        <w:t xml:space="preserve">. I will return to this point </w:t>
      </w:r>
      <w:r w:rsidR="00E21494">
        <w:rPr>
          <w:rFonts w:ascii="Times New Roman" w:hAnsi="Times New Roman"/>
          <w:sz w:val="24"/>
          <w:szCs w:val="24"/>
        </w:rPr>
        <w:t>in concluding this judgment.</w:t>
      </w:r>
      <w:r w:rsidR="004075FA">
        <w:rPr>
          <w:rFonts w:ascii="Times New Roman" w:hAnsi="Times New Roman"/>
          <w:sz w:val="24"/>
          <w:szCs w:val="24"/>
        </w:rPr>
        <w:t xml:space="preserve">  </w:t>
      </w:r>
      <w:r w:rsidR="004A0A2F" w:rsidRPr="004A0A2F">
        <w:rPr>
          <w:rFonts w:ascii="Times New Roman" w:hAnsi="Times New Roman"/>
          <w:sz w:val="24"/>
          <w:szCs w:val="24"/>
        </w:rPr>
        <w:t>The parties shall be referred to as cited in case (1) HC 4353/21.</w:t>
      </w:r>
    </w:p>
    <w:p w14:paraId="487AA98C" w14:textId="77777777" w:rsidR="006A1EB6" w:rsidRDefault="006A1EB6" w:rsidP="0030207C">
      <w:pPr>
        <w:pStyle w:val="ListParagraph"/>
        <w:spacing w:line="360" w:lineRule="auto"/>
        <w:jc w:val="both"/>
        <w:rPr>
          <w:rFonts w:ascii="Times New Roman" w:hAnsi="Times New Roman"/>
          <w:sz w:val="24"/>
          <w:szCs w:val="24"/>
        </w:rPr>
      </w:pPr>
    </w:p>
    <w:p w14:paraId="31B431DF" w14:textId="08D0A664" w:rsidR="0022741C"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[2] </w:t>
      </w:r>
      <w:r w:rsidR="004075FA">
        <w:rPr>
          <w:rFonts w:ascii="Times New Roman" w:hAnsi="Times New Roman"/>
          <w:sz w:val="24"/>
          <w:szCs w:val="24"/>
        </w:rPr>
        <w:t>In barest of detail</w:t>
      </w:r>
      <w:r w:rsidR="008B768E">
        <w:rPr>
          <w:rFonts w:ascii="Times New Roman" w:hAnsi="Times New Roman"/>
          <w:sz w:val="24"/>
          <w:szCs w:val="24"/>
        </w:rPr>
        <w:t xml:space="preserve"> (</w:t>
      </w:r>
      <w:r>
        <w:rPr>
          <w:rFonts w:ascii="Times New Roman" w:hAnsi="Times New Roman"/>
          <w:sz w:val="24"/>
          <w:szCs w:val="24"/>
        </w:rPr>
        <w:t xml:space="preserve">the </w:t>
      </w:r>
      <w:r w:rsidR="0022741C">
        <w:rPr>
          <w:rFonts w:ascii="Times New Roman" w:hAnsi="Times New Roman"/>
          <w:sz w:val="24"/>
          <w:szCs w:val="24"/>
        </w:rPr>
        <w:t>dispute is laden with complexities</w:t>
      </w:r>
      <w:r w:rsidR="008B768E">
        <w:rPr>
          <w:rFonts w:ascii="Times New Roman" w:hAnsi="Times New Roman"/>
          <w:sz w:val="24"/>
          <w:szCs w:val="24"/>
        </w:rPr>
        <w:t>)</w:t>
      </w:r>
      <w:r w:rsidR="004075FA">
        <w:rPr>
          <w:rFonts w:ascii="Times New Roman" w:hAnsi="Times New Roman"/>
          <w:sz w:val="24"/>
          <w:szCs w:val="24"/>
        </w:rPr>
        <w:t>, the background is as follows</w:t>
      </w:r>
      <w:r w:rsidR="004A6272">
        <w:rPr>
          <w:rFonts w:ascii="Times New Roman" w:hAnsi="Times New Roman"/>
          <w:sz w:val="24"/>
          <w:szCs w:val="24"/>
        </w:rPr>
        <w:t xml:space="preserve">; </w:t>
      </w:r>
      <w:r w:rsidR="004A0A2F">
        <w:rPr>
          <w:rFonts w:ascii="Times New Roman" w:hAnsi="Times New Roman"/>
          <w:sz w:val="24"/>
          <w:szCs w:val="24"/>
        </w:rPr>
        <w:t xml:space="preserve">the </w:t>
      </w:r>
      <w:r w:rsidR="004075FA">
        <w:rPr>
          <w:rFonts w:ascii="Times New Roman" w:hAnsi="Times New Roman"/>
          <w:sz w:val="24"/>
          <w:szCs w:val="24"/>
        </w:rPr>
        <w:t xml:space="preserve">present application seeks to </w:t>
      </w:r>
      <w:r w:rsidR="004A6272">
        <w:rPr>
          <w:rFonts w:ascii="Times New Roman" w:hAnsi="Times New Roman"/>
          <w:sz w:val="24"/>
          <w:szCs w:val="24"/>
        </w:rPr>
        <w:t>reopen determination</w:t>
      </w:r>
      <w:r w:rsidR="004075FA">
        <w:rPr>
          <w:rFonts w:ascii="Times New Roman" w:hAnsi="Times New Roman"/>
          <w:sz w:val="24"/>
          <w:szCs w:val="24"/>
        </w:rPr>
        <w:t xml:space="preserve"> of the rights, title and interest in </w:t>
      </w:r>
      <w:r w:rsidR="004A6272">
        <w:rPr>
          <w:rFonts w:ascii="Times New Roman" w:hAnsi="Times New Roman"/>
          <w:sz w:val="24"/>
          <w:szCs w:val="24"/>
        </w:rPr>
        <w:t xml:space="preserve">a piece of land. This being </w:t>
      </w:r>
      <w:r w:rsidR="004075FA">
        <w:rPr>
          <w:rFonts w:ascii="Times New Roman" w:hAnsi="Times New Roman"/>
          <w:sz w:val="24"/>
          <w:szCs w:val="24"/>
        </w:rPr>
        <w:t xml:space="preserve">stand number </w:t>
      </w:r>
      <w:r w:rsidR="004A6272">
        <w:rPr>
          <w:rFonts w:ascii="Times New Roman" w:hAnsi="Times New Roman"/>
          <w:sz w:val="24"/>
          <w:szCs w:val="24"/>
        </w:rPr>
        <w:t xml:space="preserve">194 Carrick Creagh Township of Carrick Creagh of Section 4 of Borrowdale Estates (“Stand 194 Carrick Creagh”). This property </w:t>
      </w:r>
      <w:r w:rsidR="00420140">
        <w:rPr>
          <w:rFonts w:ascii="Times New Roman" w:hAnsi="Times New Roman"/>
          <w:sz w:val="24"/>
          <w:szCs w:val="24"/>
        </w:rPr>
        <w:t xml:space="preserve">is located in and forms part of </w:t>
      </w:r>
      <w:r w:rsidR="00814268">
        <w:rPr>
          <w:rFonts w:ascii="Times New Roman" w:hAnsi="Times New Roman"/>
          <w:sz w:val="24"/>
          <w:szCs w:val="24"/>
        </w:rPr>
        <w:t xml:space="preserve">a township development or </w:t>
      </w:r>
      <w:r w:rsidR="004A6272">
        <w:rPr>
          <w:rFonts w:ascii="Times New Roman" w:hAnsi="Times New Roman"/>
          <w:sz w:val="24"/>
          <w:szCs w:val="24"/>
        </w:rPr>
        <w:t xml:space="preserve">“scheme” administered by second respondent </w:t>
      </w:r>
      <w:r w:rsidR="00384011">
        <w:rPr>
          <w:rFonts w:ascii="Times New Roman" w:hAnsi="Times New Roman"/>
          <w:sz w:val="24"/>
          <w:szCs w:val="24"/>
        </w:rPr>
        <w:t>(“Arosume”), on</w:t>
      </w:r>
      <w:r w:rsidR="004A6272">
        <w:rPr>
          <w:rFonts w:ascii="Times New Roman" w:hAnsi="Times New Roman"/>
          <w:sz w:val="24"/>
          <w:szCs w:val="24"/>
        </w:rPr>
        <w:t xml:space="preserve"> behalf of, or under the regulatory authority </w:t>
      </w:r>
      <w:r w:rsidR="009C4AF2">
        <w:rPr>
          <w:rFonts w:ascii="Times New Roman" w:hAnsi="Times New Roman"/>
          <w:sz w:val="24"/>
          <w:szCs w:val="24"/>
        </w:rPr>
        <w:t>of third</w:t>
      </w:r>
      <w:r w:rsidR="004A6272">
        <w:rPr>
          <w:rFonts w:ascii="Times New Roman" w:hAnsi="Times New Roman"/>
          <w:sz w:val="24"/>
          <w:szCs w:val="24"/>
        </w:rPr>
        <w:t xml:space="preserve"> respondent</w:t>
      </w:r>
      <w:r w:rsidR="00384011">
        <w:rPr>
          <w:rFonts w:ascii="Times New Roman" w:hAnsi="Times New Roman"/>
          <w:sz w:val="24"/>
          <w:szCs w:val="24"/>
        </w:rPr>
        <w:t xml:space="preserve"> (“The Minister of Local Government”)</w:t>
      </w:r>
      <w:r w:rsidR="009C4AF2">
        <w:rPr>
          <w:rFonts w:ascii="Times New Roman" w:hAnsi="Times New Roman"/>
          <w:sz w:val="24"/>
          <w:szCs w:val="24"/>
        </w:rPr>
        <w:t xml:space="preserve">. </w:t>
      </w:r>
    </w:p>
    <w:p w14:paraId="7307148B" w14:textId="77777777" w:rsidR="0022741C" w:rsidRDefault="0022741C" w:rsidP="0030207C">
      <w:pPr>
        <w:pStyle w:val="ListParagraph"/>
        <w:spacing w:line="360" w:lineRule="auto"/>
        <w:jc w:val="both"/>
        <w:rPr>
          <w:rFonts w:ascii="Times New Roman" w:hAnsi="Times New Roman"/>
          <w:sz w:val="24"/>
          <w:szCs w:val="24"/>
        </w:rPr>
      </w:pPr>
    </w:p>
    <w:p w14:paraId="1004348E" w14:textId="5C2AF0AE" w:rsidR="004A6272" w:rsidRDefault="0022741C"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[ 3] </w:t>
      </w:r>
      <w:r w:rsidR="009C4AF2">
        <w:rPr>
          <w:rFonts w:ascii="Times New Roman" w:hAnsi="Times New Roman"/>
          <w:sz w:val="24"/>
          <w:szCs w:val="24"/>
        </w:rPr>
        <w:t>The</w:t>
      </w:r>
      <w:r w:rsidR="004A6272">
        <w:rPr>
          <w:rFonts w:ascii="Times New Roman" w:hAnsi="Times New Roman"/>
          <w:sz w:val="24"/>
          <w:szCs w:val="24"/>
        </w:rPr>
        <w:t xml:space="preserve"> disputants contesting for the title in Stand 194 Carrick </w:t>
      </w:r>
      <w:r w:rsidR="004A0A2F">
        <w:rPr>
          <w:rFonts w:ascii="Times New Roman" w:hAnsi="Times New Roman"/>
          <w:sz w:val="24"/>
          <w:szCs w:val="24"/>
        </w:rPr>
        <w:t>Creagh are</w:t>
      </w:r>
      <w:r w:rsidR="004A6272">
        <w:rPr>
          <w:rFonts w:ascii="Times New Roman" w:hAnsi="Times New Roman"/>
          <w:sz w:val="24"/>
          <w:szCs w:val="24"/>
        </w:rPr>
        <w:t xml:space="preserve"> </w:t>
      </w:r>
      <w:r w:rsidR="00D54EE3">
        <w:rPr>
          <w:rFonts w:ascii="Times New Roman" w:hAnsi="Times New Roman"/>
          <w:sz w:val="24"/>
          <w:szCs w:val="24"/>
        </w:rPr>
        <w:t>“</w:t>
      </w:r>
      <w:r w:rsidR="004A6272">
        <w:rPr>
          <w:rFonts w:ascii="Times New Roman" w:hAnsi="Times New Roman"/>
          <w:sz w:val="24"/>
          <w:szCs w:val="24"/>
        </w:rPr>
        <w:t>Mrs and Mrs Mudungwe</w:t>
      </w:r>
      <w:r w:rsidR="00D54EE3">
        <w:rPr>
          <w:rFonts w:ascii="Times New Roman" w:hAnsi="Times New Roman"/>
          <w:sz w:val="24"/>
          <w:szCs w:val="24"/>
        </w:rPr>
        <w:t>”</w:t>
      </w:r>
      <w:r w:rsidR="004A6272">
        <w:rPr>
          <w:rFonts w:ascii="Times New Roman" w:hAnsi="Times New Roman"/>
          <w:sz w:val="24"/>
          <w:szCs w:val="24"/>
        </w:rPr>
        <w:t xml:space="preserve"> or first (“Nyarai”) and second (“Witness</w:t>
      </w:r>
      <w:r w:rsidR="009C4AF2">
        <w:rPr>
          <w:rFonts w:ascii="Times New Roman" w:hAnsi="Times New Roman"/>
          <w:sz w:val="24"/>
          <w:szCs w:val="24"/>
        </w:rPr>
        <w:t xml:space="preserve">”) </w:t>
      </w:r>
      <w:r w:rsidR="00384011">
        <w:rPr>
          <w:rFonts w:ascii="Times New Roman" w:hAnsi="Times New Roman"/>
          <w:sz w:val="24"/>
          <w:szCs w:val="24"/>
        </w:rPr>
        <w:t>applicants</w:t>
      </w:r>
      <w:r w:rsidR="004A6272">
        <w:rPr>
          <w:rFonts w:ascii="Times New Roman" w:hAnsi="Times New Roman"/>
          <w:sz w:val="24"/>
          <w:szCs w:val="24"/>
        </w:rPr>
        <w:t xml:space="preserve"> </w:t>
      </w:r>
      <w:r w:rsidR="009C4AF2">
        <w:rPr>
          <w:rFonts w:ascii="Times New Roman" w:hAnsi="Times New Roman"/>
          <w:sz w:val="24"/>
          <w:szCs w:val="24"/>
        </w:rPr>
        <w:t>on one side</w:t>
      </w:r>
      <w:r w:rsidR="00420140">
        <w:rPr>
          <w:rFonts w:ascii="Times New Roman" w:hAnsi="Times New Roman"/>
          <w:sz w:val="24"/>
          <w:szCs w:val="24"/>
        </w:rPr>
        <w:t>,</w:t>
      </w:r>
      <w:r w:rsidR="009C4AF2">
        <w:rPr>
          <w:rFonts w:ascii="Times New Roman" w:hAnsi="Times New Roman"/>
          <w:sz w:val="24"/>
          <w:szCs w:val="24"/>
        </w:rPr>
        <w:t xml:space="preserve"> and a gentleman </w:t>
      </w:r>
      <w:r w:rsidR="00420140">
        <w:rPr>
          <w:rFonts w:ascii="Times New Roman" w:hAnsi="Times New Roman"/>
          <w:sz w:val="24"/>
          <w:szCs w:val="24"/>
        </w:rPr>
        <w:t xml:space="preserve">named </w:t>
      </w:r>
      <w:r w:rsidR="009C4AF2">
        <w:rPr>
          <w:rFonts w:ascii="Times New Roman" w:hAnsi="Times New Roman"/>
          <w:sz w:val="24"/>
          <w:szCs w:val="24"/>
        </w:rPr>
        <w:t>Rhodian Photo (“Rhodian”)</w:t>
      </w:r>
      <w:r w:rsidR="00420140">
        <w:rPr>
          <w:rFonts w:ascii="Times New Roman" w:hAnsi="Times New Roman"/>
          <w:sz w:val="24"/>
          <w:szCs w:val="24"/>
        </w:rPr>
        <w:t>,</w:t>
      </w:r>
      <w:r w:rsidR="009C4AF2">
        <w:rPr>
          <w:rFonts w:ascii="Times New Roman" w:hAnsi="Times New Roman"/>
          <w:sz w:val="24"/>
          <w:szCs w:val="24"/>
        </w:rPr>
        <w:t xml:space="preserve"> the first </w:t>
      </w:r>
      <w:r w:rsidR="00420140">
        <w:rPr>
          <w:rFonts w:ascii="Times New Roman" w:hAnsi="Times New Roman"/>
          <w:sz w:val="24"/>
          <w:szCs w:val="24"/>
        </w:rPr>
        <w:t xml:space="preserve">respondent, on the </w:t>
      </w:r>
      <w:r w:rsidR="00384011">
        <w:rPr>
          <w:rFonts w:ascii="Times New Roman" w:hAnsi="Times New Roman"/>
          <w:sz w:val="24"/>
          <w:szCs w:val="24"/>
        </w:rPr>
        <w:t>other.</w:t>
      </w:r>
      <w:r w:rsidR="009C4AF2">
        <w:rPr>
          <w:rFonts w:ascii="Times New Roman" w:hAnsi="Times New Roman"/>
          <w:sz w:val="24"/>
          <w:szCs w:val="24"/>
        </w:rPr>
        <w:t xml:space="preserve"> </w:t>
      </w:r>
      <w:r w:rsidR="00826FB6">
        <w:rPr>
          <w:rFonts w:ascii="Times New Roman" w:hAnsi="Times New Roman"/>
          <w:sz w:val="24"/>
          <w:szCs w:val="24"/>
        </w:rPr>
        <w:t>Arosume</w:t>
      </w:r>
      <w:r w:rsidR="009C4AF2">
        <w:rPr>
          <w:rFonts w:ascii="Times New Roman" w:hAnsi="Times New Roman"/>
          <w:sz w:val="24"/>
          <w:szCs w:val="24"/>
        </w:rPr>
        <w:t xml:space="preserve"> </w:t>
      </w:r>
      <w:r w:rsidR="00D54EE3">
        <w:rPr>
          <w:rFonts w:ascii="Times New Roman" w:hAnsi="Times New Roman"/>
          <w:sz w:val="24"/>
          <w:szCs w:val="24"/>
        </w:rPr>
        <w:t xml:space="preserve">Property </w:t>
      </w:r>
      <w:r>
        <w:rPr>
          <w:rFonts w:ascii="Times New Roman" w:hAnsi="Times New Roman"/>
          <w:sz w:val="24"/>
          <w:szCs w:val="24"/>
        </w:rPr>
        <w:t xml:space="preserve">is basically in </w:t>
      </w:r>
      <w:r w:rsidR="00D54EE3">
        <w:rPr>
          <w:rFonts w:ascii="Times New Roman" w:hAnsi="Times New Roman"/>
          <w:sz w:val="24"/>
          <w:szCs w:val="24"/>
        </w:rPr>
        <w:t xml:space="preserve">support of </w:t>
      </w:r>
      <w:r>
        <w:rPr>
          <w:rFonts w:ascii="Times New Roman" w:hAnsi="Times New Roman"/>
          <w:sz w:val="24"/>
          <w:szCs w:val="24"/>
        </w:rPr>
        <w:t xml:space="preserve">Mrs and Mr.Mudungwe`s </w:t>
      </w:r>
      <w:r w:rsidR="00420140">
        <w:rPr>
          <w:rFonts w:ascii="Times New Roman" w:hAnsi="Times New Roman"/>
          <w:sz w:val="24"/>
          <w:szCs w:val="24"/>
        </w:rPr>
        <w:t>claim to Stand 194 Carrick Creagh.</w:t>
      </w:r>
      <w:r w:rsidR="009C4AF2">
        <w:rPr>
          <w:rFonts w:ascii="Times New Roman" w:hAnsi="Times New Roman"/>
          <w:sz w:val="24"/>
          <w:szCs w:val="24"/>
        </w:rPr>
        <w:t xml:space="preserve"> The Minister of Local Government is neither a </w:t>
      </w:r>
      <w:r w:rsidR="00C22ED4">
        <w:rPr>
          <w:rFonts w:ascii="Times New Roman" w:hAnsi="Times New Roman"/>
          <w:sz w:val="24"/>
          <w:szCs w:val="24"/>
        </w:rPr>
        <w:t>referee nor</w:t>
      </w:r>
      <w:r w:rsidR="009C4AF2">
        <w:rPr>
          <w:rFonts w:ascii="Times New Roman" w:hAnsi="Times New Roman"/>
          <w:sz w:val="24"/>
          <w:szCs w:val="24"/>
        </w:rPr>
        <w:t xml:space="preserve"> </w:t>
      </w:r>
      <w:r w:rsidR="00384011">
        <w:rPr>
          <w:rFonts w:ascii="Times New Roman" w:hAnsi="Times New Roman"/>
          <w:sz w:val="24"/>
          <w:szCs w:val="24"/>
        </w:rPr>
        <w:t xml:space="preserve">even a </w:t>
      </w:r>
      <w:r w:rsidR="009C4AF2">
        <w:rPr>
          <w:rFonts w:ascii="Times New Roman" w:hAnsi="Times New Roman"/>
          <w:sz w:val="24"/>
          <w:szCs w:val="24"/>
        </w:rPr>
        <w:t xml:space="preserve">spectator </w:t>
      </w:r>
      <w:r w:rsidR="00384011">
        <w:rPr>
          <w:rFonts w:ascii="Times New Roman" w:hAnsi="Times New Roman"/>
          <w:sz w:val="24"/>
          <w:szCs w:val="24"/>
        </w:rPr>
        <w:t xml:space="preserve">to </w:t>
      </w:r>
      <w:r w:rsidR="009C4AF2">
        <w:rPr>
          <w:rFonts w:ascii="Times New Roman" w:hAnsi="Times New Roman"/>
          <w:sz w:val="24"/>
          <w:szCs w:val="24"/>
        </w:rPr>
        <w:t xml:space="preserve">this </w:t>
      </w:r>
      <w:r w:rsidR="00384011">
        <w:rPr>
          <w:rFonts w:ascii="Times New Roman" w:hAnsi="Times New Roman"/>
          <w:sz w:val="24"/>
          <w:szCs w:val="24"/>
        </w:rPr>
        <w:t>contest</w:t>
      </w:r>
      <w:r>
        <w:rPr>
          <w:rFonts w:ascii="Times New Roman" w:hAnsi="Times New Roman"/>
          <w:sz w:val="24"/>
          <w:szCs w:val="24"/>
        </w:rPr>
        <w:t>.</w:t>
      </w:r>
      <w:r w:rsidR="009C4AF2">
        <w:rPr>
          <w:rFonts w:ascii="Times New Roman" w:hAnsi="Times New Roman"/>
          <w:sz w:val="24"/>
          <w:szCs w:val="24"/>
        </w:rPr>
        <w:t xml:space="preserve"> He </w:t>
      </w:r>
      <w:r w:rsidR="00C22ED4">
        <w:rPr>
          <w:rFonts w:ascii="Times New Roman" w:hAnsi="Times New Roman"/>
          <w:sz w:val="24"/>
          <w:szCs w:val="24"/>
        </w:rPr>
        <w:t xml:space="preserve">deferred his regulatory authority to the decision of this court, </w:t>
      </w:r>
      <w:r w:rsidR="002A3C0A">
        <w:rPr>
          <w:rFonts w:ascii="Times New Roman" w:hAnsi="Times New Roman"/>
          <w:sz w:val="24"/>
          <w:szCs w:val="24"/>
        </w:rPr>
        <w:t>confirming preparedness</w:t>
      </w:r>
      <w:r w:rsidR="00C22ED4">
        <w:rPr>
          <w:rFonts w:ascii="Times New Roman" w:hAnsi="Times New Roman"/>
          <w:sz w:val="24"/>
          <w:szCs w:val="24"/>
        </w:rPr>
        <w:t xml:space="preserve"> to abide and be guided by such ruling.</w:t>
      </w:r>
      <w:r w:rsidR="009C4AF2">
        <w:rPr>
          <w:rFonts w:ascii="Times New Roman" w:hAnsi="Times New Roman"/>
          <w:sz w:val="24"/>
          <w:szCs w:val="24"/>
        </w:rPr>
        <w:t xml:space="preserve"> </w:t>
      </w:r>
    </w:p>
    <w:p w14:paraId="0C60E9A1" w14:textId="77777777" w:rsidR="009C4AF2" w:rsidRDefault="009C4AF2" w:rsidP="0030207C">
      <w:pPr>
        <w:pStyle w:val="ListParagraph"/>
        <w:spacing w:line="360" w:lineRule="auto"/>
        <w:jc w:val="both"/>
        <w:rPr>
          <w:rFonts w:ascii="Times New Roman" w:hAnsi="Times New Roman"/>
          <w:sz w:val="24"/>
          <w:szCs w:val="24"/>
        </w:rPr>
      </w:pPr>
    </w:p>
    <w:p w14:paraId="1612F1C3" w14:textId="659726AB" w:rsidR="0022741C"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00814268">
        <w:rPr>
          <w:rFonts w:ascii="Times New Roman" w:hAnsi="Times New Roman"/>
          <w:sz w:val="24"/>
          <w:szCs w:val="24"/>
        </w:rPr>
        <w:t>4]</w:t>
      </w:r>
      <w:r>
        <w:rPr>
          <w:rFonts w:ascii="Times New Roman" w:hAnsi="Times New Roman"/>
          <w:sz w:val="24"/>
          <w:szCs w:val="24"/>
        </w:rPr>
        <w:t xml:space="preserve"> </w:t>
      </w:r>
      <w:r w:rsidR="009C4AF2">
        <w:rPr>
          <w:rFonts w:ascii="Times New Roman" w:hAnsi="Times New Roman"/>
          <w:sz w:val="24"/>
          <w:szCs w:val="24"/>
        </w:rPr>
        <w:t>Rhodian approached this court first on 8 September 2020 under HC 4936/</w:t>
      </w:r>
      <w:r w:rsidR="000A61BD">
        <w:rPr>
          <w:rFonts w:ascii="Times New Roman" w:hAnsi="Times New Roman"/>
          <w:sz w:val="24"/>
          <w:szCs w:val="24"/>
        </w:rPr>
        <w:t>20. He</w:t>
      </w:r>
      <w:r w:rsidR="004264BB">
        <w:rPr>
          <w:rFonts w:ascii="Times New Roman" w:hAnsi="Times New Roman"/>
          <w:sz w:val="24"/>
          <w:szCs w:val="24"/>
        </w:rPr>
        <w:t xml:space="preserve"> sought </w:t>
      </w:r>
      <w:r w:rsidR="009C4AF2">
        <w:rPr>
          <w:rFonts w:ascii="Times New Roman" w:hAnsi="Times New Roman"/>
          <w:sz w:val="24"/>
          <w:szCs w:val="24"/>
        </w:rPr>
        <w:t xml:space="preserve">a declaratur confirming the priority of his rights to the piece of </w:t>
      </w:r>
      <w:r w:rsidR="008B768E">
        <w:rPr>
          <w:rFonts w:ascii="Times New Roman" w:hAnsi="Times New Roman"/>
          <w:sz w:val="24"/>
          <w:szCs w:val="24"/>
        </w:rPr>
        <w:t>land</w:t>
      </w:r>
      <w:r w:rsidR="0022741C">
        <w:rPr>
          <w:rFonts w:ascii="Times New Roman" w:hAnsi="Times New Roman"/>
          <w:sz w:val="24"/>
          <w:szCs w:val="24"/>
        </w:rPr>
        <w:t xml:space="preserve"> over other claimants</w:t>
      </w:r>
      <w:r w:rsidR="008B768E">
        <w:rPr>
          <w:rFonts w:ascii="Times New Roman" w:hAnsi="Times New Roman"/>
          <w:sz w:val="24"/>
          <w:szCs w:val="24"/>
        </w:rPr>
        <w:t>. This</w:t>
      </w:r>
      <w:r w:rsidR="009C4AF2">
        <w:rPr>
          <w:rFonts w:ascii="Times New Roman" w:hAnsi="Times New Roman"/>
          <w:sz w:val="24"/>
          <w:szCs w:val="24"/>
        </w:rPr>
        <w:t xml:space="preserve"> attempt was resisted</w:t>
      </w:r>
      <w:r w:rsidR="008B768E">
        <w:rPr>
          <w:rFonts w:ascii="Times New Roman" w:hAnsi="Times New Roman"/>
          <w:sz w:val="24"/>
          <w:szCs w:val="24"/>
        </w:rPr>
        <w:t xml:space="preserve"> by Arosume Property and Witness. Pending the resolution of th</w:t>
      </w:r>
      <w:r w:rsidR="00384011">
        <w:rPr>
          <w:rFonts w:ascii="Times New Roman" w:hAnsi="Times New Roman"/>
          <w:sz w:val="24"/>
          <w:szCs w:val="24"/>
        </w:rPr>
        <w:t xml:space="preserve">at </w:t>
      </w:r>
      <w:r w:rsidR="008B768E">
        <w:rPr>
          <w:rFonts w:ascii="Times New Roman" w:hAnsi="Times New Roman"/>
          <w:sz w:val="24"/>
          <w:szCs w:val="24"/>
        </w:rPr>
        <w:t xml:space="preserve">dispute, Rhodian returned to court on 14 </w:t>
      </w:r>
      <w:r w:rsidR="00C22ED4">
        <w:rPr>
          <w:rFonts w:ascii="Times New Roman" w:hAnsi="Times New Roman"/>
          <w:sz w:val="24"/>
          <w:szCs w:val="24"/>
        </w:rPr>
        <w:t xml:space="preserve">May 2021 in </w:t>
      </w:r>
      <w:r w:rsidR="00C22ED4" w:rsidRPr="00703B51">
        <w:rPr>
          <w:rFonts w:ascii="Times New Roman" w:hAnsi="Times New Roman"/>
        </w:rPr>
        <w:t>HC</w:t>
      </w:r>
      <w:r w:rsidR="00C22ED4">
        <w:rPr>
          <w:rFonts w:ascii="Times New Roman" w:hAnsi="Times New Roman"/>
          <w:sz w:val="24"/>
          <w:szCs w:val="24"/>
        </w:rPr>
        <w:t xml:space="preserve"> </w:t>
      </w:r>
      <w:r w:rsidR="008B768E">
        <w:rPr>
          <w:rFonts w:ascii="Times New Roman" w:hAnsi="Times New Roman"/>
          <w:sz w:val="24"/>
          <w:szCs w:val="24"/>
        </w:rPr>
        <w:t>2258/</w:t>
      </w:r>
      <w:r w:rsidR="00826FB6">
        <w:rPr>
          <w:rFonts w:ascii="Times New Roman" w:hAnsi="Times New Roman"/>
          <w:sz w:val="24"/>
          <w:szCs w:val="24"/>
        </w:rPr>
        <w:t>21. This time, on an urgent basis and praying</w:t>
      </w:r>
      <w:r w:rsidR="008B768E">
        <w:rPr>
          <w:rFonts w:ascii="Times New Roman" w:hAnsi="Times New Roman"/>
          <w:sz w:val="24"/>
          <w:szCs w:val="24"/>
        </w:rPr>
        <w:t xml:space="preserve"> for an order </w:t>
      </w:r>
      <w:r w:rsidR="00E1093E">
        <w:rPr>
          <w:rFonts w:ascii="Times New Roman" w:hAnsi="Times New Roman"/>
          <w:sz w:val="24"/>
          <w:szCs w:val="24"/>
        </w:rPr>
        <w:t>barring all development</w:t>
      </w:r>
      <w:r w:rsidR="008B768E">
        <w:rPr>
          <w:rFonts w:ascii="Times New Roman" w:hAnsi="Times New Roman"/>
          <w:sz w:val="24"/>
          <w:szCs w:val="24"/>
        </w:rPr>
        <w:t xml:space="preserve"> on the </w:t>
      </w:r>
      <w:r w:rsidR="00E1093E">
        <w:rPr>
          <w:rFonts w:ascii="Times New Roman" w:hAnsi="Times New Roman"/>
          <w:sz w:val="24"/>
          <w:szCs w:val="24"/>
        </w:rPr>
        <w:t xml:space="preserve">stand. </w:t>
      </w:r>
    </w:p>
    <w:p w14:paraId="53A35907" w14:textId="77777777" w:rsidR="0022741C" w:rsidRDefault="0022741C" w:rsidP="0030207C">
      <w:pPr>
        <w:pStyle w:val="ListParagraph"/>
        <w:spacing w:line="360" w:lineRule="auto"/>
        <w:jc w:val="both"/>
        <w:rPr>
          <w:rFonts w:ascii="Times New Roman" w:hAnsi="Times New Roman"/>
          <w:sz w:val="24"/>
          <w:szCs w:val="24"/>
        </w:rPr>
      </w:pPr>
    </w:p>
    <w:p w14:paraId="7CEF883F" w14:textId="6C216CCB" w:rsidR="00FB5693" w:rsidRDefault="0022741C" w:rsidP="0030207C">
      <w:pPr>
        <w:pStyle w:val="ListParagraph"/>
        <w:spacing w:line="360" w:lineRule="auto"/>
        <w:jc w:val="both"/>
        <w:rPr>
          <w:rFonts w:ascii="Times New Roman" w:hAnsi="Times New Roman"/>
          <w:sz w:val="24"/>
          <w:szCs w:val="24"/>
        </w:rPr>
      </w:pPr>
      <w:r>
        <w:rPr>
          <w:rFonts w:ascii="Times New Roman" w:hAnsi="Times New Roman"/>
          <w:sz w:val="24"/>
          <w:szCs w:val="24"/>
        </w:rPr>
        <w:t>[</w:t>
      </w:r>
      <w:r w:rsidR="00703B51">
        <w:rPr>
          <w:rFonts w:ascii="Times New Roman" w:hAnsi="Times New Roman"/>
          <w:sz w:val="24"/>
          <w:szCs w:val="24"/>
        </w:rPr>
        <w:t>5]</w:t>
      </w:r>
      <w:r>
        <w:rPr>
          <w:rFonts w:ascii="Times New Roman" w:hAnsi="Times New Roman"/>
          <w:sz w:val="24"/>
          <w:szCs w:val="24"/>
        </w:rPr>
        <w:t xml:space="preserve"> </w:t>
      </w:r>
      <w:r w:rsidR="00D54EE3">
        <w:rPr>
          <w:rFonts w:ascii="Times New Roman" w:hAnsi="Times New Roman"/>
          <w:sz w:val="24"/>
          <w:szCs w:val="24"/>
        </w:rPr>
        <w:t xml:space="preserve">This court per </w:t>
      </w:r>
      <w:r w:rsidR="00D54EE3" w:rsidRPr="00703B51">
        <w:rPr>
          <w:rFonts w:ascii="Times New Roman" w:hAnsi="Times New Roman"/>
        </w:rPr>
        <w:t>CHITAPI</w:t>
      </w:r>
      <w:r w:rsidR="00E1093E" w:rsidRPr="00703B51">
        <w:rPr>
          <w:rFonts w:ascii="Times New Roman" w:hAnsi="Times New Roman"/>
        </w:rPr>
        <w:t xml:space="preserve"> J</w:t>
      </w:r>
      <w:r w:rsidR="00384011">
        <w:rPr>
          <w:rFonts w:ascii="Times New Roman" w:hAnsi="Times New Roman"/>
          <w:sz w:val="24"/>
          <w:szCs w:val="24"/>
        </w:rPr>
        <w:t xml:space="preserve"> granted Rhodian`s prayer and </w:t>
      </w:r>
      <w:r w:rsidR="00D54EE3">
        <w:rPr>
          <w:rFonts w:ascii="Times New Roman" w:hAnsi="Times New Roman"/>
          <w:sz w:val="24"/>
          <w:szCs w:val="24"/>
        </w:rPr>
        <w:t>issued, on 26</w:t>
      </w:r>
      <w:r w:rsidR="00E1093E">
        <w:rPr>
          <w:rFonts w:ascii="Times New Roman" w:hAnsi="Times New Roman"/>
          <w:sz w:val="24"/>
          <w:szCs w:val="24"/>
        </w:rPr>
        <w:t xml:space="preserve"> May </w:t>
      </w:r>
      <w:r w:rsidR="00D54EE3">
        <w:rPr>
          <w:rFonts w:ascii="Times New Roman" w:hAnsi="Times New Roman"/>
          <w:sz w:val="24"/>
          <w:szCs w:val="24"/>
        </w:rPr>
        <w:t xml:space="preserve">2021, a provisional order </w:t>
      </w:r>
      <w:r w:rsidR="00384011">
        <w:rPr>
          <w:rFonts w:ascii="Times New Roman" w:hAnsi="Times New Roman"/>
          <w:sz w:val="24"/>
          <w:szCs w:val="24"/>
        </w:rPr>
        <w:t xml:space="preserve">in HC 2258/21 prohibiting any </w:t>
      </w:r>
      <w:r w:rsidR="00D54EE3">
        <w:rPr>
          <w:rFonts w:ascii="Times New Roman" w:hAnsi="Times New Roman"/>
          <w:sz w:val="24"/>
          <w:szCs w:val="24"/>
        </w:rPr>
        <w:t xml:space="preserve">such </w:t>
      </w:r>
      <w:r w:rsidR="00384011">
        <w:rPr>
          <w:rFonts w:ascii="Times New Roman" w:hAnsi="Times New Roman"/>
          <w:sz w:val="24"/>
          <w:szCs w:val="24"/>
        </w:rPr>
        <w:t>activity on the piece of land</w:t>
      </w:r>
      <w:r w:rsidR="00D54EE3">
        <w:rPr>
          <w:rFonts w:ascii="Times New Roman" w:hAnsi="Times New Roman"/>
          <w:sz w:val="24"/>
          <w:szCs w:val="24"/>
        </w:rPr>
        <w:t>. This is the order that was</w:t>
      </w:r>
      <w:r w:rsidR="00E1093E">
        <w:rPr>
          <w:rFonts w:ascii="Times New Roman" w:hAnsi="Times New Roman"/>
          <w:sz w:val="24"/>
          <w:szCs w:val="24"/>
        </w:rPr>
        <w:t xml:space="preserve"> </w:t>
      </w:r>
      <w:r w:rsidR="004264BB">
        <w:rPr>
          <w:rFonts w:ascii="Times New Roman" w:hAnsi="Times New Roman"/>
          <w:sz w:val="24"/>
          <w:szCs w:val="24"/>
        </w:rPr>
        <w:t xml:space="preserve">then </w:t>
      </w:r>
      <w:r w:rsidR="00E1093E">
        <w:rPr>
          <w:rFonts w:ascii="Times New Roman" w:hAnsi="Times New Roman"/>
          <w:sz w:val="24"/>
          <w:szCs w:val="24"/>
        </w:rPr>
        <w:t xml:space="preserve">confirmed </w:t>
      </w:r>
      <w:r w:rsidR="00FB5693">
        <w:rPr>
          <w:rFonts w:ascii="Times New Roman" w:hAnsi="Times New Roman"/>
          <w:sz w:val="24"/>
          <w:szCs w:val="24"/>
        </w:rPr>
        <w:t xml:space="preserve">(in default) </w:t>
      </w:r>
      <w:r w:rsidR="00E1093E">
        <w:rPr>
          <w:rFonts w:ascii="Times New Roman" w:hAnsi="Times New Roman"/>
          <w:sz w:val="24"/>
          <w:szCs w:val="24"/>
        </w:rPr>
        <w:t xml:space="preserve">with amendment per </w:t>
      </w:r>
      <w:r w:rsidR="00E1093E" w:rsidRPr="00B84D63">
        <w:rPr>
          <w:rFonts w:ascii="Times New Roman" w:hAnsi="Times New Roman"/>
        </w:rPr>
        <w:t>MANGOTA J</w:t>
      </w:r>
      <w:r w:rsidR="00E1093E">
        <w:rPr>
          <w:rFonts w:ascii="Times New Roman" w:hAnsi="Times New Roman"/>
          <w:sz w:val="24"/>
          <w:szCs w:val="24"/>
        </w:rPr>
        <w:t xml:space="preserve"> on 21 July </w:t>
      </w:r>
      <w:r w:rsidR="00FB5693">
        <w:rPr>
          <w:rFonts w:ascii="Times New Roman" w:hAnsi="Times New Roman"/>
          <w:sz w:val="24"/>
          <w:szCs w:val="24"/>
        </w:rPr>
        <w:t>2021</w:t>
      </w:r>
      <w:r w:rsidR="00D54EE3">
        <w:rPr>
          <w:rFonts w:ascii="Times New Roman" w:hAnsi="Times New Roman"/>
          <w:sz w:val="24"/>
          <w:szCs w:val="24"/>
        </w:rPr>
        <w:t xml:space="preserve">.I may mention that this </w:t>
      </w:r>
      <w:r w:rsidR="00384011">
        <w:rPr>
          <w:rFonts w:ascii="Times New Roman" w:hAnsi="Times New Roman"/>
          <w:sz w:val="24"/>
          <w:szCs w:val="24"/>
        </w:rPr>
        <w:t>confirmation, as amended, effectively</w:t>
      </w:r>
      <w:r w:rsidR="00FB5693">
        <w:rPr>
          <w:rFonts w:ascii="Times New Roman" w:hAnsi="Times New Roman"/>
          <w:sz w:val="24"/>
          <w:szCs w:val="24"/>
        </w:rPr>
        <w:t xml:space="preserve"> issued the </w:t>
      </w:r>
      <w:r w:rsidR="00384011">
        <w:rPr>
          <w:rFonts w:ascii="Times New Roman" w:hAnsi="Times New Roman"/>
          <w:sz w:val="24"/>
          <w:szCs w:val="24"/>
        </w:rPr>
        <w:t>relief which Rhodian had originally sought under his first application for a declaratur in</w:t>
      </w:r>
      <w:r w:rsidR="00FB5693">
        <w:rPr>
          <w:rFonts w:ascii="Times New Roman" w:hAnsi="Times New Roman"/>
          <w:sz w:val="24"/>
          <w:szCs w:val="24"/>
        </w:rPr>
        <w:t xml:space="preserve"> HC 4936/20.</w:t>
      </w:r>
      <w:r w:rsidR="00D54EE3">
        <w:rPr>
          <w:rFonts w:ascii="Times New Roman" w:hAnsi="Times New Roman"/>
          <w:sz w:val="24"/>
          <w:szCs w:val="24"/>
        </w:rPr>
        <w:t xml:space="preserve"> So on that day, Rhodian</w:t>
      </w:r>
      <w:r w:rsidR="00FB5693">
        <w:rPr>
          <w:rFonts w:ascii="Times New Roman" w:hAnsi="Times New Roman"/>
          <w:sz w:val="24"/>
          <w:szCs w:val="24"/>
        </w:rPr>
        <w:t xml:space="preserve"> won his belt </w:t>
      </w:r>
      <w:r w:rsidR="00D54EE3">
        <w:rPr>
          <w:rFonts w:ascii="Times New Roman" w:hAnsi="Times New Roman"/>
          <w:sz w:val="24"/>
          <w:szCs w:val="24"/>
        </w:rPr>
        <w:t xml:space="preserve">without throwing a </w:t>
      </w:r>
      <w:r w:rsidR="004264BB">
        <w:rPr>
          <w:rFonts w:ascii="Times New Roman" w:hAnsi="Times New Roman"/>
          <w:sz w:val="24"/>
          <w:szCs w:val="24"/>
        </w:rPr>
        <w:t xml:space="preserve">punch. </w:t>
      </w:r>
      <w:r w:rsidR="000A61BD">
        <w:rPr>
          <w:rFonts w:ascii="Times New Roman" w:hAnsi="Times New Roman"/>
          <w:sz w:val="24"/>
          <w:szCs w:val="24"/>
        </w:rPr>
        <w:t>He is</w:t>
      </w:r>
      <w:r w:rsidR="00FB5693">
        <w:rPr>
          <w:rFonts w:ascii="Times New Roman" w:hAnsi="Times New Roman"/>
          <w:sz w:val="24"/>
          <w:szCs w:val="24"/>
        </w:rPr>
        <w:t xml:space="preserve"> now resisting</w:t>
      </w:r>
      <w:r w:rsidR="00384011">
        <w:rPr>
          <w:rFonts w:ascii="Times New Roman" w:hAnsi="Times New Roman"/>
          <w:sz w:val="24"/>
          <w:szCs w:val="24"/>
        </w:rPr>
        <w:t xml:space="preserve"> all attempts</w:t>
      </w:r>
      <w:r w:rsidR="00D54EE3">
        <w:rPr>
          <w:rFonts w:ascii="Times New Roman" w:hAnsi="Times New Roman"/>
          <w:sz w:val="24"/>
          <w:szCs w:val="24"/>
        </w:rPr>
        <w:t xml:space="preserve"> </w:t>
      </w:r>
      <w:r w:rsidR="00FB5693">
        <w:rPr>
          <w:rFonts w:ascii="Times New Roman" w:hAnsi="Times New Roman"/>
          <w:sz w:val="24"/>
          <w:szCs w:val="24"/>
        </w:rPr>
        <w:t xml:space="preserve">to </w:t>
      </w:r>
      <w:r w:rsidR="00D54EE3">
        <w:rPr>
          <w:rFonts w:ascii="Times New Roman" w:hAnsi="Times New Roman"/>
          <w:sz w:val="24"/>
          <w:szCs w:val="24"/>
        </w:rPr>
        <w:t>strip him of his title.</w:t>
      </w:r>
    </w:p>
    <w:p w14:paraId="0C4AD306" w14:textId="77777777" w:rsidR="00FB5693" w:rsidRDefault="00FB5693" w:rsidP="0030207C">
      <w:pPr>
        <w:pStyle w:val="ListParagraph"/>
        <w:spacing w:line="360" w:lineRule="auto"/>
        <w:jc w:val="both"/>
        <w:rPr>
          <w:rFonts w:ascii="Times New Roman" w:hAnsi="Times New Roman"/>
          <w:sz w:val="24"/>
          <w:szCs w:val="24"/>
        </w:rPr>
      </w:pPr>
    </w:p>
    <w:p w14:paraId="2D8E43A7" w14:textId="58D4CDD1" w:rsidR="00FB5693"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703B51">
        <w:rPr>
          <w:rFonts w:ascii="Times New Roman" w:hAnsi="Times New Roman"/>
          <w:sz w:val="24"/>
          <w:szCs w:val="24"/>
        </w:rPr>
        <w:t>6</w:t>
      </w:r>
      <w:r w:rsidR="00814268">
        <w:rPr>
          <w:rFonts w:ascii="Times New Roman" w:hAnsi="Times New Roman"/>
          <w:sz w:val="24"/>
          <w:szCs w:val="24"/>
        </w:rPr>
        <w:t>]</w:t>
      </w:r>
      <w:r>
        <w:rPr>
          <w:rFonts w:ascii="Times New Roman" w:hAnsi="Times New Roman"/>
          <w:sz w:val="24"/>
          <w:szCs w:val="24"/>
        </w:rPr>
        <w:t xml:space="preserve"> </w:t>
      </w:r>
      <w:r w:rsidR="00FB5693">
        <w:rPr>
          <w:rFonts w:ascii="Times New Roman" w:hAnsi="Times New Roman"/>
          <w:sz w:val="24"/>
          <w:szCs w:val="24"/>
        </w:rPr>
        <w:t xml:space="preserve">Those attempts </w:t>
      </w:r>
      <w:r w:rsidR="00384011">
        <w:rPr>
          <w:rFonts w:ascii="Times New Roman" w:hAnsi="Times New Roman"/>
          <w:sz w:val="24"/>
          <w:szCs w:val="24"/>
        </w:rPr>
        <w:t xml:space="preserve">are represented by </w:t>
      </w:r>
      <w:r w:rsidR="00FB5693">
        <w:rPr>
          <w:rFonts w:ascii="Times New Roman" w:hAnsi="Times New Roman"/>
          <w:sz w:val="24"/>
          <w:szCs w:val="24"/>
        </w:rPr>
        <w:t xml:space="preserve">two cross applications for rescission of judgment </w:t>
      </w:r>
      <w:r w:rsidR="00384011">
        <w:rPr>
          <w:rFonts w:ascii="Times New Roman" w:hAnsi="Times New Roman"/>
          <w:sz w:val="24"/>
          <w:szCs w:val="24"/>
        </w:rPr>
        <w:t xml:space="preserve">HC 4354/21 and HC 4383/21 </w:t>
      </w:r>
      <w:r w:rsidR="00FB5693">
        <w:rPr>
          <w:rFonts w:ascii="Times New Roman" w:hAnsi="Times New Roman"/>
          <w:sz w:val="24"/>
          <w:szCs w:val="24"/>
        </w:rPr>
        <w:t xml:space="preserve">which have since been consolidated. </w:t>
      </w:r>
      <w:r w:rsidR="00D54EE3">
        <w:rPr>
          <w:rFonts w:ascii="Times New Roman" w:hAnsi="Times New Roman"/>
          <w:sz w:val="24"/>
          <w:szCs w:val="24"/>
        </w:rPr>
        <w:t xml:space="preserve">Mrs and Mr. Mudungwe </w:t>
      </w:r>
      <w:r w:rsidR="00FB5693">
        <w:rPr>
          <w:rFonts w:ascii="Times New Roman" w:hAnsi="Times New Roman"/>
          <w:sz w:val="24"/>
          <w:szCs w:val="24"/>
        </w:rPr>
        <w:t xml:space="preserve">filed their </w:t>
      </w:r>
      <w:r w:rsidR="00384011">
        <w:rPr>
          <w:rFonts w:ascii="Times New Roman" w:hAnsi="Times New Roman"/>
          <w:sz w:val="24"/>
          <w:szCs w:val="24"/>
        </w:rPr>
        <w:t xml:space="preserve">application HC 4353/21 </w:t>
      </w:r>
      <w:r w:rsidR="00FB5693">
        <w:rPr>
          <w:rFonts w:ascii="Times New Roman" w:hAnsi="Times New Roman"/>
          <w:sz w:val="24"/>
          <w:szCs w:val="24"/>
        </w:rPr>
        <w:t xml:space="preserve">for rescission of this court`s order per </w:t>
      </w:r>
      <w:r w:rsidR="00FB5693" w:rsidRPr="00B84D63">
        <w:rPr>
          <w:rFonts w:ascii="Times New Roman" w:hAnsi="Times New Roman"/>
        </w:rPr>
        <w:t>MANGOTA J</w:t>
      </w:r>
      <w:r w:rsidR="00FB5693">
        <w:rPr>
          <w:rFonts w:ascii="Times New Roman" w:hAnsi="Times New Roman"/>
          <w:sz w:val="24"/>
          <w:szCs w:val="24"/>
        </w:rPr>
        <w:t xml:space="preserve">, on 31 August 2021.Hard on </w:t>
      </w:r>
      <w:r w:rsidR="004264BB">
        <w:rPr>
          <w:rFonts w:ascii="Times New Roman" w:hAnsi="Times New Roman"/>
          <w:sz w:val="24"/>
          <w:szCs w:val="24"/>
        </w:rPr>
        <w:t>their heels</w:t>
      </w:r>
      <w:r w:rsidR="00FB5693">
        <w:rPr>
          <w:rFonts w:ascii="Times New Roman" w:hAnsi="Times New Roman"/>
          <w:sz w:val="24"/>
          <w:szCs w:val="24"/>
        </w:rPr>
        <w:t xml:space="preserve"> came Arosume the very next day</w:t>
      </w:r>
      <w:r w:rsidR="004264BB">
        <w:rPr>
          <w:rFonts w:ascii="Times New Roman" w:hAnsi="Times New Roman"/>
          <w:sz w:val="24"/>
          <w:szCs w:val="24"/>
        </w:rPr>
        <w:t>,</w:t>
      </w:r>
      <w:r w:rsidR="00FB5693">
        <w:rPr>
          <w:rFonts w:ascii="Times New Roman" w:hAnsi="Times New Roman"/>
          <w:sz w:val="24"/>
          <w:szCs w:val="24"/>
        </w:rPr>
        <w:t xml:space="preserve"> with their own application </w:t>
      </w:r>
      <w:r w:rsidR="00384011">
        <w:rPr>
          <w:rFonts w:ascii="Times New Roman" w:hAnsi="Times New Roman"/>
          <w:sz w:val="24"/>
          <w:szCs w:val="24"/>
        </w:rPr>
        <w:t xml:space="preserve">HC 4383/21 </w:t>
      </w:r>
      <w:r w:rsidR="00FB5693">
        <w:rPr>
          <w:rFonts w:ascii="Times New Roman" w:hAnsi="Times New Roman"/>
          <w:sz w:val="24"/>
          <w:szCs w:val="24"/>
        </w:rPr>
        <w:t xml:space="preserve">to rescind the self-same order. Rhodian </w:t>
      </w:r>
      <w:r w:rsidR="004264BB">
        <w:rPr>
          <w:rFonts w:ascii="Times New Roman" w:hAnsi="Times New Roman"/>
          <w:sz w:val="24"/>
          <w:szCs w:val="24"/>
        </w:rPr>
        <w:t>opposed both applications a</w:t>
      </w:r>
      <w:r w:rsidR="00FB5693">
        <w:rPr>
          <w:rFonts w:ascii="Times New Roman" w:hAnsi="Times New Roman"/>
          <w:sz w:val="24"/>
          <w:szCs w:val="24"/>
        </w:rPr>
        <w:t xml:space="preserve">nd commenced his defence with a barrage of objections </w:t>
      </w:r>
      <w:r w:rsidR="00FB5693" w:rsidRPr="004264BB">
        <w:rPr>
          <w:rFonts w:ascii="Times New Roman" w:hAnsi="Times New Roman"/>
          <w:i/>
          <w:iCs/>
          <w:sz w:val="24"/>
          <w:szCs w:val="24"/>
        </w:rPr>
        <w:t>in limine</w:t>
      </w:r>
      <w:r w:rsidR="00FB5693">
        <w:rPr>
          <w:rFonts w:ascii="Times New Roman" w:hAnsi="Times New Roman"/>
          <w:sz w:val="24"/>
          <w:szCs w:val="24"/>
        </w:rPr>
        <w:t>.</w:t>
      </w:r>
    </w:p>
    <w:p w14:paraId="45C63988" w14:textId="77777777" w:rsidR="00FB5693" w:rsidRDefault="00FB5693" w:rsidP="0030207C">
      <w:pPr>
        <w:pStyle w:val="ListParagraph"/>
        <w:spacing w:line="360" w:lineRule="auto"/>
        <w:jc w:val="both"/>
        <w:rPr>
          <w:rFonts w:ascii="Times New Roman" w:hAnsi="Times New Roman"/>
          <w:sz w:val="24"/>
          <w:szCs w:val="24"/>
        </w:rPr>
      </w:pPr>
    </w:p>
    <w:p w14:paraId="1CD90399" w14:textId="3C942BBA" w:rsidR="00703B51"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703B51">
        <w:rPr>
          <w:rFonts w:ascii="Times New Roman" w:hAnsi="Times New Roman"/>
          <w:sz w:val="24"/>
          <w:szCs w:val="24"/>
        </w:rPr>
        <w:t>7</w:t>
      </w:r>
      <w:r w:rsidR="00814268">
        <w:rPr>
          <w:rFonts w:ascii="Times New Roman" w:hAnsi="Times New Roman"/>
          <w:sz w:val="24"/>
          <w:szCs w:val="24"/>
        </w:rPr>
        <w:t>]</w:t>
      </w:r>
      <w:r>
        <w:rPr>
          <w:rFonts w:ascii="Times New Roman" w:hAnsi="Times New Roman"/>
          <w:sz w:val="24"/>
          <w:szCs w:val="24"/>
        </w:rPr>
        <w:t xml:space="preserve"> </w:t>
      </w:r>
      <w:r w:rsidR="0080007F">
        <w:rPr>
          <w:rFonts w:ascii="Times New Roman" w:hAnsi="Times New Roman"/>
          <w:sz w:val="24"/>
          <w:szCs w:val="24"/>
        </w:rPr>
        <w:t xml:space="preserve">Reduced from a much longer original list, the objections raised </w:t>
      </w:r>
      <w:r w:rsidR="00384011">
        <w:rPr>
          <w:rFonts w:ascii="Times New Roman" w:hAnsi="Times New Roman"/>
          <w:sz w:val="24"/>
          <w:szCs w:val="24"/>
        </w:rPr>
        <w:t xml:space="preserve">went </w:t>
      </w:r>
      <w:r w:rsidR="004264BB">
        <w:rPr>
          <w:rFonts w:ascii="Times New Roman" w:hAnsi="Times New Roman"/>
          <w:sz w:val="24"/>
          <w:szCs w:val="24"/>
        </w:rPr>
        <w:t>as follows ;-</w:t>
      </w:r>
      <w:r w:rsidR="00FB5693">
        <w:rPr>
          <w:rFonts w:ascii="Times New Roman" w:hAnsi="Times New Roman"/>
          <w:sz w:val="24"/>
          <w:szCs w:val="24"/>
        </w:rPr>
        <w:t xml:space="preserve">(a) </w:t>
      </w:r>
      <w:r w:rsidR="004264BB">
        <w:rPr>
          <w:rFonts w:ascii="Times New Roman" w:hAnsi="Times New Roman"/>
          <w:sz w:val="24"/>
          <w:szCs w:val="24"/>
        </w:rPr>
        <w:t xml:space="preserve">that </w:t>
      </w:r>
      <w:r w:rsidR="002C446C">
        <w:rPr>
          <w:rFonts w:ascii="Times New Roman" w:hAnsi="Times New Roman"/>
          <w:sz w:val="24"/>
          <w:szCs w:val="24"/>
        </w:rPr>
        <w:t xml:space="preserve">the relief sought was incompetent, (b) that Witness was not properly before the court (c) that Arosume was also not properly the court, (d) that there was material non-disclosure by basically all the deponents to the affidavits before the court. In </w:t>
      </w:r>
      <w:r w:rsidR="0057181C">
        <w:rPr>
          <w:rFonts w:ascii="Times New Roman" w:hAnsi="Times New Roman"/>
          <w:sz w:val="24"/>
          <w:szCs w:val="24"/>
        </w:rPr>
        <w:t>argument, counsel for Rhodian basically dwelt on material non-disclosure and the incompetency of the relief</w:t>
      </w:r>
      <w:r w:rsidR="004264BB">
        <w:rPr>
          <w:rFonts w:ascii="Times New Roman" w:hAnsi="Times New Roman"/>
          <w:sz w:val="24"/>
          <w:szCs w:val="24"/>
        </w:rPr>
        <w:t xml:space="preserve"> and abandoned (properly so) objections (b) and (c). </w:t>
      </w:r>
    </w:p>
    <w:p w14:paraId="5B58AAEE" w14:textId="77777777" w:rsidR="00703B51" w:rsidRDefault="00703B51" w:rsidP="0030207C">
      <w:pPr>
        <w:pStyle w:val="ListParagraph"/>
        <w:spacing w:line="360" w:lineRule="auto"/>
        <w:jc w:val="both"/>
        <w:rPr>
          <w:rFonts w:ascii="Times New Roman" w:hAnsi="Times New Roman"/>
          <w:sz w:val="24"/>
          <w:szCs w:val="24"/>
        </w:rPr>
      </w:pPr>
    </w:p>
    <w:p w14:paraId="6099E468" w14:textId="593F6A2F" w:rsidR="009C4AF2" w:rsidRDefault="00703B51" w:rsidP="0030207C">
      <w:pPr>
        <w:pStyle w:val="ListParagraph"/>
        <w:spacing w:line="360" w:lineRule="auto"/>
        <w:jc w:val="both"/>
        <w:rPr>
          <w:rFonts w:ascii="Times New Roman" w:hAnsi="Times New Roman"/>
          <w:sz w:val="24"/>
          <w:szCs w:val="24"/>
        </w:rPr>
      </w:pPr>
      <w:r>
        <w:rPr>
          <w:rFonts w:ascii="Times New Roman" w:hAnsi="Times New Roman"/>
          <w:sz w:val="24"/>
          <w:szCs w:val="24"/>
        </w:rPr>
        <w:lastRenderedPageBreak/>
        <w:t xml:space="preserve">[8] </w:t>
      </w:r>
      <w:r w:rsidR="004264BB">
        <w:rPr>
          <w:rFonts w:ascii="Times New Roman" w:hAnsi="Times New Roman"/>
          <w:sz w:val="24"/>
          <w:szCs w:val="24"/>
        </w:rPr>
        <w:t>These objections were opposed by the applicants. I will return to the objections after dealing with the circumstances under which the default judgment was obtained</w:t>
      </w:r>
      <w:r>
        <w:rPr>
          <w:rFonts w:ascii="Times New Roman" w:hAnsi="Times New Roman"/>
          <w:sz w:val="24"/>
          <w:szCs w:val="24"/>
        </w:rPr>
        <w:t>,</w:t>
      </w:r>
      <w:r w:rsidR="004264BB">
        <w:rPr>
          <w:rFonts w:ascii="Times New Roman" w:hAnsi="Times New Roman"/>
          <w:sz w:val="24"/>
          <w:szCs w:val="24"/>
        </w:rPr>
        <w:t xml:space="preserve"> </w:t>
      </w:r>
      <w:r>
        <w:rPr>
          <w:rFonts w:ascii="Times New Roman" w:hAnsi="Times New Roman"/>
          <w:sz w:val="24"/>
          <w:szCs w:val="24"/>
        </w:rPr>
        <w:t>which circumstances are intertwined</w:t>
      </w:r>
      <w:r w:rsidR="004264BB">
        <w:rPr>
          <w:rFonts w:ascii="Times New Roman" w:hAnsi="Times New Roman"/>
          <w:sz w:val="24"/>
          <w:szCs w:val="24"/>
        </w:rPr>
        <w:t xml:space="preserve"> with the objections </w:t>
      </w:r>
      <w:r>
        <w:rPr>
          <w:rFonts w:ascii="Times New Roman" w:hAnsi="Times New Roman"/>
          <w:sz w:val="24"/>
          <w:szCs w:val="24"/>
        </w:rPr>
        <w:t xml:space="preserve">in question. </w:t>
      </w:r>
    </w:p>
    <w:p w14:paraId="0ADC46FF" w14:textId="77777777" w:rsidR="00826FB6" w:rsidRDefault="00826FB6" w:rsidP="0030207C">
      <w:pPr>
        <w:pStyle w:val="ListParagraph"/>
        <w:spacing w:line="360" w:lineRule="auto"/>
        <w:jc w:val="both"/>
        <w:rPr>
          <w:rFonts w:ascii="Times New Roman" w:hAnsi="Times New Roman"/>
          <w:sz w:val="24"/>
          <w:szCs w:val="24"/>
        </w:rPr>
      </w:pPr>
    </w:p>
    <w:p w14:paraId="3F9C569D" w14:textId="69FEA846" w:rsidR="00826FB6" w:rsidRDefault="0057181C" w:rsidP="0030207C">
      <w:pPr>
        <w:pStyle w:val="ListParagraph"/>
        <w:spacing w:line="360" w:lineRule="auto"/>
        <w:jc w:val="both"/>
        <w:rPr>
          <w:rFonts w:ascii="Times New Roman" w:hAnsi="Times New Roman"/>
        </w:rPr>
      </w:pPr>
      <w:r w:rsidRPr="00B84D63">
        <w:rPr>
          <w:rFonts w:ascii="Times New Roman" w:hAnsi="Times New Roman"/>
        </w:rPr>
        <w:t>THE DEFAULT JUDGMENT</w:t>
      </w:r>
    </w:p>
    <w:p w14:paraId="698A74FF" w14:textId="77777777" w:rsidR="00703B51" w:rsidRPr="00B84D63" w:rsidRDefault="00703B51" w:rsidP="0030207C">
      <w:pPr>
        <w:pStyle w:val="ListParagraph"/>
        <w:spacing w:line="360" w:lineRule="auto"/>
        <w:jc w:val="both"/>
        <w:rPr>
          <w:rFonts w:ascii="Times New Roman" w:hAnsi="Times New Roman"/>
        </w:rPr>
      </w:pPr>
    </w:p>
    <w:p w14:paraId="6BB3A4CB" w14:textId="7A8F3FD9" w:rsidR="009878D3"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w:t>
      </w:r>
      <w:r w:rsidR="00703B51">
        <w:rPr>
          <w:rFonts w:ascii="Times New Roman" w:hAnsi="Times New Roman"/>
          <w:sz w:val="24"/>
          <w:szCs w:val="24"/>
        </w:rPr>
        <w:t>9</w:t>
      </w:r>
      <w:r w:rsidR="00814268">
        <w:rPr>
          <w:rFonts w:ascii="Times New Roman" w:hAnsi="Times New Roman"/>
          <w:sz w:val="24"/>
          <w:szCs w:val="24"/>
        </w:rPr>
        <w:t>]</w:t>
      </w:r>
      <w:r>
        <w:rPr>
          <w:rFonts w:ascii="Times New Roman" w:hAnsi="Times New Roman"/>
          <w:sz w:val="24"/>
          <w:szCs w:val="24"/>
        </w:rPr>
        <w:t xml:space="preserve"> </w:t>
      </w:r>
      <w:r w:rsidR="00B94DC6">
        <w:rPr>
          <w:rFonts w:ascii="Times New Roman" w:hAnsi="Times New Roman"/>
          <w:sz w:val="24"/>
          <w:szCs w:val="24"/>
        </w:rPr>
        <w:t>The applicants seeking rescission,</w:t>
      </w:r>
      <w:r w:rsidR="0080007F">
        <w:rPr>
          <w:rFonts w:ascii="Times New Roman" w:hAnsi="Times New Roman"/>
          <w:sz w:val="24"/>
          <w:szCs w:val="24"/>
        </w:rPr>
        <w:t xml:space="preserve"> Mrs and Mr Mudungwe on one side, </w:t>
      </w:r>
      <w:r w:rsidR="00455D02">
        <w:rPr>
          <w:rFonts w:ascii="Times New Roman" w:hAnsi="Times New Roman"/>
          <w:sz w:val="24"/>
          <w:szCs w:val="24"/>
        </w:rPr>
        <w:t>and Arosume</w:t>
      </w:r>
      <w:r w:rsidR="0080007F">
        <w:rPr>
          <w:rFonts w:ascii="Times New Roman" w:hAnsi="Times New Roman"/>
          <w:sz w:val="24"/>
          <w:szCs w:val="24"/>
        </w:rPr>
        <w:t xml:space="preserve"> Property on the other, </w:t>
      </w:r>
      <w:r w:rsidR="00455D02">
        <w:rPr>
          <w:rFonts w:ascii="Times New Roman" w:hAnsi="Times New Roman"/>
          <w:sz w:val="24"/>
          <w:szCs w:val="24"/>
        </w:rPr>
        <w:t>all allege</w:t>
      </w:r>
      <w:r w:rsidR="0057181C">
        <w:rPr>
          <w:rFonts w:ascii="Times New Roman" w:hAnsi="Times New Roman"/>
          <w:sz w:val="24"/>
          <w:szCs w:val="24"/>
        </w:rPr>
        <w:t xml:space="preserve"> sharp practice on the part of Rhodian`s legal practitioners. More particularly th</w:t>
      </w:r>
      <w:r w:rsidR="00B94DC6">
        <w:rPr>
          <w:rFonts w:ascii="Times New Roman" w:hAnsi="Times New Roman"/>
          <w:sz w:val="24"/>
          <w:szCs w:val="24"/>
        </w:rPr>
        <w:t xml:space="preserve">e applicants accuse </w:t>
      </w:r>
      <w:r w:rsidR="0057181C">
        <w:rPr>
          <w:rFonts w:ascii="Times New Roman" w:hAnsi="Times New Roman"/>
          <w:sz w:val="24"/>
          <w:szCs w:val="24"/>
        </w:rPr>
        <w:t xml:space="preserve">the said legal practitioners </w:t>
      </w:r>
      <w:r w:rsidR="00B94DC6">
        <w:rPr>
          <w:rFonts w:ascii="Times New Roman" w:hAnsi="Times New Roman"/>
          <w:sz w:val="24"/>
          <w:szCs w:val="24"/>
        </w:rPr>
        <w:t xml:space="preserve">of </w:t>
      </w:r>
      <w:r w:rsidR="0089119C">
        <w:rPr>
          <w:rFonts w:ascii="Times New Roman" w:hAnsi="Times New Roman"/>
          <w:sz w:val="24"/>
          <w:szCs w:val="24"/>
        </w:rPr>
        <w:t xml:space="preserve">deliberately, calculatedly and </w:t>
      </w:r>
      <w:r w:rsidR="0057181C">
        <w:rPr>
          <w:rFonts w:ascii="Times New Roman" w:hAnsi="Times New Roman"/>
          <w:sz w:val="24"/>
          <w:szCs w:val="24"/>
        </w:rPr>
        <w:t>surreptitiously snatch</w:t>
      </w:r>
      <w:r w:rsidR="00B94DC6">
        <w:rPr>
          <w:rFonts w:ascii="Times New Roman" w:hAnsi="Times New Roman"/>
          <w:sz w:val="24"/>
          <w:szCs w:val="24"/>
        </w:rPr>
        <w:t xml:space="preserve">ing </w:t>
      </w:r>
      <w:r w:rsidR="0057181C">
        <w:rPr>
          <w:rFonts w:ascii="Times New Roman" w:hAnsi="Times New Roman"/>
          <w:sz w:val="24"/>
          <w:szCs w:val="24"/>
        </w:rPr>
        <w:t xml:space="preserve">judgment </w:t>
      </w:r>
      <w:r w:rsidR="0089119C">
        <w:rPr>
          <w:rFonts w:ascii="Times New Roman" w:hAnsi="Times New Roman"/>
          <w:sz w:val="24"/>
          <w:szCs w:val="24"/>
        </w:rPr>
        <w:t>during a moratorium to explore settlement options.</w:t>
      </w:r>
      <w:r w:rsidR="0057181C">
        <w:rPr>
          <w:rFonts w:ascii="Times New Roman" w:hAnsi="Times New Roman"/>
          <w:sz w:val="24"/>
          <w:szCs w:val="24"/>
        </w:rPr>
        <w:t xml:space="preserve"> </w:t>
      </w:r>
      <w:r w:rsidR="009878D3">
        <w:rPr>
          <w:rFonts w:ascii="Times New Roman" w:hAnsi="Times New Roman"/>
          <w:sz w:val="24"/>
          <w:szCs w:val="24"/>
        </w:rPr>
        <w:t xml:space="preserve">Rhodian fiercely contests this </w:t>
      </w:r>
      <w:r w:rsidR="0080007F">
        <w:rPr>
          <w:rFonts w:ascii="Times New Roman" w:hAnsi="Times New Roman"/>
          <w:sz w:val="24"/>
          <w:szCs w:val="24"/>
        </w:rPr>
        <w:t>averment. He argued i</w:t>
      </w:r>
      <w:r w:rsidR="009878D3">
        <w:rPr>
          <w:rFonts w:ascii="Times New Roman" w:hAnsi="Times New Roman"/>
          <w:sz w:val="24"/>
          <w:szCs w:val="24"/>
        </w:rPr>
        <w:t>nstead</w:t>
      </w:r>
      <w:r w:rsidR="00B94DC6">
        <w:rPr>
          <w:rFonts w:ascii="Times New Roman" w:hAnsi="Times New Roman"/>
          <w:sz w:val="24"/>
          <w:szCs w:val="24"/>
        </w:rPr>
        <w:t>,</w:t>
      </w:r>
      <w:r w:rsidR="009878D3">
        <w:rPr>
          <w:rFonts w:ascii="Times New Roman" w:hAnsi="Times New Roman"/>
          <w:sz w:val="24"/>
          <w:szCs w:val="24"/>
        </w:rPr>
        <w:t xml:space="preserve"> that the applicants and their lawyers were </w:t>
      </w:r>
      <w:r w:rsidR="0089119C">
        <w:rPr>
          <w:rFonts w:ascii="Times New Roman" w:hAnsi="Times New Roman"/>
          <w:sz w:val="24"/>
          <w:szCs w:val="24"/>
        </w:rPr>
        <w:t xml:space="preserve">simply imprudent </w:t>
      </w:r>
      <w:r w:rsidR="0080007F">
        <w:rPr>
          <w:rFonts w:ascii="Times New Roman" w:hAnsi="Times New Roman"/>
          <w:sz w:val="24"/>
          <w:szCs w:val="24"/>
        </w:rPr>
        <w:t xml:space="preserve">in letting their guard down. He submitted that no blame could be ascribed to </w:t>
      </w:r>
      <w:r w:rsidR="00B94DC6">
        <w:rPr>
          <w:rFonts w:ascii="Times New Roman" w:hAnsi="Times New Roman"/>
          <w:sz w:val="24"/>
          <w:szCs w:val="24"/>
        </w:rPr>
        <w:t xml:space="preserve">him or his legal practitioners. They simply moved </w:t>
      </w:r>
      <w:r w:rsidR="0080007F">
        <w:rPr>
          <w:rFonts w:ascii="Times New Roman" w:hAnsi="Times New Roman"/>
          <w:sz w:val="24"/>
          <w:szCs w:val="24"/>
        </w:rPr>
        <w:t>to ex</w:t>
      </w:r>
      <w:r w:rsidR="00B94DC6">
        <w:rPr>
          <w:rFonts w:ascii="Times New Roman" w:hAnsi="Times New Roman"/>
          <w:sz w:val="24"/>
          <w:szCs w:val="24"/>
        </w:rPr>
        <w:t xml:space="preserve">ercise their entitlement in terms of the rules of court by seeking and </w:t>
      </w:r>
      <w:r w:rsidR="0080007F">
        <w:rPr>
          <w:rFonts w:ascii="Times New Roman" w:hAnsi="Times New Roman"/>
          <w:sz w:val="24"/>
          <w:szCs w:val="24"/>
        </w:rPr>
        <w:t>obtaining judgment in default.</w:t>
      </w:r>
      <w:r w:rsidR="009878D3">
        <w:rPr>
          <w:rFonts w:ascii="Times New Roman" w:hAnsi="Times New Roman"/>
          <w:sz w:val="24"/>
          <w:szCs w:val="24"/>
        </w:rPr>
        <w:t xml:space="preserve"> </w:t>
      </w:r>
      <w:r w:rsidR="0089119C">
        <w:rPr>
          <w:rFonts w:ascii="Times New Roman" w:hAnsi="Times New Roman"/>
          <w:sz w:val="24"/>
          <w:szCs w:val="24"/>
        </w:rPr>
        <w:t xml:space="preserve">Even more vehement </w:t>
      </w:r>
      <w:r w:rsidR="00B94DC6">
        <w:rPr>
          <w:rFonts w:ascii="Times New Roman" w:hAnsi="Times New Roman"/>
          <w:sz w:val="24"/>
          <w:szCs w:val="24"/>
        </w:rPr>
        <w:t xml:space="preserve">were </w:t>
      </w:r>
      <w:r w:rsidR="0089119C">
        <w:rPr>
          <w:rFonts w:ascii="Times New Roman" w:hAnsi="Times New Roman"/>
          <w:sz w:val="24"/>
          <w:szCs w:val="24"/>
        </w:rPr>
        <w:t>the refutations by Rhodian`s legal practitioners</w:t>
      </w:r>
      <w:r w:rsidR="00B94DC6">
        <w:rPr>
          <w:rFonts w:ascii="Times New Roman" w:hAnsi="Times New Roman"/>
          <w:sz w:val="24"/>
          <w:szCs w:val="24"/>
        </w:rPr>
        <w:t xml:space="preserve"> to allegations of unprofessionalism.</w:t>
      </w:r>
    </w:p>
    <w:p w14:paraId="65C5DED4" w14:textId="77777777" w:rsidR="009878D3" w:rsidRDefault="009878D3" w:rsidP="0030207C">
      <w:pPr>
        <w:pStyle w:val="ListParagraph"/>
        <w:spacing w:line="360" w:lineRule="auto"/>
        <w:jc w:val="both"/>
        <w:rPr>
          <w:rFonts w:ascii="Times New Roman" w:hAnsi="Times New Roman"/>
          <w:sz w:val="24"/>
          <w:szCs w:val="24"/>
        </w:rPr>
      </w:pPr>
    </w:p>
    <w:p w14:paraId="490C6C1B" w14:textId="561D441F" w:rsidR="00703B51"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703B51">
        <w:rPr>
          <w:rFonts w:ascii="Times New Roman" w:hAnsi="Times New Roman"/>
          <w:sz w:val="24"/>
          <w:szCs w:val="24"/>
        </w:rPr>
        <w:t>10]</w:t>
      </w:r>
      <w:r>
        <w:rPr>
          <w:rFonts w:ascii="Times New Roman" w:hAnsi="Times New Roman"/>
          <w:sz w:val="24"/>
          <w:szCs w:val="24"/>
        </w:rPr>
        <w:t xml:space="preserve"> </w:t>
      </w:r>
      <w:r w:rsidR="0089119C">
        <w:rPr>
          <w:rFonts w:ascii="Times New Roman" w:hAnsi="Times New Roman"/>
          <w:sz w:val="24"/>
          <w:szCs w:val="24"/>
        </w:rPr>
        <w:t>Which brings me to the next point; -</w:t>
      </w:r>
      <w:r w:rsidR="00966912">
        <w:rPr>
          <w:rFonts w:ascii="Times New Roman" w:hAnsi="Times New Roman"/>
          <w:sz w:val="24"/>
          <w:szCs w:val="24"/>
        </w:rPr>
        <w:t xml:space="preserve">annexed to </w:t>
      </w:r>
      <w:r w:rsidR="00E4221F">
        <w:rPr>
          <w:rFonts w:ascii="Times New Roman" w:hAnsi="Times New Roman"/>
          <w:sz w:val="24"/>
          <w:szCs w:val="24"/>
        </w:rPr>
        <w:t xml:space="preserve">the litigants` </w:t>
      </w:r>
      <w:r w:rsidR="00966912">
        <w:rPr>
          <w:rFonts w:ascii="Times New Roman" w:hAnsi="Times New Roman"/>
          <w:sz w:val="24"/>
          <w:szCs w:val="24"/>
        </w:rPr>
        <w:t>founding, opposing and</w:t>
      </w:r>
      <w:r w:rsidR="00E4221F">
        <w:rPr>
          <w:rFonts w:ascii="Times New Roman" w:hAnsi="Times New Roman"/>
          <w:sz w:val="24"/>
          <w:szCs w:val="24"/>
        </w:rPr>
        <w:t xml:space="preserve"> answering papers </w:t>
      </w:r>
      <w:r w:rsidR="00966912">
        <w:rPr>
          <w:rFonts w:ascii="Times New Roman" w:hAnsi="Times New Roman"/>
          <w:sz w:val="24"/>
          <w:szCs w:val="24"/>
        </w:rPr>
        <w:t>were supporting affidavits sworn to by the parties` respective legal practitioners (to a total of five). These</w:t>
      </w:r>
      <w:r w:rsidR="0089119C">
        <w:rPr>
          <w:rFonts w:ascii="Times New Roman" w:hAnsi="Times New Roman"/>
          <w:sz w:val="24"/>
          <w:szCs w:val="24"/>
        </w:rPr>
        <w:t xml:space="preserve"> being</w:t>
      </w:r>
      <w:r w:rsidR="009878D3">
        <w:rPr>
          <w:rFonts w:ascii="Times New Roman" w:hAnsi="Times New Roman"/>
          <w:sz w:val="24"/>
          <w:szCs w:val="24"/>
        </w:rPr>
        <w:t xml:space="preserve"> (1) Stanslaus Munyaradzi Bwanya, (2) Frank Nyangani, (3) Phil Mutukwa, (4) Simbarashe Absolom </w:t>
      </w:r>
      <w:r w:rsidR="00E4221F">
        <w:rPr>
          <w:rFonts w:ascii="Times New Roman" w:hAnsi="Times New Roman"/>
          <w:sz w:val="24"/>
          <w:szCs w:val="24"/>
        </w:rPr>
        <w:t xml:space="preserve">Murondoti, and </w:t>
      </w:r>
      <w:r w:rsidR="009878D3">
        <w:rPr>
          <w:rFonts w:ascii="Times New Roman" w:hAnsi="Times New Roman"/>
          <w:sz w:val="24"/>
          <w:szCs w:val="24"/>
        </w:rPr>
        <w:t>(5</w:t>
      </w:r>
      <w:r w:rsidR="00966912">
        <w:rPr>
          <w:rFonts w:ascii="Times New Roman" w:hAnsi="Times New Roman"/>
          <w:sz w:val="24"/>
          <w:szCs w:val="24"/>
        </w:rPr>
        <w:t>) Tendai</w:t>
      </w:r>
      <w:r w:rsidR="009878D3">
        <w:rPr>
          <w:rFonts w:ascii="Times New Roman" w:hAnsi="Times New Roman"/>
          <w:sz w:val="24"/>
          <w:szCs w:val="24"/>
        </w:rPr>
        <w:t xml:space="preserve"> </w:t>
      </w:r>
      <w:r w:rsidR="00A55F82">
        <w:rPr>
          <w:rFonts w:ascii="Times New Roman" w:hAnsi="Times New Roman"/>
          <w:sz w:val="24"/>
          <w:szCs w:val="24"/>
        </w:rPr>
        <w:t xml:space="preserve">Rusinahama. </w:t>
      </w:r>
    </w:p>
    <w:p w14:paraId="0DD1E2D3" w14:textId="77777777" w:rsidR="00703B51" w:rsidRDefault="00703B51" w:rsidP="0030207C">
      <w:pPr>
        <w:pStyle w:val="ListParagraph"/>
        <w:spacing w:line="360" w:lineRule="auto"/>
        <w:jc w:val="both"/>
        <w:rPr>
          <w:rFonts w:ascii="Times New Roman" w:hAnsi="Times New Roman"/>
          <w:sz w:val="24"/>
          <w:szCs w:val="24"/>
        </w:rPr>
      </w:pPr>
    </w:p>
    <w:p w14:paraId="7302582F" w14:textId="1889CBD1" w:rsidR="00A55F82" w:rsidRDefault="00703B5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732983">
        <w:rPr>
          <w:rFonts w:ascii="Times New Roman" w:hAnsi="Times New Roman"/>
          <w:sz w:val="24"/>
          <w:szCs w:val="24"/>
        </w:rPr>
        <w:t>11</w:t>
      </w:r>
      <w:r>
        <w:rPr>
          <w:rFonts w:ascii="Times New Roman" w:hAnsi="Times New Roman"/>
          <w:sz w:val="24"/>
          <w:szCs w:val="24"/>
        </w:rPr>
        <w:t xml:space="preserve">] </w:t>
      </w:r>
      <w:r w:rsidR="0089119C">
        <w:rPr>
          <w:rFonts w:ascii="Times New Roman" w:hAnsi="Times New Roman"/>
          <w:sz w:val="24"/>
          <w:szCs w:val="24"/>
        </w:rPr>
        <w:t>Before de</w:t>
      </w:r>
      <w:r w:rsidR="00966912">
        <w:rPr>
          <w:rFonts w:ascii="Times New Roman" w:hAnsi="Times New Roman"/>
          <w:sz w:val="24"/>
          <w:szCs w:val="24"/>
        </w:rPr>
        <w:t xml:space="preserve">aling with the content and </w:t>
      </w:r>
      <w:r w:rsidR="0089119C">
        <w:rPr>
          <w:rFonts w:ascii="Times New Roman" w:hAnsi="Times New Roman"/>
          <w:sz w:val="24"/>
          <w:szCs w:val="24"/>
        </w:rPr>
        <w:t xml:space="preserve">import of these depositions, I may state that as a general </w:t>
      </w:r>
      <w:r w:rsidR="00B94DC6">
        <w:rPr>
          <w:rFonts w:ascii="Times New Roman" w:hAnsi="Times New Roman"/>
          <w:sz w:val="24"/>
          <w:szCs w:val="24"/>
        </w:rPr>
        <w:t>rule, it has been held that legal</w:t>
      </w:r>
      <w:r w:rsidR="00A55F82">
        <w:rPr>
          <w:rFonts w:ascii="Times New Roman" w:hAnsi="Times New Roman"/>
          <w:sz w:val="24"/>
          <w:szCs w:val="24"/>
        </w:rPr>
        <w:t xml:space="preserve"> practitioners should only file affidavits on behalf of their clients in exceptional circumstances. In addition, </w:t>
      </w:r>
      <w:r w:rsidR="0089119C">
        <w:rPr>
          <w:rFonts w:ascii="Times New Roman" w:hAnsi="Times New Roman"/>
          <w:sz w:val="24"/>
          <w:szCs w:val="24"/>
        </w:rPr>
        <w:t xml:space="preserve">the deposition of </w:t>
      </w:r>
      <w:r w:rsidR="000A61BD">
        <w:rPr>
          <w:rFonts w:ascii="Times New Roman" w:hAnsi="Times New Roman"/>
          <w:sz w:val="24"/>
          <w:szCs w:val="24"/>
        </w:rPr>
        <w:t>affidavits by</w:t>
      </w:r>
      <w:r w:rsidR="0089119C">
        <w:rPr>
          <w:rFonts w:ascii="Times New Roman" w:hAnsi="Times New Roman"/>
          <w:sz w:val="24"/>
          <w:szCs w:val="24"/>
        </w:rPr>
        <w:t xml:space="preserve"> legal practitioners on behalf of their clients is a matter that has generally raised disquiet </w:t>
      </w:r>
      <w:r w:rsidR="00B94DC6">
        <w:rPr>
          <w:rFonts w:ascii="Times New Roman" w:hAnsi="Times New Roman"/>
          <w:sz w:val="24"/>
          <w:szCs w:val="24"/>
        </w:rPr>
        <w:t xml:space="preserve">from a </w:t>
      </w:r>
      <w:r w:rsidR="00A55F82">
        <w:rPr>
          <w:rFonts w:ascii="Times New Roman" w:hAnsi="Times New Roman"/>
          <w:sz w:val="24"/>
          <w:szCs w:val="24"/>
        </w:rPr>
        <w:t>propriety</w:t>
      </w:r>
      <w:r w:rsidR="0089119C">
        <w:rPr>
          <w:rFonts w:ascii="Times New Roman" w:hAnsi="Times New Roman"/>
          <w:sz w:val="24"/>
          <w:szCs w:val="24"/>
        </w:rPr>
        <w:t xml:space="preserve"> and ethics</w:t>
      </w:r>
      <w:r w:rsidR="00B94DC6">
        <w:rPr>
          <w:rFonts w:ascii="Times New Roman" w:hAnsi="Times New Roman"/>
          <w:sz w:val="24"/>
          <w:szCs w:val="24"/>
        </w:rPr>
        <w:t xml:space="preserve"> perspective</w:t>
      </w:r>
      <w:r w:rsidR="0089119C">
        <w:rPr>
          <w:rFonts w:ascii="Times New Roman" w:hAnsi="Times New Roman"/>
          <w:sz w:val="24"/>
          <w:szCs w:val="24"/>
        </w:rPr>
        <w:t xml:space="preserve">. </w:t>
      </w:r>
      <w:r w:rsidR="000A61BD">
        <w:rPr>
          <w:rFonts w:ascii="Times New Roman" w:hAnsi="Times New Roman"/>
          <w:sz w:val="24"/>
          <w:szCs w:val="24"/>
        </w:rPr>
        <w:t>I may</w:t>
      </w:r>
      <w:r w:rsidR="00A55F82">
        <w:rPr>
          <w:rFonts w:ascii="Times New Roman" w:hAnsi="Times New Roman"/>
          <w:sz w:val="24"/>
          <w:szCs w:val="24"/>
        </w:rPr>
        <w:t xml:space="preserve"> refer to the remarks and authorities on the matter </w:t>
      </w:r>
      <w:r w:rsidR="00B94DC6">
        <w:rPr>
          <w:rFonts w:ascii="Times New Roman" w:hAnsi="Times New Roman"/>
          <w:sz w:val="24"/>
          <w:szCs w:val="24"/>
        </w:rPr>
        <w:t xml:space="preserve">I made and cited </w:t>
      </w:r>
      <w:r w:rsidR="00A55F82">
        <w:rPr>
          <w:rFonts w:ascii="Times New Roman" w:hAnsi="Times New Roman"/>
          <w:sz w:val="24"/>
          <w:szCs w:val="24"/>
        </w:rPr>
        <w:t>in a recent judgment</w:t>
      </w:r>
      <w:r w:rsidR="00A55F82">
        <w:rPr>
          <w:rStyle w:val="FootnoteReference"/>
          <w:rFonts w:ascii="Times New Roman" w:hAnsi="Times New Roman"/>
          <w:sz w:val="24"/>
          <w:szCs w:val="24"/>
        </w:rPr>
        <w:footnoteReference w:id="2"/>
      </w:r>
      <w:r w:rsidR="00A55F82">
        <w:rPr>
          <w:rFonts w:ascii="Times New Roman" w:hAnsi="Times New Roman"/>
          <w:sz w:val="24"/>
          <w:szCs w:val="24"/>
        </w:rPr>
        <w:t xml:space="preserve"> to the effect that; -</w:t>
      </w:r>
    </w:p>
    <w:p w14:paraId="3BFDF5DD" w14:textId="77777777" w:rsidR="00A55F82" w:rsidRDefault="00A55F82" w:rsidP="00A55F82">
      <w:pPr>
        <w:pStyle w:val="ListParagraph"/>
        <w:spacing w:line="360" w:lineRule="auto"/>
        <w:ind w:left="1134"/>
        <w:jc w:val="both"/>
        <w:rPr>
          <w:rFonts w:ascii="Times New Roman" w:hAnsi="Times New Roman"/>
          <w:sz w:val="24"/>
          <w:szCs w:val="24"/>
        </w:rPr>
      </w:pPr>
    </w:p>
    <w:p w14:paraId="18CE039E" w14:textId="77777777" w:rsidR="00A55F82" w:rsidRDefault="00A55F82" w:rsidP="00A55F82">
      <w:pPr>
        <w:pStyle w:val="ListParagraph"/>
        <w:spacing w:line="360" w:lineRule="auto"/>
        <w:ind w:left="1134"/>
        <w:jc w:val="both"/>
        <w:rPr>
          <w:rFonts w:ascii="Times New Roman" w:hAnsi="Times New Roman"/>
        </w:rPr>
      </w:pPr>
      <w:r w:rsidRPr="00F5304B">
        <w:rPr>
          <w:rFonts w:ascii="Times New Roman" w:hAnsi="Times New Roman"/>
          <w:i/>
          <w:iCs/>
        </w:rPr>
        <w:t>“[9]</w:t>
      </w:r>
      <w:r w:rsidRPr="00A55F82">
        <w:rPr>
          <w:rFonts w:ascii="Times New Roman" w:hAnsi="Times New Roman"/>
        </w:rPr>
        <w:t xml:space="preserve"> The propriety of legal practitioners deposing to affidavits (or filing certificates of urgency) on behalf of litigants they are representing has been well ventilated in many authorities. From the disparate positions taken in </w:t>
      </w:r>
      <w:r w:rsidRPr="00A55F82">
        <w:rPr>
          <w:rFonts w:ascii="Times New Roman" w:hAnsi="Times New Roman"/>
          <w:i/>
          <w:iCs/>
        </w:rPr>
        <w:t>Mudekunye &amp; 3 Ors v Mudekunye &amp; 2 Ors</w:t>
      </w:r>
      <w:r w:rsidRPr="00A55F82">
        <w:rPr>
          <w:rFonts w:ascii="Times New Roman" w:hAnsi="Times New Roman"/>
        </w:rPr>
        <w:t xml:space="preserve"> HH 190-10</w:t>
      </w:r>
      <w:r w:rsidRPr="00A55F82">
        <w:rPr>
          <w:rFonts w:ascii="Times New Roman" w:hAnsi="Times New Roman"/>
          <w:vertAlign w:val="superscript"/>
        </w:rPr>
        <w:footnoteReference w:id="3"/>
      </w:r>
      <w:r w:rsidRPr="00A55F82">
        <w:rPr>
          <w:rFonts w:ascii="Times New Roman" w:hAnsi="Times New Roman"/>
        </w:rPr>
        <w:t xml:space="preserve"> and </w:t>
      </w:r>
      <w:r w:rsidRPr="00A55F82">
        <w:rPr>
          <w:rFonts w:ascii="Times New Roman" w:hAnsi="Times New Roman"/>
          <w:i/>
          <w:iCs/>
          <w:lang w:val="en-GB"/>
        </w:rPr>
        <w:t>Chafanza v Edgars Stores Ltd &amp; Anor</w:t>
      </w:r>
      <w:r w:rsidRPr="00A55F82">
        <w:rPr>
          <w:rFonts w:ascii="Times New Roman" w:hAnsi="Times New Roman"/>
          <w:lang w:val="en-GB"/>
        </w:rPr>
        <w:t xml:space="preserve"> 2005 (1) ZLR 301 (H),</w:t>
      </w:r>
      <w:r w:rsidRPr="00A55F82">
        <w:rPr>
          <w:rFonts w:ascii="Times New Roman" w:hAnsi="Times New Roman"/>
        </w:rPr>
        <w:t xml:space="preserve"> the indisputable conclusion is that affidavits by legal practioners do raise a degree of discomfort. NDOU J summarised the position as follows [ at page 3] in </w:t>
      </w:r>
      <w:r w:rsidRPr="00A55F82">
        <w:rPr>
          <w:rFonts w:ascii="Times New Roman" w:hAnsi="Times New Roman"/>
          <w:i/>
          <w:iCs/>
        </w:rPr>
        <w:t>Mandaza v Mzilikazi Investments (Private) Limited</w:t>
      </w:r>
      <w:r w:rsidRPr="00A55F82">
        <w:rPr>
          <w:rFonts w:ascii="Times New Roman" w:hAnsi="Times New Roman"/>
        </w:rPr>
        <w:t xml:space="preserve"> HB 23-07; -</w:t>
      </w:r>
    </w:p>
    <w:p w14:paraId="326D8031" w14:textId="77777777" w:rsidR="00A55F82" w:rsidRPr="00A55F82" w:rsidRDefault="00A55F82" w:rsidP="00A55F82">
      <w:pPr>
        <w:pStyle w:val="ListParagraph"/>
        <w:spacing w:line="360" w:lineRule="auto"/>
        <w:ind w:left="1134"/>
        <w:jc w:val="both"/>
        <w:rPr>
          <w:rFonts w:ascii="Times New Roman" w:hAnsi="Times New Roman"/>
        </w:rPr>
      </w:pPr>
    </w:p>
    <w:p w14:paraId="2DDBAFB1" w14:textId="77777777" w:rsidR="00A55F82" w:rsidRPr="00A55F82" w:rsidRDefault="00A55F82" w:rsidP="00A55F82">
      <w:pPr>
        <w:pStyle w:val="ListParagraph"/>
        <w:spacing w:line="360" w:lineRule="auto"/>
        <w:ind w:left="1134"/>
        <w:jc w:val="both"/>
        <w:rPr>
          <w:rFonts w:ascii="Times New Roman" w:hAnsi="Times New Roman"/>
          <w:i/>
          <w:iCs/>
        </w:rPr>
      </w:pPr>
      <w:r w:rsidRPr="00A55F82">
        <w:rPr>
          <w:rFonts w:ascii="Times New Roman" w:hAnsi="Times New Roman"/>
          <w:i/>
          <w:iCs/>
          <w:lang w:val="en-GB"/>
        </w:rPr>
        <w:t>“Generally, I agree with Mr Ndove, that a legal practitioner should not depose to a founding affidavit on behalf of a client.  This court has previously stated why it is undesirable for legal practitioners to do so.  But there is an exception to this general rule if the facts are within the knowledge of a legal practitioner (he may swear an affidavit on behalf of the client) – Samkange &amp; Anor v The Master &amp; Anor HH-63-93.  Even in such exceptional cases, the route should be, in my view, be sparingly resorted to.  The facts of this application are within the knowledge of the applicant’s legal practitioner.  He is in fact, in better position to highlight the applicant’s case as the application is about procedural matters.  In the circumstances the legal practitioner was justified in deposing to the affidavit.”</w:t>
      </w:r>
    </w:p>
    <w:p w14:paraId="5FEFF59C" w14:textId="77777777" w:rsidR="00A55F82" w:rsidRPr="00A55F82" w:rsidRDefault="00A55F82" w:rsidP="00A55F82">
      <w:pPr>
        <w:pStyle w:val="ListParagraph"/>
        <w:spacing w:line="360" w:lineRule="auto"/>
        <w:ind w:left="1134"/>
        <w:jc w:val="both"/>
        <w:rPr>
          <w:rFonts w:ascii="Times New Roman" w:hAnsi="Times New Roman"/>
        </w:rPr>
      </w:pPr>
    </w:p>
    <w:p w14:paraId="2F5371FF" w14:textId="4575B387" w:rsidR="00A55F82" w:rsidRDefault="00A55F82" w:rsidP="000A61BD">
      <w:pPr>
        <w:pStyle w:val="ListParagraph"/>
        <w:spacing w:line="360" w:lineRule="auto"/>
        <w:ind w:left="1134"/>
        <w:jc w:val="both"/>
        <w:rPr>
          <w:rFonts w:ascii="Times New Roman" w:hAnsi="Times New Roman"/>
          <w:sz w:val="24"/>
          <w:szCs w:val="24"/>
        </w:rPr>
      </w:pPr>
      <w:r w:rsidRPr="00F5304B">
        <w:rPr>
          <w:rFonts w:ascii="Times New Roman" w:hAnsi="Times New Roman"/>
          <w:i/>
          <w:iCs/>
        </w:rPr>
        <w:t>[10]</w:t>
      </w:r>
      <w:r w:rsidRPr="00A55F82">
        <w:rPr>
          <w:rFonts w:ascii="Times New Roman" w:hAnsi="Times New Roman"/>
        </w:rPr>
        <w:t xml:space="preserve"> The simple rationale issuing from the above dictum is that necessity can validate a lawyer`s deposition on behalf of the client. This approach was taken in decisions such as; </w:t>
      </w:r>
      <w:r w:rsidRPr="00A55F82">
        <w:rPr>
          <w:rFonts w:ascii="Times New Roman" w:hAnsi="Times New Roman"/>
          <w:i/>
          <w:iCs/>
        </w:rPr>
        <w:t>TFS Management Co (Pvt) Ltd v Graspeak (Pvt) Ltd &amp; Another,</w:t>
      </w:r>
      <w:r w:rsidRPr="00A55F82">
        <w:rPr>
          <w:rFonts w:ascii="Times New Roman" w:hAnsi="Times New Roman"/>
        </w:rPr>
        <w:t xml:space="preserve"> 2005 (1) ZLR 333; </w:t>
      </w:r>
      <w:r w:rsidRPr="00A55F82">
        <w:rPr>
          <w:rFonts w:ascii="Times New Roman" w:hAnsi="Times New Roman"/>
          <w:i/>
          <w:iCs/>
        </w:rPr>
        <w:t>Zimbabwe Banking Corporation Limited v Trust Finance Limited &amp; Another</w:t>
      </w:r>
      <w:r w:rsidRPr="00A55F82">
        <w:rPr>
          <w:rFonts w:ascii="Times New Roman" w:hAnsi="Times New Roman"/>
        </w:rPr>
        <w:t xml:space="preserve"> 2006 (2) ZLR 404; </w:t>
      </w:r>
      <w:r w:rsidRPr="00A55F82">
        <w:rPr>
          <w:rFonts w:ascii="Times New Roman" w:hAnsi="Times New Roman"/>
          <w:i/>
          <w:iCs/>
        </w:rPr>
        <w:t xml:space="preserve">Metal Sales (Pvt) Ltd v Sakurai Mbanda t/a Faunorld Enterprises (Pvt) Ltd </w:t>
      </w:r>
      <w:r w:rsidRPr="00A55F82">
        <w:rPr>
          <w:rFonts w:ascii="Times New Roman" w:hAnsi="Times New Roman"/>
        </w:rPr>
        <w:t xml:space="preserve">HH 812/16; </w:t>
      </w:r>
      <w:r w:rsidRPr="00A55F82">
        <w:rPr>
          <w:rFonts w:ascii="Times New Roman" w:hAnsi="Times New Roman"/>
          <w:i/>
          <w:iCs/>
        </w:rPr>
        <w:t>Matinyarare v Chirimudondo &amp; Anor</w:t>
      </w:r>
      <w:r w:rsidRPr="00A55F82">
        <w:rPr>
          <w:rFonts w:ascii="Times New Roman" w:hAnsi="Times New Roman"/>
        </w:rPr>
        <w:t xml:space="preserve"> HMA 40-21;”</w:t>
      </w:r>
    </w:p>
    <w:p w14:paraId="2F490E44" w14:textId="77777777" w:rsidR="00A55F82" w:rsidRDefault="00A55F82" w:rsidP="0030207C">
      <w:pPr>
        <w:pStyle w:val="ListParagraph"/>
        <w:spacing w:line="360" w:lineRule="auto"/>
        <w:jc w:val="both"/>
        <w:rPr>
          <w:rFonts w:ascii="Times New Roman" w:hAnsi="Times New Roman"/>
          <w:sz w:val="24"/>
          <w:szCs w:val="24"/>
        </w:rPr>
      </w:pPr>
    </w:p>
    <w:p w14:paraId="2C3F8607" w14:textId="6AEBB490" w:rsidR="00B37C69" w:rsidRDefault="00674A01"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DC1131">
        <w:rPr>
          <w:rFonts w:ascii="Times New Roman" w:hAnsi="Times New Roman"/>
          <w:sz w:val="24"/>
          <w:szCs w:val="24"/>
        </w:rPr>
        <w:t>12</w:t>
      </w:r>
      <w:r>
        <w:rPr>
          <w:rFonts w:ascii="Times New Roman" w:hAnsi="Times New Roman"/>
          <w:sz w:val="24"/>
          <w:szCs w:val="24"/>
        </w:rPr>
        <w:t xml:space="preserve">] </w:t>
      </w:r>
      <w:r w:rsidR="00732983">
        <w:rPr>
          <w:rFonts w:ascii="Times New Roman" w:hAnsi="Times New Roman"/>
          <w:sz w:val="24"/>
          <w:szCs w:val="24"/>
        </w:rPr>
        <w:t>Any neutral with a fair mind would agree that t</w:t>
      </w:r>
      <w:r w:rsidR="000E25F3">
        <w:rPr>
          <w:rFonts w:ascii="Times New Roman" w:hAnsi="Times New Roman"/>
          <w:sz w:val="24"/>
          <w:szCs w:val="24"/>
        </w:rPr>
        <w:t xml:space="preserve">he five (5) legal practitioners </w:t>
      </w:r>
      <w:r w:rsidR="00C605D4">
        <w:rPr>
          <w:rFonts w:ascii="Times New Roman" w:hAnsi="Times New Roman"/>
          <w:sz w:val="24"/>
          <w:szCs w:val="24"/>
        </w:rPr>
        <w:t>liberally trade</w:t>
      </w:r>
      <w:r w:rsidR="00732983">
        <w:rPr>
          <w:rFonts w:ascii="Times New Roman" w:hAnsi="Times New Roman"/>
          <w:sz w:val="24"/>
          <w:szCs w:val="24"/>
        </w:rPr>
        <w:t>d</w:t>
      </w:r>
      <w:r w:rsidR="000E25F3">
        <w:rPr>
          <w:rFonts w:ascii="Times New Roman" w:hAnsi="Times New Roman"/>
          <w:sz w:val="24"/>
          <w:szCs w:val="24"/>
        </w:rPr>
        <w:t xml:space="preserve"> accusations and counter accusations of everything from mendacity to </w:t>
      </w:r>
      <w:r w:rsidR="00455D02">
        <w:rPr>
          <w:rFonts w:ascii="Times New Roman" w:hAnsi="Times New Roman"/>
          <w:sz w:val="24"/>
          <w:szCs w:val="24"/>
        </w:rPr>
        <w:lastRenderedPageBreak/>
        <w:t>incompetence in their respective affidavits filed of record.</w:t>
      </w:r>
      <w:r w:rsidR="000E25F3">
        <w:rPr>
          <w:rFonts w:ascii="Times New Roman" w:hAnsi="Times New Roman"/>
          <w:sz w:val="24"/>
          <w:szCs w:val="24"/>
        </w:rPr>
        <w:t xml:space="preserve"> </w:t>
      </w:r>
      <w:r w:rsidR="00C605D4">
        <w:rPr>
          <w:rFonts w:ascii="Times New Roman" w:hAnsi="Times New Roman"/>
          <w:sz w:val="24"/>
          <w:szCs w:val="24"/>
        </w:rPr>
        <w:t xml:space="preserve">Given this </w:t>
      </w:r>
      <w:r w:rsidR="00E26452">
        <w:rPr>
          <w:rFonts w:ascii="Times New Roman" w:hAnsi="Times New Roman"/>
          <w:sz w:val="24"/>
          <w:szCs w:val="24"/>
        </w:rPr>
        <w:t xml:space="preserve">hotly contested character of the evidence on papers before the court, </w:t>
      </w:r>
      <w:r w:rsidR="008E54C6">
        <w:rPr>
          <w:rFonts w:ascii="Times New Roman" w:hAnsi="Times New Roman"/>
          <w:sz w:val="24"/>
          <w:szCs w:val="24"/>
        </w:rPr>
        <w:t xml:space="preserve">it is not </w:t>
      </w:r>
      <w:r w:rsidR="00DD26F7">
        <w:rPr>
          <w:rFonts w:ascii="Times New Roman" w:hAnsi="Times New Roman"/>
          <w:sz w:val="24"/>
          <w:szCs w:val="24"/>
        </w:rPr>
        <w:t>feasible, at</w:t>
      </w:r>
      <w:r w:rsidR="008E54C6">
        <w:rPr>
          <w:rFonts w:ascii="Times New Roman" w:hAnsi="Times New Roman"/>
          <w:sz w:val="24"/>
          <w:szCs w:val="24"/>
        </w:rPr>
        <w:t xml:space="preserve"> this </w:t>
      </w:r>
      <w:r w:rsidR="00DD26F7">
        <w:rPr>
          <w:rFonts w:ascii="Times New Roman" w:hAnsi="Times New Roman"/>
          <w:sz w:val="24"/>
          <w:szCs w:val="24"/>
        </w:rPr>
        <w:t>preliminary</w:t>
      </w:r>
      <w:r w:rsidR="008E54C6">
        <w:rPr>
          <w:rFonts w:ascii="Times New Roman" w:hAnsi="Times New Roman"/>
          <w:sz w:val="24"/>
          <w:szCs w:val="24"/>
        </w:rPr>
        <w:t xml:space="preserve"> </w:t>
      </w:r>
      <w:r w:rsidR="00DD26F7">
        <w:rPr>
          <w:rFonts w:ascii="Times New Roman" w:hAnsi="Times New Roman"/>
          <w:sz w:val="24"/>
          <w:szCs w:val="24"/>
        </w:rPr>
        <w:t>stage, to</w:t>
      </w:r>
      <w:r w:rsidR="008E54C6">
        <w:rPr>
          <w:rFonts w:ascii="Times New Roman" w:hAnsi="Times New Roman"/>
          <w:sz w:val="24"/>
          <w:szCs w:val="24"/>
        </w:rPr>
        <w:t xml:space="preserve"> identify or isolate </w:t>
      </w:r>
      <w:r w:rsidR="00E4221F">
        <w:rPr>
          <w:rFonts w:ascii="Times New Roman" w:hAnsi="Times New Roman"/>
          <w:sz w:val="24"/>
          <w:szCs w:val="24"/>
        </w:rPr>
        <w:t>with ease, the</w:t>
      </w:r>
      <w:r w:rsidR="00E26452">
        <w:rPr>
          <w:rFonts w:ascii="Times New Roman" w:hAnsi="Times New Roman"/>
          <w:sz w:val="24"/>
          <w:szCs w:val="24"/>
        </w:rPr>
        <w:t xml:space="preserve"> </w:t>
      </w:r>
      <w:r w:rsidR="00C605D4">
        <w:rPr>
          <w:rFonts w:ascii="Times New Roman" w:hAnsi="Times New Roman"/>
          <w:sz w:val="24"/>
          <w:szCs w:val="24"/>
        </w:rPr>
        <w:t>alleged material non-</w:t>
      </w:r>
      <w:r w:rsidR="00DD26F7">
        <w:rPr>
          <w:rFonts w:ascii="Times New Roman" w:hAnsi="Times New Roman"/>
          <w:sz w:val="24"/>
          <w:szCs w:val="24"/>
        </w:rPr>
        <w:t>disclosure</w:t>
      </w:r>
      <w:r w:rsidR="00B94DC6">
        <w:rPr>
          <w:rFonts w:ascii="Times New Roman" w:hAnsi="Times New Roman"/>
          <w:sz w:val="24"/>
          <w:szCs w:val="24"/>
        </w:rPr>
        <w:t xml:space="preserve"> raised as a point </w:t>
      </w:r>
      <w:r w:rsidR="00B94DC6" w:rsidRPr="00B94DC6">
        <w:rPr>
          <w:rFonts w:ascii="Times New Roman" w:hAnsi="Times New Roman"/>
          <w:i/>
          <w:iCs/>
          <w:sz w:val="24"/>
          <w:szCs w:val="24"/>
        </w:rPr>
        <w:t>in limine</w:t>
      </w:r>
      <w:r w:rsidR="00DD26F7">
        <w:rPr>
          <w:rFonts w:ascii="Times New Roman" w:hAnsi="Times New Roman"/>
          <w:sz w:val="24"/>
          <w:szCs w:val="24"/>
        </w:rPr>
        <w:t xml:space="preserve">. Such task can only be properly undertaken as part of a wholesome exercise </w:t>
      </w:r>
      <w:r w:rsidR="00966912">
        <w:rPr>
          <w:rFonts w:ascii="Times New Roman" w:hAnsi="Times New Roman"/>
          <w:sz w:val="24"/>
          <w:szCs w:val="24"/>
        </w:rPr>
        <w:t>into the merits of the matter</w:t>
      </w:r>
      <w:r w:rsidR="00E4221F">
        <w:rPr>
          <w:rFonts w:ascii="Times New Roman" w:hAnsi="Times New Roman"/>
          <w:sz w:val="24"/>
          <w:szCs w:val="24"/>
        </w:rPr>
        <w:t>.</w:t>
      </w:r>
      <w:r w:rsidR="00DD26F7">
        <w:rPr>
          <w:rFonts w:ascii="Times New Roman" w:hAnsi="Times New Roman"/>
          <w:sz w:val="24"/>
          <w:szCs w:val="24"/>
        </w:rPr>
        <w:t xml:space="preserve"> Simply</w:t>
      </w:r>
      <w:r w:rsidR="00B37C69">
        <w:rPr>
          <w:rFonts w:ascii="Times New Roman" w:hAnsi="Times New Roman"/>
          <w:sz w:val="24"/>
          <w:szCs w:val="24"/>
        </w:rPr>
        <w:t xml:space="preserve"> put, the point </w:t>
      </w:r>
      <w:r w:rsidR="00B37C69" w:rsidRPr="00966912">
        <w:rPr>
          <w:rFonts w:ascii="Times New Roman" w:hAnsi="Times New Roman"/>
          <w:i/>
          <w:iCs/>
          <w:sz w:val="24"/>
          <w:szCs w:val="24"/>
        </w:rPr>
        <w:t>in limine</w:t>
      </w:r>
      <w:r w:rsidR="00B37C69">
        <w:rPr>
          <w:rFonts w:ascii="Times New Roman" w:hAnsi="Times New Roman"/>
          <w:sz w:val="24"/>
          <w:szCs w:val="24"/>
        </w:rPr>
        <w:t xml:space="preserve"> </w:t>
      </w:r>
      <w:r w:rsidR="00B94DC6">
        <w:rPr>
          <w:rFonts w:ascii="Times New Roman" w:hAnsi="Times New Roman"/>
          <w:sz w:val="24"/>
          <w:szCs w:val="24"/>
        </w:rPr>
        <w:t xml:space="preserve">on </w:t>
      </w:r>
      <w:r w:rsidR="00DD26F7">
        <w:rPr>
          <w:rFonts w:ascii="Times New Roman" w:hAnsi="Times New Roman"/>
          <w:sz w:val="24"/>
          <w:szCs w:val="24"/>
        </w:rPr>
        <w:t xml:space="preserve">material disclosure </w:t>
      </w:r>
      <w:r w:rsidR="00B37C69">
        <w:rPr>
          <w:rFonts w:ascii="Times New Roman" w:hAnsi="Times New Roman"/>
          <w:sz w:val="24"/>
          <w:szCs w:val="24"/>
        </w:rPr>
        <w:t xml:space="preserve">cannot be excised from </w:t>
      </w:r>
      <w:r w:rsidR="002A3C0A">
        <w:rPr>
          <w:rFonts w:ascii="Times New Roman" w:hAnsi="Times New Roman"/>
          <w:sz w:val="24"/>
          <w:szCs w:val="24"/>
        </w:rPr>
        <w:t xml:space="preserve">a consideration of </w:t>
      </w:r>
      <w:r w:rsidR="00B37C69">
        <w:rPr>
          <w:rFonts w:ascii="Times New Roman" w:hAnsi="Times New Roman"/>
          <w:sz w:val="24"/>
          <w:szCs w:val="24"/>
        </w:rPr>
        <w:t>the main dispute</w:t>
      </w:r>
      <w:r w:rsidR="002A3C0A">
        <w:rPr>
          <w:rFonts w:ascii="Times New Roman" w:hAnsi="Times New Roman"/>
          <w:sz w:val="24"/>
          <w:szCs w:val="24"/>
        </w:rPr>
        <w:t xml:space="preserve"> on its merits</w:t>
      </w:r>
      <w:r w:rsidR="00B37C69">
        <w:rPr>
          <w:rFonts w:ascii="Times New Roman" w:hAnsi="Times New Roman"/>
          <w:sz w:val="24"/>
          <w:szCs w:val="24"/>
        </w:rPr>
        <w:t>.</w:t>
      </w:r>
    </w:p>
    <w:p w14:paraId="1A0C6874" w14:textId="77777777" w:rsidR="00B37C69" w:rsidRDefault="00B37C69" w:rsidP="0030207C">
      <w:pPr>
        <w:pStyle w:val="ListParagraph"/>
        <w:spacing w:line="360" w:lineRule="auto"/>
        <w:jc w:val="both"/>
        <w:rPr>
          <w:rFonts w:ascii="Times New Roman" w:hAnsi="Times New Roman"/>
          <w:sz w:val="24"/>
          <w:szCs w:val="24"/>
        </w:rPr>
      </w:pPr>
    </w:p>
    <w:p w14:paraId="20B51D3F" w14:textId="7275ED61" w:rsidR="00674A01" w:rsidRDefault="00B37C69" w:rsidP="0030207C">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DD088D">
        <w:rPr>
          <w:rFonts w:ascii="Times New Roman" w:hAnsi="Times New Roman"/>
          <w:sz w:val="24"/>
          <w:szCs w:val="24"/>
        </w:rPr>
        <w:t>1</w:t>
      </w:r>
      <w:r w:rsidR="00DC1131">
        <w:rPr>
          <w:rFonts w:ascii="Times New Roman" w:hAnsi="Times New Roman"/>
          <w:sz w:val="24"/>
          <w:szCs w:val="24"/>
        </w:rPr>
        <w:t>3</w:t>
      </w:r>
      <w:r w:rsidR="00DD088D">
        <w:rPr>
          <w:rFonts w:ascii="Times New Roman" w:hAnsi="Times New Roman"/>
          <w:sz w:val="24"/>
          <w:szCs w:val="24"/>
        </w:rPr>
        <w:t>]</w:t>
      </w:r>
      <w:r>
        <w:rPr>
          <w:rFonts w:ascii="Times New Roman" w:hAnsi="Times New Roman"/>
          <w:sz w:val="24"/>
          <w:szCs w:val="24"/>
        </w:rPr>
        <w:t xml:space="preserve"> In the same </w:t>
      </w:r>
      <w:r w:rsidR="00DD088D">
        <w:rPr>
          <w:rFonts w:ascii="Times New Roman" w:hAnsi="Times New Roman"/>
          <w:sz w:val="24"/>
          <w:szCs w:val="24"/>
        </w:rPr>
        <w:t>respect, the</w:t>
      </w:r>
      <w:r>
        <w:rPr>
          <w:rFonts w:ascii="Times New Roman" w:hAnsi="Times New Roman"/>
          <w:sz w:val="24"/>
          <w:szCs w:val="24"/>
        </w:rPr>
        <w:t xml:space="preserve"> </w:t>
      </w:r>
      <w:r w:rsidR="00966912">
        <w:rPr>
          <w:rFonts w:ascii="Times New Roman" w:hAnsi="Times New Roman"/>
          <w:sz w:val="24"/>
          <w:szCs w:val="24"/>
        </w:rPr>
        <w:t xml:space="preserve">relief sought in the </w:t>
      </w:r>
      <w:r>
        <w:rPr>
          <w:rFonts w:ascii="Times New Roman" w:hAnsi="Times New Roman"/>
          <w:sz w:val="24"/>
          <w:szCs w:val="24"/>
        </w:rPr>
        <w:t>draft order</w:t>
      </w:r>
      <w:r w:rsidR="00966912">
        <w:rPr>
          <w:rFonts w:ascii="Times New Roman" w:hAnsi="Times New Roman"/>
          <w:sz w:val="24"/>
          <w:szCs w:val="24"/>
        </w:rPr>
        <w:t>s has been attacked as incompetent.</w:t>
      </w:r>
      <w:r w:rsidR="00DD088D">
        <w:rPr>
          <w:rFonts w:ascii="Times New Roman" w:hAnsi="Times New Roman"/>
          <w:sz w:val="24"/>
          <w:szCs w:val="24"/>
        </w:rPr>
        <w:t xml:space="preserve"> Coincidentally (and unsurprisingly), the draft orders in the two separate applications by Mrs and Mr Mudungwe on one hand, and Arosume Property are identical. In paraphrase, the orders merely seek a rescission of the judgment of this court in HC 2258/21 as well as ancillary matters regarding heads of argument and set down. If there is the </w:t>
      </w:r>
      <w:r w:rsidR="0001190C">
        <w:rPr>
          <w:rFonts w:ascii="Times New Roman" w:hAnsi="Times New Roman"/>
          <w:sz w:val="24"/>
          <w:szCs w:val="24"/>
        </w:rPr>
        <w:t>relief sought</w:t>
      </w:r>
      <w:r w:rsidR="00DD088D">
        <w:rPr>
          <w:rFonts w:ascii="Times New Roman" w:hAnsi="Times New Roman"/>
          <w:sz w:val="24"/>
          <w:szCs w:val="24"/>
        </w:rPr>
        <w:t xml:space="preserve"> is maligned by some defect, then the incompetency concerned can only be exposed through a canvassing of the issues constituting this </w:t>
      </w:r>
    </w:p>
    <w:p w14:paraId="5F2FCBDB" w14:textId="77777777" w:rsidR="00674A01" w:rsidRDefault="00674A01" w:rsidP="0030207C">
      <w:pPr>
        <w:pStyle w:val="ListParagraph"/>
        <w:spacing w:line="360" w:lineRule="auto"/>
        <w:jc w:val="both"/>
        <w:rPr>
          <w:rFonts w:ascii="Times New Roman" w:hAnsi="Times New Roman"/>
          <w:sz w:val="24"/>
          <w:szCs w:val="24"/>
        </w:rPr>
      </w:pPr>
    </w:p>
    <w:p w14:paraId="6F86C8F1" w14:textId="12ADFDC5" w:rsidR="00103627" w:rsidRPr="00103627" w:rsidRDefault="00674A01" w:rsidP="00811A0C">
      <w:pPr>
        <w:pStyle w:val="ListParagraph"/>
        <w:spacing w:line="360" w:lineRule="auto"/>
        <w:jc w:val="both"/>
        <w:rPr>
          <w:rFonts w:ascii="Times New Roman" w:hAnsi="Times New Roman"/>
          <w:sz w:val="24"/>
          <w:szCs w:val="24"/>
        </w:rPr>
      </w:pPr>
      <w:r>
        <w:rPr>
          <w:rFonts w:ascii="Times New Roman" w:hAnsi="Times New Roman"/>
          <w:sz w:val="24"/>
          <w:szCs w:val="24"/>
        </w:rPr>
        <w:t>[ 1</w:t>
      </w:r>
      <w:r w:rsidR="00DC1131">
        <w:rPr>
          <w:rFonts w:ascii="Times New Roman" w:hAnsi="Times New Roman"/>
          <w:sz w:val="24"/>
          <w:szCs w:val="24"/>
        </w:rPr>
        <w:t>4</w:t>
      </w:r>
      <w:r>
        <w:rPr>
          <w:rFonts w:ascii="Times New Roman" w:hAnsi="Times New Roman"/>
          <w:sz w:val="24"/>
          <w:szCs w:val="24"/>
        </w:rPr>
        <w:t xml:space="preserve">] </w:t>
      </w:r>
      <w:r w:rsidR="00DD088D">
        <w:rPr>
          <w:rFonts w:ascii="Times New Roman" w:hAnsi="Times New Roman"/>
          <w:sz w:val="24"/>
          <w:szCs w:val="24"/>
        </w:rPr>
        <w:t xml:space="preserve">My conclusion is that the points taken </w:t>
      </w:r>
      <w:r w:rsidR="00DD088D" w:rsidRPr="00E4221F">
        <w:rPr>
          <w:rFonts w:ascii="Times New Roman" w:hAnsi="Times New Roman"/>
          <w:i/>
          <w:iCs/>
          <w:sz w:val="24"/>
          <w:szCs w:val="24"/>
        </w:rPr>
        <w:t>in limine</w:t>
      </w:r>
      <w:r w:rsidR="00DD088D">
        <w:rPr>
          <w:rFonts w:ascii="Times New Roman" w:hAnsi="Times New Roman"/>
          <w:sz w:val="24"/>
          <w:szCs w:val="24"/>
        </w:rPr>
        <w:t xml:space="preserve"> </w:t>
      </w:r>
      <w:r w:rsidR="00732983">
        <w:rPr>
          <w:rFonts w:ascii="Times New Roman" w:hAnsi="Times New Roman"/>
          <w:sz w:val="24"/>
          <w:szCs w:val="24"/>
        </w:rPr>
        <w:t>are intrinsically woven into the merits and cannot be severed from such. They remain live issues raised by the parties and in need of a resolution by the court.</w:t>
      </w:r>
      <w:r w:rsidR="00811A0C">
        <w:rPr>
          <w:rFonts w:ascii="Times New Roman" w:hAnsi="Times New Roman"/>
          <w:sz w:val="24"/>
          <w:szCs w:val="24"/>
        </w:rPr>
        <w:t xml:space="preserve"> I</w:t>
      </w:r>
      <w:r w:rsidR="00DD088D">
        <w:rPr>
          <w:rFonts w:ascii="Times New Roman" w:hAnsi="Times New Roman"/>
          <w:sz w:val="24"/>
          <w:szCs w:val="24"/>
        </w:rPr>
        <w:t xml:space="preserve"> will </w:t>
      </w:r>
      <w:r w:rsidR="00DD26F7">
        <w:rPr>
          <w:rFonts w:ascii="Times New Roman" w:hAnsi="Times New Roman"/>
          <w:sz w:val="24"/>
          <w:szCs w:val="24"/>
        </w:rPr>
        <w:t xml:space="preserve">therefore </w:t>
      </w:r>
      <w:r w:rsidR="00DD088D">
        <w:rPr>
          <w:rFonts w:ascii="Times New Roman" w:hAnsi="Times New Roman"/>
          <w:sz w:val="24"/>
          <w:szCs w:val="24"/>
        </w:rPr>
        <w:t xml:space="preserve">defer the determination </w:t>
      </w:r>
      <w:r w:rsidR="00DD26F7">
        <w:rPr>
          <w:rFonts w:ascii="Times New Roman" w:hAnsi="Times New Roman"/>
          <w:sz w:val="24"/>
          <w:szCs w:val="24"/>
        </w:rPr>
        <w:t xml:space="preserve">of the points raised </w:t>
      </w:r>
      <w:r w:rsidR="00DD26F7" w:rsidRPr="00732983">
        <w:rPr>
          <w:rFonts w:ascii="Times New Roman" w:hAnsi="Times New Roman"/>
          <w:i/>
          <w:iCs/>
          <w:sz w:val="24"/>
          <w:szCs w:val="24"/>
        </w:rPr>
        <w:t>in limine</w:t>
      </w:r>
      <w:r w:rsidR="00DD26F7">
        <w:rPr>
          <w:rFonts w:ascii="Times New Roman" w:hAnsi="Times New Roman"/>
          <w:sz w:val="24"/>
          <w:szCs w:val="24"/>
        </w:rPr>
        <w:t xml:space="preserve"> </w:t>
      </w:r>
      <w:r w:rsidR="00811A0C">
        <w:rPr>
          <w:rFonts w:ascii="Times New Roman" w:hAnsi="Times New Roman"/>
          <w:sz w:val="24"/>
          <w:szCs w:val="24"/>
        </w:rPr>
        <w:t xml:space="preserve">until after the matter has been </w:t>
      </w:r>
      <w:r w:rsidR="00DD26F7">
        <w:rPr>
          <w:rFonts w:ascii="Times New Roman" w:hAnsi="Times New Roman"/>
          <w:sz w:val="24"/>
          <w:szCs w:val="24"/>
        </w:rPr>
        <w:t xml:space="preserve">exhaustively </w:t>
      </w:r>
      <w:r w:rsidR="00811A0C">
        <w:rPr>
          <w:rFonts w:ascii="Times New Roman" w:hAnsi="Times New Roman"/>
          <w:sz w:val="24"/>
          <w:szCs w:val="24"/>
        </w:rPr>
        <w:t xml:space="preserve">argued </w:t>
      </w:r>
      <w:r w:rsidR="00DD26F7">
        <w:rPr>
          <w:rFonts w:ascii="Times New Roman" w:hAnsi="Times New Roman"/>
          <w:sz w:val="24"/>
          <w:szCs w:val="24"/>
        </w:rPr>
        <w:t>on the merits</w:t>
      </w:r>
      <w:r w:rsidR="00811A0C">
        <w:rPr>
          <w:rFonts w:ascii="Times New Roman" w:hAnsi="Times New Roman"/>
          <w:sz w:val="24"/>
          <w:szCs w:val="24"/>
        </w:rPr>
        <w:t xml:space="preserve">. This approach is sometimes referred to as the “rolled over” process of determining points </w:t>
      </w:r>
      <w:r w:rsidR="00811A0C" w:rsidRPr="00DD26F7">
        <w:rPr>
          <w:rFonts w:ascii="Times New Roman" w:hAnsi="Times New Roman"/>
          <w:i/>
          <w:iCs/>
          <w:sz w:val="24"/>
          <w:szCs w:val="24"/>
        </w:rPr>
        <w:t>in limine</w:t>
      </w:r>
      <w:r w:rsidR="00DD26F7">
        <w:rPr>
          <w:rFonts w:ascii="Times New Roman" w:hAnsi="Times New Roman"/>
          <w:sz w:val="24"/>
          <w:szCs w:val="24"/>
        </w:rPr>
        <w:t xml:space="preserve"> and is regularly resorted to by the courts to deal pragmatically with objections </w:t>
      </w:r>
      <w:r w:rsidR="00DD26F7" w:rsidRPr="00732983">
        <w:rPr>
          <w:rFonts w:ascii="Times New Roman" w:hAnsi="Times New Roman"/>
          <w:i/>
          <w:iCs/>
          <w:sz w:val="24"/>
          <w:szCs w:val="24"/>
        </w:rPr>
        <w:t>in limine</w:t>
      </w:r>
      <w:r w:rsidR="00DD26F7">
        <w:rPr>
          <w:rFonts w:ascii="Times New Roman" w:hAnsi="Times New Roman"/>
          <w:sz w:val="24"/>
          <w:szCs w:val="24"/>
        </w:rPr>
        <w:t>.</w:t>
      </w:r>
    </w:p>
    <w:p w14:paraId="20D7A9CF" w14:textId="77777777" w:rsidR="003A68B9" w:rsidRDefault="003A68B9" w:rsidP="0030207C">
      <w:pPr>
        <w:pStyle w:val="ListParagraph"/>
        <w:spacing w:line="360" w:lineRule="auto"/>
        <w:jc w:val="both"/>
        <w:rPr>
          <w:rFonts w:ascii="Times New Roman" w:hAnsi="Times New Roman"/>
          <w:sz w:val="24"/>
          <w:szCs w:val="24"/>
        </w:rPr>
      </w:pPr>
    </w:p>
    <w:p w14:paraId="0C9A1F2D" w14:textId="76BA9844" w:rsidR="00674A01" w:rsidRDefault="00674A01" w:rsidP="00267E09">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[ 1</w:t>
      </w:r>
      <w:r w:rsidR="00DC1131">
        <w:rPr>
          <w:rFonts w:ascii="Times New Roman" w:hAnsi="Times New Roman"/>
          <w:sz w:val="24"/>
          <w:szCs w:val="24"/>
          <w:lang w:val="en-US"/>
        </w:rPr>
        <w:t>5</w:t>
      </w:r>
      <w:r>
        <w:rPr>
          <w:rFonts w:ascii="Times New Roman" w:hAnsi="Times New Roman"/>
          <w:sz w:val="24"/>
          <w:szCs w:val="24"/>
          <w:lang w:val="en-US"/>
        </w:rPr>
        <w:t xml:space="preserve">] </w:t>
      </w:r>
      <w:r w:rsidR="00811A0C">
        <w:rPr>
          <w:rFonts w:ascii="Times New Roman" w:hAnsi="Times New Roman"/>
          <w:sz w:val="24"/>
          <w:szCs w:val="24"/>
          <w:lang w:val="en-US"/>
        </w:rPr>
        <w:t xml:space="preserve">This is the route followed </w:t>
      </w:r>
      <w:r w:rsidR="00267E09">
        <w:rPr>
          <w:rFonts w:ascii="Times New Roman" w:hAnsi="Times New Roman"/>
          <w:sz w:val="24"/>
          <w:szCs w:val="24"/>
          <w:lang w:val="en-US"/>
        </w:rPr>
        <w:t xml:space="preserve">or considered </w:t>
      </w:r>
      <w:r w:rsidR="00811A0C">
        <w:rPr>
          <w:rFonts w:ascii="Times New Roman" w:hAnsi="Times New Roman"/>
          <w:sz w:val="24"/>
          <w:szCs w:val="24"/>
          <w:lang w:val="en-US"/>
        </w:rPr>
        <w:t xml:space="preserve">by, among other authorities, </w:t>
      </w:r>
      <w:r w:rsidR="00267E09">
        <w:rPr>
          <w:rFonts w:ascii="Times New Roman" w:hAnsi="Times New Roman"/>
          <w:sz w:val="24"/>
          <w:szCs w:val="24"/>
          <w:lang w:val="en-US"/>
        </w:rPr>
        <w:t>(see</w:t>
      </w:r>
      <w:r w:rsidR="00267E09" w:rsidRPr="00267E09">
        <w:rPr>
          <w:rFonts w:ascii="Times New Roman" w:eastAsia="Times New Roman" w:hAnsi="Times New Roman"/>
          <w:b/>
          <w:bCs/>
          <w:color w:val="4A4A4A"/>
          <w:sz w:val="24"/>
          <w:szCs w:val="24"/>
          <w:lang w:eastAsia="en-ZW"/>
        </w:rPr>
        <w:t xml:space="preserve"> </w:t>
      </w:r>
      <w:r w:rsidR="00267E09" w:rsidRPr="00B84D63">
        <w:rPr>
          <w:rFonts w:ascii="Times New Roman" w:eastAsia="Times New Roman" w:hAnsi="Times New Roman"/>
          <w:sz w:val="24"/>
          <w:szCs w:val="24"/>
          <w:lang w:eastAsia="en-ZW"/>
        </w:rPr>
        <w:t>The</w:t>
      </w:r>
      <w:r w:rsidR="00267E09" w:rsidRPr="00B84D63">
        <w:rPr>
          <w:rFonts w:ascii="Times New Roman" w:eastAsia="Times New Roman" w:hAnsi="Times New Roman"/>
          <w:i/>
          <w:iCs/>
          <w:sz w:val="24"/>
          <w:szCs w:val="24"/>
          <w:lang w:eastAsia="en-ZW"/>
        </w:rPr>
        <w:t xml:space="preserve"> Trustees of UMRRT v City of Mutare &amp; Anor HMT 3-19</w:t>
      </w:r>
      <w:r w:rsidR="00267E09">
        <w:rPr>
          <w:rFonts w:ascii="Times New Roman" w:eastAsia="Times New Roman" w:hAnsi="Times New Roman"/>
          <w:i/>
          <w:iCs/>
          <w:color w:val="4A4A4A"/>
          <w:sz w:val="24"/>
          <w:szCs w:val="24"/>
          <w:lang w:eastAsia="en-ZW"/>
        </w:rPr>
        <w:t>;</w:t>
      </w:r>
      <w:r w:rsidR="00267E09">
        <w:rPr>
          <w:rFonts w:ascii="Times New Roman" w:eastAsia="Times New Roman" w:hAnsi="Times New Roman"/>
          <w:b/>
          <w:bCs/>
          <w:color w:val="4A4A4A"/>
          <w:sz w:val="24"/>
          <w:szCs w:val="24"/>
          <w:lang w:eastAsia="en-ZW"/>
        </w:rPr>
        <w:t xml:space="preserve"> </w:t>
      </w:r>
      <w:r w:rsidR="00267E09" w:rsidRPr="00267E09">
        <w:rPr>
          <w:rFonts w:ascii="Times New Roman" w:hAnsi="Times New Roman"/>
          <w:i/>
          <w:iCs/>
          <w:sz w:val="24"/>
          <w:szCs w:val="24"/>
        </w:rPr>
        <w:t>Sheila Mpofu v Emmanuel Chirwa &amp; Anor HH 9-22</w:t>
      </w:r>
      <w:r w:rsidR="00267E09">
        <w:rPr>
          <w:rFonts w:ascii="Times New Roman" w:hAnsi="Times New Roman"/>
          <w:i/>
          <w:iCs/>
          <w:sz w:val="24"/>
          <w:szCs w:val="24"/>
        </w:rPr>
        <w:t>).</w:t>
      </w:r>
      <w:r w:rsidR="00267E09">
        <w:rPr>
          <w:rFonts w:ascii="Times New Roman" w:hAnsi="Times New Roman"/>
          <w:sz w:val="24"/>
          <w:szCs w:val="24"/>
          <w:lang w:val="en-US"/>
        </w:rPr>
        <w:t xml:space="preserve"> </w:t>
      </w:r>
      <w:r w:rsidRPr="00B84D63">
        <w:rPr>
          <w:rFonts w:ascii="Times New Roman" w:hAnsi="Times New Roman"/>
          <w:lang w:val="en-US"/>
        </w:rPr>
        <w:t>DUBE-BANDA J</w:t>
      </w:r>
      <w:r w:rsidRPr="00674A01">
        <w:rPr>
          <w:rFonts w:ascii="Times New Roman" w:hAnsi="Times New Roman"/>
          <w:sz w:val="24"/>
          <w:szCs w:val="24"/>
          <w:lang w:val="en-US"/>
        </w:rPr>
        <w:t xml:space="preserve"> in </w:t>
      </w:r>
      <w:r w:rsidRPr="00811A0C">
        <w:rPr>
          <w:rFonts w:ascii="Times New Roman" w:hAnsi="Times New Roman"/>
          <w:i/>
          <w:iCs/>
          <w:sz w:val="24"/>
          <w:szCs w:val="24"/>
          <w:lang w:val="en-US"/>
        </w:rPr>
        <w:t>Stewart Dhliwayo v Warman Zimbabwe (Pvt) Ltd &amp; 2 Ors</w:t>
      </w:r>
      <w:r w:rsidRPr="00674A01">
        <w:rPr>
          <w:rFonts w:ascii="Times New Roman" w:hAnsi="Times New Roman"/>
          <w:sz w:val="24"/>
          <w:szCs w:val="24"/>
          <w:lang w:val="en-US"/>
        </w:rPr>
        <w:t xml:space="preserve"> HB  12-22, at page 4</w:t>
      </w:r>
      <w:r>
        <w:rPr>
          <w:rFonts w:ascii="Times New Roman" w:hAnsi="Times New Roman"/>
          <w:sz w:val="24"/>
          <w:szCs w:val="24"/>
          <w:lang w:val="en-US"/>
        </w:rPr>
        <w:t xml:space="preserve">; - </w:t>
      </w:r>
    </w:p>
    <w:p w14:paraId="0FAAC4F0" w14:textId="77777777" w:rsidR="00674A01" w:rsidRDefault="00674A01" w:rsidP="00674A01">
      <w:pPr>
        <w:pStyle w:val="ListParagraph"/>
        <w:spacing w:line="360" w:lineRule="auto"/>
        <w:jc w:val="both"/>
        <w:rPr>
          <w:rFonts w:ascii="Times New Roman" w:hAnsi="Times New Roman"/>
          <w:sz w:val="24"/>
          <w:szCs w:val="24"/>
          <w:lang w:val="en-US"/>
        </w:rPr>
      </w:pPr>
    </w:p>
    <w:p w14:paraId="2551D885" w14:textId="77777777" w:rsidR="00674A01" w:rsidRPr="00674A01" w:rsidRDefault="00674A01" w:rsidP="00674A01">
      <w:pPr>
        <w:pStyle w:val="ListParagraph"/>
        <w:spacing w:line="360" w:lineRule="auto"/>
        <w:ind w:left="1134"/>
        <w:jc w:val="both"/>
        <w:rPr>
          <w:rFonts w:ascii="Times New Roman" w:hAnsi="Times New Roman"/>
          <w:lang w:val="en-US"/>
        </w:rPr>
      </w:pPr>
      <w:r w:rsidRPr="00674A01">
        <w:rPr>
          <w:rFonts w:ascii="Times New Roman" w:hAnsi="Times New Roman"/>
          <w:sz w:val="24"/>
          <w:szCs w:val="24"/>
          <w:lang w:val="en-US"/>
        </w:rPr>
        <w:t xml:space="preserve"> </w:t>
      </w:r>
      <w:r w:rsidRPr="00674A01">
        <w:rPr>
          <w:rFonts w:ascii="Times New Roman" w:hAnsi="Times New Roman"/>
          <w:lang w:val="en-US"/>
        </w:rPr>
        <w:t xml:space="preserve">“Each side of the divide made every effort to outdo the other side on the basis of points </w:t>
      </w:r>
      <w:r w:rsidRPr="00674A01">
        <w:rPr>
          <w:rFonts w:ascii="Times New Roman" w:hAnsi="Times New Roman"/>
          <w:i/>
          <w:lang w:val="en-US"/>
        </w:rPr>
        <w:t xml:space="preserve">in limine. </w:t>
      </w:r>
      <w:r w:rsidRPr="00674A01">
        <w:rPr>
          <w:rFonts w:ascii="Times New Roman" w:hAnsi="Times New Roman"/>
          <w:lang w:val="en-US"/>
        </w:rPr>
        <w:t xml:space="preserve">At the commencement of the hearing, I informed counsel that I shall adopt a holistic </w:t>
      </w:r>
      <w:r w:rsidRPr="00674A01">
        <w:rPr>
          <w:rFonts w:ascii="Times New Roman" w:hAnsi="Times New Roman"/>
          <w:lang w:val="en-US"/>
        </w:rPr>
        <w:lastRenderedPageBreak/>
        <w:t xml:space="preserve">approach. This approach avoids a piece-meal treatment of the matter, in that the points </w:t>
      </w:r>
      <w:r w:rsidRPr="00674A01">
        <w:rPr>
          <w:rFonts w:ascii="Times New Roman" w:hAnsi="Times New Roman"/>
          <w:i/>
          <w:lang w:val="en-US"/>
        </w:rPr>
        <w:t>in limine</w:t>
      </w:r>
      <w:r w:rsidRPr="00674A01">
        <w:rPr>
          <w:rFonts w:ascii="Times New Roman" w:hAnsi="Times New Roman"/>
          <w:lang w:val="en-US"/>
        </w:rPr>
        <w:t xml:space="preserve"> are argued together with the merits, but when the court retires to consider the matter, it may dispose of the matter solely on the basis of the points </w:t>
      </w:r>
      <w:r w:rsidRPr="00674A01">
        <w:rPr>
          <w:rFonts w:ascii="Times New Roman" w:hAnsi="Times New Roman"/>
          <w:i/>
          <w:lang w:val="en-US"/>
        </w:rPr>
        <w:t>in limine</w:t>
      </w:r>
      <w:r w:rsidRPr="00674A01">
        <w:rPr>
          <w:rFonts w:ascii="Times New Roman" w:hAnsi="Times New Roman"/>
          <w:lang w:val="en-US"/>
        </w:rPr>
        <w:t xml:space="preserve"> despite that they were argued together with the merits.” </w:t>
      </w:r>
    </w:p>
    <w:p w14:paraId="4FEC3C09" w14:textId="77777777" w:rsidR="00674A01" w:rsidRDefault="00674A01" w:rsidP="00674A01">
      <w:pPr>
        <w:pStyle w:val="ListParagraph"/>
        <w:spacing w:line="360" w:lineRule="auto"/>
        <w:jc w:val="both"/>
        <w:rPr>
          <w:rFonts w:ascii="Times New Roman" w:hAnsi="Times New Roman"/>
          <w:sz w:val="24"/>
          <w:szCs w:val="24"/>
        </w:rPr>
      </w:pPr>
    </w:p>
    <w:p w14:paraId="34C7F751" w14:textId="77777777" w:rsidR="00F5304B" w:rsidRPr="00B84D63" w:rsidRDefault="00F5304B" w:rsidP="00674A01">
      <w:pPr>
        <w:pStyle w:val="ListParagraph"/>
        <w:spacing w:line="360" w:lineRule="auto"/>
        <w:jc w:val="both"/>
        <w:rPr>
          <w:rFonts w:ascii="Times New Roman" w:hAnsi="Times New Roman"/>
        </w:rPr>
      </w:pPr>
      <w:r w:rsidRPr="00B84D63">
        <w:rPr>
          <w:rFonts w:ascii="Times New Roman" w:hAnsi="Times New Roman"/>
        </w:rPr>
        <w:t>DISPOSITION</w:t>
      </w:r>
    </w:p>
    <w:p w14:paraId="7667B44A" w14:textId="77777777" w:rsidR="00F5304B" w:rsidRDefault="00F5304B" w:rsidP="00F5304B">
      <w:pPr>
        <w:pStyle w:val="ListParagraph"/>
        <w:spacing w:line="360" w:lineRule="auto"/>
        <w:ind w:left="0"/>
        <w:jc w:val="both"/>
        <w:rPr>
          <w:rFonts w:ascii="Times New Roman" w:hAnsi="Times New Roman"/>
          <w:sz w:val="24"/>
          <w:szCs w:val="24"/>
        </w:rPr>
      </w:pPr>
    </w:p>
    <w:p w14:paraId="3F5C4179" w14:textId="43C65CDD" w:rsidR="00811A0C" w:rsidRPr="00811A0C" w:rsidRDefault="0001190C" w:rsidP="00811A0C">
      <w:pPr>
        <w:pStyle w:val="ListParagraph"/>
        <w:spacing w:line="360" w:lineRule="auto"/>
        <w:jc w:val="both"/>
        <w:rPr>
          <w:rFonts w:ascii="Times New Roman" w:hAnsi="Times New Roman"/>
          <w:sz w:val="24"/>
          <w:szCs w:val="24"/>
        </w:rPr>
      </w:pPr>
      <w:r>
        <w:rPr>
          <w:rFonts w:ascii="Times New Roman" w:hAnsi="Times New Roman"/>
          <w:sz w:val="24"/>
          <w:szCs w:val="24"/>
        </w:rPr>
        <w:t>[ 1</w:t>
      </w:r>
      <w:r w:rsidR="00DC1131">
        <w:rPr>
          <w:rFonts w:ascii="Times New Roman" w:hAnsi="Times New Roman"/>
          <w:sz w:val="24"/>
          <w:szCs w:val="24"/>
        </w:rPr>
        <w:t>6</w:t>
      </w:r>
      <w:r>
        <w:rPr>
          <w:rFonts w:ascii="Times New Roman" w:hAnsi="Times New Roman"/>
          <w:sz w:val="24"/>
          <w:szCs w:val="24"/>
        </w:rPr>
        <w:t xml:space="preserve">] </w:t>
      </w:r>
      <w:r w:rsidR="00F5304B">
        <w:rPr>
          <w:rFonts w:ascii="Times New Roman" w:hAnsi="Times New Roman"/>
          <w:sz w:val="24"/>
          <w:szCs w:val="24"/>
        </w:rPr>
        <w:t xml:space="preserve">The points </w:t>
      </w:r>
      <w:r w:rsidR="00F5304B" w:rsidRPr="00267E09">
        <w:rPr>
          <w:rFonts w:ascii="Times New Roman" w:hAnsi="Times New Roman"/>
          <w:i/>
          <w:iCs/>
          <w:sz w:val="24"/>
          <w:szCs w:val="24"/>
        </w:rPr>
        <w:t>in limine</w:t>
      </w:r>
      <w:r w:rsidR="00F5304B">
        <w:rPr>
          <w:rFonts w:ascii="Times New Roman" w:hAnsi="Times New Roman"/>
          <w:sz w:val="24"/>
          <w:szCs w:val="24"/>
        </w:rPr>
        <w:t xml:space="preserve"> cannot be crisply separated from the merits of the matter. I will therefore defer the determination of same to the main judgment. </w:t>
      </w:r>
      <w:r w:rsidR="00811A0C">
        <w:rPr>
          <w:rFonts w:ascii="Times New Roman" w:hAnsi="Times New Roman"/>
          <w:sz w:val="24"/>
          <w:szCs w:val="24"/>
        </w:rPr>
        <w:t xml:space="preserve">Before closing, I am duty bound to once again urge litigants and legal practitioners to resort proper usage of preliminary objections. In that respect, I can </w:t>
      </w:r>
      <w:r>
        <w:rPr>
          <w:rFonts w:ascii="Times New Roman" w:hAnsi="Times New Roman"/>
          <w:sz w:val="24"/>
          <w:szCs w:val="24"/>
        </w:rPr>
        <w:t>do no</w:t>
      </w:r>
      <w:r w:rsidR="00811A0C">
        <w:rPr>
          <w:rFonts w:ascii="Times New Roman" w:hAnsi="Times New Roman"/>
          <w:sz w:val="24"/>
          <w:szCs w:val="24"/>
        </w:rPr>
        <w:t xml:space="preserve"> more than advert to the guidance by </w:t>
      </w:r>
      <w:r w:rsidR="00811A0C" w:rsidRPr="00B84D63">
        <w:rPr>
          <w:rFonts w:ascii="Times New Roman" w:hAnsi="Times New Roman"/>
        </w:rPr>
        <w:t>MATHONSI J</w:t>
      </w:r>
      <w:r w:rsidR="00811A0C">
        <w:rPr>
          <w:rFonts w:ascii="Times New Roman" w:hAnsi="Times New Roman"/>
          <w:sz w:val="24"/>
          <w:szCs w:val="24"/>
        </w:rPr>
        <w:t xml:space="preserve"> (as he then was) in</w:t>
      </w:r>
      <w:r w:rsidR="00811A0C" w:rsidRPr="00811A0C">
        <w:rPr>
          <w:rFonts w:ascii="Times New Roman" w:hAnsi="Times New Roman"/>
          <w:sz w:val="24"/>
          <w:szCs w:val="24"/>
        </w:rPr>
        <w:t xml:space="preserve"> </w:t>
      </w:r>
      <w:r w:rsidR="00811A0C" w:rsidRPr="00811A0C">
        <w:rPr>
          <w:rFonts w:ascii="Times New Roman" w:hAnsi="Times New Roman"/>
          <w:i/>
          <w:iCs/>
          <w:sz w:val="24"/>
          <w:szCs w:val="24"/>
        </w:rPr>
        <w:t>Telecel v Potraz &amp; 2 Ors</w:t>
      </w:r>
      <w:r w:rsidR="00811A0C" w:rsidRPr="00811A0C">
        <w:rPr>
          <w:rFonts w:ascii="Times New Roman" w:hAnsi="Times New Roman"/>
          <w:sz w:val="24"/>
          <w:szCs w:val="24"/>
        </w:rPr>
        <w:t xml:space="preserve"> </w:t>
      </w:r>
      <w:r w:rsidR="00811A0C" w:rsidRPr="00B84D63">
        <w:rPr>
          <w:rFonts w:ascii="Times New Roman" w:hAnsi="Times New Roman"/>
        </w:rPr>
        <w:t xml:space="preserve">HH </w:t>
      </w:r>
      <w:r w:rsidR="00811A0C" w:rsidRPr="00811A0C">
        <w:rPr>
          <w:rFonts w:ascii="Times New Roman" w:hAnsi="Times New Roman"/>
          <w:sz w:val="24"/>
          <w:szCs w:val="24"/>
        </w:rPr>
        <w:t xml:space="preserve">446-15 [ at page 7]; </w:t>
      </w:r>
    </w:p>
    <w:p w14:paraId="5148950D" w14:textId="77777777" w:rsidR="00811A0C" w:rsidRPr="00811A0C" w:rsidRDefault="00811A0C" w:rsidP="00811A0C">
      <w:pPr>
        <w:pStyle w:val="ListParagraph"/>
        <w:rPr>
          <w:rFonts w:ascii="Times New Roman" w:hAnsi="Times New Roman"/>
          <w:sz w:val="24"/>
          <w:szCs w:val="24"/>
        </w:rPr>
      </w:pPr>
    </w:p>
    <w:p w14:paraId="2CE02628" w14:textId="1C40C698" w:rsidR="00811A0C" w:rsidRDefault="00811A0C" w:rsidP="00811A0C">
      <w:pPr>
        <w:pStyle w:val="ListParagraph"/>
        <w:spacing w:line="360" w:lineRule="auto"/>
        <w:ind w:left="1134"/>
        <w:jc w:val="both"/>
        <w:rPr>
          <w:rFonts w:ascii="Times New Roman" w:hAnsi="Times New Roman"/>
          <w:sz w:val="24"/>
          <w:szCs w:val="24"/>
        </w:rPr>
      </w:pPr>
      <w:r w:rsidRPr="00811A0C">
        <w:rPr>
          <w:rFonts w:ascii="Times New Roman" w:hAnsi="Times New Roman"/>
          <w:sz w:val="24"/>
          <w:szCs w:val="24"/>
        </w:rPr>
        <w:t xml:space="preserve"> </w:t>
      </w:r>
      <w:r w:rsidRPr="00811A0C">
        <w:rPr>
          <w:rFonts w:ascii="Times New Roman" w:hAnsi="Times New Roman"/>
        </w:rPr>
        <w:t xml:space="preserve">“I agree with Mr </w:t>
      </w:r>
      <w:r w:rsidRPr="00811A0C">
        <w:rPr>
          <w:rFonts w:ascii="Times New Roman" w:hAnsi="Times New Roman"/>
          <w:i/>
        </w:rPr>
        <w:t xml:space="preserve">Girach </w:t>
      </w:r>
      <w:r w:rsidRPr="00811A0C">
        <w:rPr>
          <w:rFonts w:ascii="Times New Roman" w:hAnsi="Times New Roman"/>
        </w:rPr>
        <w:t xml:space="preserve">that raising the issue of urgency by respondents finding themselves faced with an urgent application is now a matter of routine. Invariably when one opens a notice of opposition these days, he is confronted by a point </w:t>
      </w:r>
      <w:r w:rsidRPr="00811A0C">
        <w:rPr>
          <w:rFonts w:ascii="Times New Roman" w:hAnsi="Times New Roman"/>
          <w:i/>
        </w:rPr>
        <w:t>in limine</w:t>
      </w:r>
      <w:r w:rsidRPr="00811A0C">
        <w:rPr>
          <w:rFonts w:ascii="Times New Roman" w:hAnsi="Times New Roman"/>
        </w:rPr>
        <w:t xml:space="preserve"> challenging the urgency of the application which should not be made at all. We are spending a lot of time determining points </w:t>
      </w:r>
      <w:r w:rsidRPr="00811A0C">
        <w:rPr>
          <w:rFonts w:ascii="Times New Roman" w:hAnsi="Times New Roman"/>
          <w:i/>
        </w:rPr>
        <w:t>in limine</w:t>
      </w:r>
      <w:r w:rsidRPr="00811A0C">
        <w:rPr>
          <w:rFonts w:ascii="Times New Roman" w:hAnsi="Times New Roman"/>
        </w:rPr>
        <w:t xml:space="preserve"> which do not have the remotest chance of success at the expense of the substance of a dispute. Legal practitioners should be reminded that it is an exercise in futility to raise points </w:t>
      </w:r>
      <w:r w:rsidRPr="00811A0C">
        <w:rPr>
          <w:rFonts w:ascii="Times New Roman" w:hAnsi="Times New Roman"/>
          <w:i/>
        </w:rPr>
        <w:t>in limine</w:t>
      </w:r>
      <w:r w:rsidRPr="00811A0C">
        <w:rPr>
          <w:rFonts w:ascii="Times New Roman" w:hAnsi="Times New Roman"/>
        </w:rPr>
        <w:t xml:space="preserve"> simply as a matter of fashion. A preliminary point should only be taken where firstly it is meritable and secondly it is likely to dispose of the matter. The time has come to discourage such waste of court time by the making of endless points </w:t>
      </w:r>
      <w:r w:rsidRPr="00811A0C">
        <w:rPr>
          <w:rFonts w:ascii="Times New Roman" w:hAnsi="Times New Roman"/>
          <w:i/>
        </w:rPr>
        <w:t>in limine</w:t>
      </w:r>
      <w:r w:rsidRPr="00811A0C">
        <w:rPr>
          <w:rFonts w:ascii="Times New Roman" w:hAnsi="Times New Roman"/>
        </w:rPr>
        <w:t xml:space="preserve"> by litigants afraid of the merits of the matter or legal practitioners who have no confidence in their client’s defence </w:t>
      </w:r>
      <w:r w:rsidRPr="00811A0C">
        <w:rPr>
          <w:rFonts w:ascii="Times New Roman" w:hAnsi="Times New Roman"/>
          <w:i/>
        </w:rPr>
        <w:t>viz-a-viz</w:t>
      </w:r>
      <w:r w:rsidRPr="00811A0C">
        <w:rPr>
          <w:rFonts w:ascii="Times New Roman" w:hAnsi="Times New Roman"/>
        </w:rPr>
        <w:t xml:space="preserve"> the substance of the dispute, in the hope that by chance the court may find in their favour. If an opposition has no merit, it should not be made at all. As points </w:t>
      </w:r>
      <w:r w:rsidRPr="00811A0C">
        <w:rPr>
          <w:rFonts w:ascii="Times New Roman" w:hAnsi="Times New Roman"/>
          <w:i/>
        </w:rPr>
        <w:t>in limine</w:t>
      </w:r>
      <w:r w:rsidRPr="00811A0C">
        <w:rPr>
          <w:rFonts w:ascii="Times New Roman" w:hAnsi="Times New Roman"/>
        </w:rPr>
        <w:t xml:space="preserve"> are usually raised on points of law and procedure, they are the product of the ingenuity of legal practitioners. In future, it may be necessary to rein in the legal practitioners who abuse the court in that way, by ordering them to pay costs </w:t>
      </w:r>
      <w:r w:rsidRPr="00811A0C">
        <w:rPr>
          <w:rFonts w:ascii="Times New Roman" w:hAnsi="Times New Roman"/>
          <w:i/>
        </w:rPr>
        <w:t>de bonis propiis.”.</w:t>
      </w:r>
    </w:p>
    <w:p w14:paraId="4ABF8DD8" w14:textId="77777777" w:rsidR="00811A0C" w:rsidRDefault="00811A0C" w:rsidP="00F5304B">
      <w:pPr>
        <w:pStyle w:val="ListParagraph"/>
        <w:spacing w:line="360" w:lineRule="auto"/>
        <w:jc w:val="both"/>
        <w:rPr>
          <w:rFonts w:ascii="Times New Roman" w:hAnsi="Times New Roman"/>
          <w:sz w:val="24"/>
          <w:szCs w:val="24"/>
        </w:rPr>
      </w:pPr>
    </w:p>
    <w:p w14:paraId="1721B3F7" w14:textId="1850878B" w:rsidR="0001190C" w:rsidRDefault="0001190C" w:rsidP="00674A01">
      <w:pPr>
        <w:pStyle w:val="ListParagraph"/>
        <w:spacing w:line="360" w:lineRule="auto"/>
        <w:jc w:val="both"/>
        <w:rPr>
          <w:rFonts w:ascii="Times New Roman" w:hAnsi="Times New Roman"/>
          <w:sz w:val="24"/>
          <w:szCs w:val="24"/>
        </w:rPr>
      </w:pPr>
      <w:r>
        <w:rPr>
          <w:rFonts w:ascii="Times New Roman" w:hAnsi="Times New Roman"/>
          <w:sz w:val="24"/>
          <w:szCs w:val="24"/>
        </w:rPr>
        <w:t>[ 1</w:t>
      </w:r>
      <w:r w:rsidR="00DC1131">
        <w:rPr>
          <w:rFonts w:ascii="Times New Roman" w:hAnsi="Times New Roman"/>
          <w:sz w:val="24"/>
          <w:szCs w:val="24"/>
        </w:rPr>
        <w:t>7</w:t>
      </w:r>
      <w:r>
        <w:rPr>
          <w:rFonts w:ascii="Times New Roman" w:hAnsi="Times New Roman"/>
          <w:sz w:val="24"/>
          <w:szCs w:val="24"/>
        </w:rPr>
        <w:t xml:space="preserve">] </w:t>
      </w:r>
      <w:r w:rsidR="00F5304B">
        <w:rPr>
          <w:rFonts w:ascii="Times New Roman" w:hAnsi="Times New Roman"/>
          <w:sz w:val="24"/>
          <w:szCs w:val="24"/>
        </w:rPr>
        <w:t>The parties may proceed, should they be so advised, to set the matter down for argument on the merits.</w:t>
      </w:r>
    </w:p>
    <w:p w14:paraId="77C4E813" w14:textId="77777777" w:rsidR="0001190C" w:rsidRDefault="0001190C" w:rsidP="00674A01">
      <w:pPr>
        <w:pStyle w:val="ListParagraph"/>
        <w:spacing w:line="360" w:lineRule="auto"/>
        <w:jc w:val="both"/>
        <w:rPr>
          <w:rFonts w:ascii="Times New Roman" w:hAnsi="Times New Roman"/>
          <w:sz w:val="24"/>
          <w:szCs w:val="24"/>
        </w:rPr>
      </w:pPr>
    </w:p>
    <w:p w14:paraId="5A768222" w14:textId="0301D13E" w:rsidR="00F5304B" w:rsidRDefault="00811A0C" w:rsidP="00674A01">
      <w:pPr>
        <w:pStyle w:val="ListParagraph"/>
        <w:spacing w:line="360" w:lineRule="auto"/>
        <w:jc w:val="both"/>
        <w:rPr>
          <w:rFonts w:ascii="Times New Roman" w:hAnsi="Times New Roman"/>
          <w:sz w:val="24"/>
          <w:szCs w:val="24"/>
        </w:rPr>
      </w:pPr>
      <w:r>
        <w:rPr>
          <w:rFonts w:ascii="Times New Roman" w:hAnsi="Times New Roman"/>
          <w:sz w:val="24"/>
          <w:szCs w:val="24"/>
        </w:rPr>
        <w:t xml:space="preserve">It is hereby </w:t>
      </w:r>
      <w:r w:rsidR="0001190C">
        <w:rPr>
          <w:rFonts w:ascii="Times New Roman" w:hAnsi="Times New Roman"/>
          <w:sz w:val="24"/>
          <w:szCs w:val="24"/>
        </w:rPr>
        <w:t>ordered; -</w:t>
      </w:r>
    </w:p>
    <w:p w14:paraId="0F6B3A0E" w14:textId="7F4C32B8" w:rsidR="00F5304B" w:rsidRDefault="00811A0C" w:rsidP="007A6EC6">
      <w:pPr>
        <w:pStyle w:val="ListParagraph"/>
        <w:spacing w:line="360" w:lineRule="auto"/>
        <w:ind w:left="1854"/>
        <w:jc w:val="both"/>
        <w:rPr>
          <w:rFonts w:ascii="Times New Roman" w:hAnsi="Times New Roman"/>
          <w:sz w:val="24"/>
          <w:szCs w:val="24"/>
        </w:rPr>
      </w:pPr>
      <w:r>
        <w:rPr>
          <w:rFonts w:ascii="Times New Roman" w:hAnsi="Times New Roman"/>
          <w:sz w:val="24"/>
          <w:szCs w:val="24"/>
        </w:rPr>
        <w:t>That the</w:t>
      </w:r>
      <w:r w:rsidR="0001190C">
        <w:rPr>
          <w:rFonts w:ascii="Times New Roman" w:hAnsi="Times New Roman"/>
          <w:sz w:val="24"/>
          <w:szCs w:val="24"/>
        </w:rPr>
        <w:t xml:space="preserve"> ruling on </w:t>
      </w:r>
      <w:r>
        <w:rPr>
          <w:rFonts w:ascii="Times New Roman" w:hAnsi="Times New Roman"/>
          <w:sz w:val="24"/>
          <w:szCs w:val="24"/>
        </w:rPr>
        <w:t xml:space="preserve">the </w:t>
      </w:r>
      <w:r w:rsidR="00F5304B">
        <w:rPr>
          <w:rFonts w:ascii="Times New Roman" w:hAnsi="Times New Roman"/>
          <w:sz w:val="24"/>
          <w:szCs w:val="24"/>
        </w:rPr>
        <w:t xml:space="preserve">points </w:t>
      </w:r>
      <w:r w:rsidR="00F5304B" w:rsidRPr="003A2FB7">
        <w:rPr>
          <w:rFonts w:ascii="Times New Roman" w:hAnsi="Times New Roman"/>
          <w:i/>
          <w:iCs/>
          <w:sz w:val="24"/>
          <w:szCs w:val="24"/>
        </w:rPr>
        <w:t>in limine</w:t>
      </w:r>
      <w:r w:rsidR="00F5304B">
        <w:rPr>
          <w:rFonts w:ascii="Times New Roman" w:hAnsi="Times New Roman"/>
          <w:sz w:val="24"/>
          <w:szCs w:val="24"/>
        </w:rPr>
        <w:t xml:space="preserve"> be and </w:t>
      </w:r>
      <w:r w:rsidR="0001190C">
        <w:rPr>
          <w:rFonts w:ascii="Times New Roman" w:hAnsi="Times New Roman"/>
          <w:sz w:val="24"/>
          <w:szCs w:val="24"/>
        </w:rPr>
        <w:t>is hereby</w:t>
      </w:r>
      <w:r w:rsidR="00F5304B">
        <w:rPr>
          <w:rFonts w:ascii="Times New Roman" w:hAnsi="Times New Roman"/>
          <w:sz w:val="24"/>
          <w:szCs w:val="24"/>
        </w:rPr>
        <w:t xml:space="preserve"> deferred, with costs in the cause, for </w:t>
      </w:r>
      <w:r w:rsidR="00DC1131">
        <w:rPr>
          <w:rFonts w:ascii="Times New Roman" w:hAnsi="Times New Roman"/>
          <w:sz w:val="24"/>
          <w:szCs w:val="24"/>
        </w:rPr>
        <w:t>determination with</w:t>
      </w:r>
      <w:r w:rsidR="003A2FB7">
        <w:rPr>
          <w:rFonts w:ascii="Times New Roman" w:hAnsi="Times New Roman"/>
          <w:sz w:val="24"/>
          <w:szCs w:val="24"/>
        </w:rPr>
        <w:t xml:space="preserve"> the merits </w:t>
      </w:r>
      <w:r w:rsidR="00F5304B">
        <w:rPr>
          <w:rFonts w:ascii="Times New Roman" w:hAnsi="Times New Roman"/>
          <w:sz w:val="24"/>
          <w:szCs w:val="24"/>
        </w:rPr>
        <w:t>in the main matter.</w:t>
      </w:r>
    </w:p>
    <w:p w14:paraId="1F9EED8D" w14:textId="77777777" w:rsidR="00F5304B" w:rsidRDefault="00F5304B" w:rsidP="00674A01">
      <w:pPr>
        <w:pStyle w:val="ListParagraph"/>
        <w:spacing w:line="360" w:lineRule="auto"/>
        <w:jc w:val="both"/>
        <w:rPr>
          <w:rFonts w:ascii="Times New Roman" w:hAnsi="Times New Roman"/>
          <w:sz w:val="24"/>
          <w:szCs w:val="24"/>
        </w:rPr>
      </w:pPr>
    </w:p>
    <w:p w14:paraId="2F0BF21F" w14:textId="77777777" w:rsidR="00F5304B" w:rsidRPr="00F5304B" w:rsidRDefault="00F5304B" w:rsidP="00267E09">
      <w:pPr>
        <w:pStyle w:val="NoSpacing"/>
        <w:jc w:val="both"/>
        <w:rPr>
          <w:rFonts w:ascii="Times New Roman" w:hAnsi="Times New Roman"/>
          <w:sz w:val="24"/>
          <w:szCs w:val="24"/>
        </w:rPr>
      </w:pPr>
      <w:r w:rsidRPr="00F5304B">
        <w:rPr>
          <w:rFonts w:ascii="Times New Roman" w:hAnsi="Times New Roman"/>
          <w:i/>
          <w:iCs/>
          <w:sz w:val="24"/>
          <w:szCs w:val="24"/>
        </w:rPr>
        <w:t>Mutuso, Taruvinga and Mhiribidi Attorneys</w:t>
      </w:r>
      <w:r w:rsidRPr="00F5304B">
        <w:rPr>
          <w:rFonts w:ascii="Times New Roman" w:hAnsi="Times New Roman"/>
          <w:sz w:val="24"/>
          <w:szCs w:val="24"/>
        </w:rPr>
        <w:t>-applicants legal practitioners</w:t>
      </w:r>
    </w:p>
    <w:p w14:paraId="78545611" w14:textId="77777777" w:rsidR="00F5304B" w:rsidRPr="00F5304B" w:rsidRDefault="00F5304B" w:rsidP="00267E09">
      <w:pPr>
        <w:pStyle w:val="NoSpacing"/>
        <w:jc w:val="both"/>
        <w:rPr>
          <w:rFonts w:ascii="Times New Roman" w:hAnsi="Times New Roman"/>
          <w:sz w:val="24"/>
          <w:szCs w:val="24"/>
        </w:rPr>
      </w:pPr>
      <w:r w:rsidRPr="00F5304B">
        <w:rPr>
          <w:rFonts w:ascii="Times New Roman" w:hAnsi="Times New Roman"/>
          <w:i/>
          <w:iCs/>
          <w:sz w:val="24"/>
          <w:szCs w:val="24"/>
        </w:rPr>
        <w:t>Rusinahama-Rabvukwa Attorneys</w:t>
      </w:r>
      <w:r w:rsidRPr="00F5304B">
        <w:rPr>
          <w:rFonts w:ascii="Times New Roman" w:hAnsi="Times New Roman"/>
          <w:sz w:val="24"/>
          <w:szCs w:val="24"/>
        </w:rPr>
        <w:t xml:space="preserve">-first respondent`s legal practitioners </w:t>
      </w:r>
    </w:p>
    <w:p w14:paraId="5676BCF7" w14:textId="77777777" w:rsidR="00F5304B" w:rsidRPr="00F5304B" w:rsidRDefault="00F5304B" w:rsidP="00267E09">
      <w:pPr>
        <w:pStyle w:val="NoSpacing"/>
        <w:jc w:val="both"/>
        <w:rPr>
          <w:rFonts w:ascii="Times New Roman" w:hAnsi="Times New Roman"/>
          <w:sz w:val="24"/>
          <w:szCs w:val="24"/>
        </w:rPr>
      </w:pPr>
      <w:r w:rsidRPr="00F5304B">
        <w:rPr>
          <w:rFonts w:ascii="Times New Roman" w:hAnsi="Times New Roman"/>
          <w:i/>
          <w:iCs/>
          <w:sz w:val="24"/>
          <w:szCs w:val="24"/>
        </w:rPr>
        <w:t>Nyangani Law Chambers</w:t>
      </w:r>
      <w:r w:rsidRPr="00F5304B">
        <w:rPr>
          <w:rFonts w:ascii="Times New Roman" w:hAnsi="Times New Roman"/>
          <w:sz w:val="24"/>
          <w:szCs w:val="24"/>
        </w:rPr>
        <w:t>-second respondent`s legal practitioners</w:t>
      </w:r>
    </w:p>
    <w:p w14:paraId="243C3410" w14:textId="77777777" w:rsidR="00F5304B" w:rsidRDefault="00F5304B" w:rsidP="00674A01">
      <w:pPr>
        <w:pStyle w:val="ListParagraph"/>
        <w:spacing w:line="360" w:lineRule="auto"/>
        <w:jc w:val="both"/>
        <w:rPr>
          <w:rFonts w:ascii="Times New Roman" w:hAnsi="Times New Roman"/>
          <w:sz w:val="24"/>
          <w:szCs w:val="24"/>
        </w:rPr>
      </w:pPr>
    </w:p>
    <w:p w14:paraId="34A6059B" w14:textId="77777777" w:rsidR="00F5304B" w:rsidRDefault="00F5304B" w:rsidP="00674A01">
      <w:pPr>
        <w:pStyle w:val="ListParagraph"/>
        <w:spacing w:line="360" w:lineRule="auto"/>
        <w:jc w:val="both"/>
        <w:rPr>
          <w:rFonts w:ascii="Times New Roman" w:hAnsi="Times New Roman"/>
          <w:sz w:val="24"/>
          <w:szCs w:val="24"/>
        </w:rPr>
      </w:pPr>
    </w:p>
    <w:p w14:paraId="6031E333" w14:textId="77777777" w:rsidR="00F5304B" w:rsidRPr="00814268" w:rsidRDefault="00F5304B" w:rsidP="00674A01">
      <w:pPr>
        <w:pStyle w:val="ListParagraph"/>
        <w:spacing w:line="360" w:lineRule="auto"/>
        <w:jc w:val="both"/>
        <w:rPr>
          <w:rFonts w:ascii="Times New Roman" w:hAnsi="Times New Roman"/>
          <w:sz w:val="20"/>
          <w:szCs w:val="20"/>
        </w:rPr>
      </w:pPr>
      <w:r>
        <w:rPr>
          <w:rFonts w:ascii="Times New Roman" w:hAnsi="Times New Roman"/>
          <w:sz w:val="24"/>
          <w:szCs w:val="24"/>
        </w:rPr>
        <w:t xml:space="preserve">                                                                                        </w:t>
      </w:r>
      <w:r w:rsidRPr="00814268">
        <w:rPr>
          <w:rFonts w:ascii="Times New Roman" w:hAnsi="Times New Roman"/>
          <w:sz w:val="20"/>
          <w:szCs w:val="20"/>
        </w:rPr>
        <w:t>CHILIMBE J_____</w:t>
      </w:r>
      <w:r w:rsidR="00814268" w:rsidRPr="00814268">
        <w:rPr>
          <w:rFonts w:ascii="Times New Roman" w:hAnsi="Times New Roman"/>
          <w:sz w:val="20"/>
          <w:szCs w:val="20"/>
        </w:rPr>
        <w:t>09/11/22</w:t>
      </w:r>
    </w:p>
    <w:sectPr w:rsidR="00F5304B" w:rsidRPr="008142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285A4" w14:textId="77777777" w:rsidR="00C16BE6" w:rsidRDefault="00C16BE6" w:rsidP="005B52A5">
      <w:pPr>
        <w:spacing w:after="0" w:line="240" w:lineRule="auto"/>
      </w:pPr>
      <w:r>
        <w:separator/>
      </w:r>
    </w:p>
  </w:endnote>
  <w:endnote w:type="continuationSeparator" w:id="0">
    <w:p w14:paraId="62072F49" w14:textId="77777777" w:rsidR="00C16BE6" w:rsidRDefault="00C16BE6" w:rsidP="005B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31859" w14:textId="77777777" w:rsidR="00C16BE6" w:rsidRDefault="00C16BE6" w:rsidP="005B52A5">
      <w:pPr>
        <w:spacing w:after="0" w:line="240" w:lineRule="auto"/>
      </w:pPr>
      <w:r>
        <w:separator/>
      </w:r>
    </w:p>
  </w:footnote>
  <w:footnote w:type="continuationSeparator" w:id="0">
    <w:p w14:paraId="6D9B6E2E" w14:textId="77777777" w:rsidR="00C16BE6" w:rsidRDefault="00C16BE6" w:rsidP="005B52A5">
      <w:pPr>
        <w:spacing w:after="0" w:line="240" w:lineRule="auto"/>
      </w:pPr>
      <w:r>
        <w:continuationSeparator/>
      </w:r>
    </w:p>
  </w:footnote>
  <w:footnote w:id="1">
    <w:p w14:paraId="0FF51229" w14:textId="77777777" w:rsidR="00103627" w:rsidRDefault="00103627">
      <w:pPr>
        <w:pStyle w:val="FootnoteText"/>
      </w:pPr>
      <w:r>
        <w:rPr>
          <w:rStyle w:val="FootnoteReference"/>
        </w:rPr>
        <w:footnoteRef/>
      </w:r>
      <w:r>
        <w:t xml:space="preserve"> At page 1 of </w:t>
      </w:r>
      <w:r w:rsidRPr="001D3AEC">
        <w:rPr>
          <w:i/>
          <w:iCs/>
        </w:rPr>
        <w:t>Exavier Maoneke v Trustees of Mount Olive Trust</w:t>
      </w:r>
      <w:r>
        <w:t xml:space="preserve"> HH 640-22</w:t>
      </w:r>
    </w:p>
  </w:footnote>
  <w:footnote w:id="2">
    <w:p w14:paraId="19D64A43" w14:textId="709DAD1A" w:rsidR="001D3AEC" w:rsidRPr="001D3AEC" w:rsidRDefault="00A55F82" w:rsidP="001D3AEC">
      <w:pPr>
        <w:pStyle w:val="FootnoteText"/>
      </w:pPr>
      <w:r>
        <w:rPr>
          <w:rStyle w:val="FootnoteReference"/>
        </w:rPr>
        <w:footnoteRef/>
      </w:r>
      <w:r>
        <w:t xml:space="preserve"> </w:t>
      </w:r>
      <w:r w:rsidR="001D3AEC" w:rsidRPr="001D3AEC">
        <w:rPr>
          <w:i/>
          <w:iCs/>
        </w:rPr>
        <w:t>Zimbabwe Teachers Association v Pure Gold Housing Trust</w:t>
      </w:r>
      <w:r w:rsidR="001D3AEC">
        <w:t xml:space="preserve"> HC </w:t>
      </w:r>
      <w:r w:rsidR="001D3AEC" w:rsidRPr="001D3AEC">
        <w:t xml:space="preserve"> </w:t>
      </w:r>
      <w:r w:rsidR="001D3AEC">
        <w:t>7157/21 at page 2.</w:t>
      </w:r>
    </w:p>
    <w:p w14:paraId="47C65A81" w14:textId="4CEBB505" w:rsidR="00A55F82" w:rsidRDefault="00A55F82">
      <w:pPr>
        <w:pStyle w:val="FootnoteText"/>
      </w:pPr>
    </w:p>
  </w:footnote>
  <w:footnote w:id="3">
    <w:p w14:paraId="1F8AD5C4" w14:textId="77777777" w:rsidR="00A55F82" w:rsidRDefault="00A55F82" w:rsidP="00A55F82">
      <w:pPr>
        <w:pStyle w:val="FootnoteText"/>
      </w:pPr>
      <w:r>
        <w:rPr>
          <w:rStyle w:val="FootnoteReference"/>
        </w:rPr>
        <w:footnoteRef/>
      </w:r>
      <w:r>
        <w:t xml:space="preserve"> In </w:t>
      </w:r>
      <w:r w:rsidRPr="001D3AEC">
        <w:rPr>
          <w:i/>
          <w:iCs/>
        </w:rPr>
        <w:t>Mudekunye</w:t>
      </w:r>
      <w:r>
        <w:t>, BERE J (as he then was) considered a number of authorities which reflected differing approaches on the matter in the High Court.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B204" w14:textId="09074B12" w:rsidR="005B52A5" w:rsidRDefault="005B52A5">
    <w:pPr>
      <w:pStyle w:val="Header"/>
      <w:jc w:val="right"/>
      <w:rPr>
        <w:noProof/>
      </w:rPr>
    </w:pPr>
    <w:r>
      <w:fldChar w:fldCharType="begin"/>
    </w:r>
    <w:r>
      <w:instrText xml:space="preserve"> PAGE   \* MERGEFORMAT </w:instrText>
    </w:r>
    <w:r>
      <w:fldChar w:fldCharType="separate"/>
    </w:r>
    <w:r w:rsidR="00741701">
      <w:rPr>
        <w:noProof/>
      </w:rPr>
      <w:t>1</w:t>
    </w:r>
    <w:r>
      <w:rPr>
        <w:noProof/>
      </w:rPr>
      <w:fldChar w:fldCharType="end"/>
    </w:r>
  </w:p>
  <w:p w14:paraId="5DE7319C" w14:textId="7D6C9A34" w:rsidR="00F534CE" w:rsidRDefault="00F534CE" w:rsidP="00F534CE">
    <w:pPr>
      <w:pStyle w:val="Header"/>
      <w:ind w:left="7314"/>
      <w:jc w:val="center"/>
      <w:rPr>
        <w:noProof/>
      </w:rPr>
    </w:pPr>
    <w:r>
      <w:rPr>
        <w:noProof/>
      </w:rPr>
      <w:t>HH 791-22</w:t>
    </w:r>
  </w:p>
  <w:p w14:paraId="721C859D" w14:textId="77777777" w:rsidR="00F534CE" w:rsidRDefault="00F534CE" w:rsidP="00F534CE">
    <w:pPr>
      <w:pStyle w:val="Header"/>
      <w:ind w:left="7314"/>
      <w:jc w:val="center"/>
      <w:rPr>
        <w:noProof/>
      </w:rPr>
    </w:pPr>
  </w:p>
  <w:p w14:paraId="05751641" w14:textId="28A58CEF" w:rsidR="005B52A5" w:rsidRDefault="005B52A5" w:rsidP="00F534CE">
    <w:pPr>
      <w:pStyle w:val="Header"/>
      <w:ind w:left="7314"/>
      <w:jc w:val="center"/>
      <w:rPr>
        <w:noProof/>
      </w:rPr>
    </w:pPr>
    <w:r>
      <w:rPr>
        <w:noProof/>
      </w:rPr>
      <w:t xml:space="preserve">HC4353/21 </w:t>
    </w:r>
  </w:p>
  <w:p w14:paraId="77E36412" w14:textId="786465A9" w:rsidR="005B52A5" w:rsidRDefault="00F534CE" w:rsidP="005B52A5">
    <w:pPr>
      <w:pStyle w:val="Header"/>
      <w:rPr>
        <w:noProof/>
      </w:rPr>
    </w:pPr>
    <w:r>
      <w:rPr>
        <w:noProof/>
      </w:rPr>
      <w:t xml:space="preserve">                                                                                                                                 </w:t>
    </w:r>
    <w:r w:rsidR="005B52A5">
      <w:rPr>
        <w:noProof/>
      </w:rPr>
      <w:t>Consolidated with HC4383/1</w:t>
    </w:r>
  </w:p>
  <w:p w14:paraId="69830A09" w14:textId="7552C471" w:rsidR="005B52A5" w:rsidRDefault="00F534CE" w:rsidP="005B52A5">
    <w:pPr>
      <w:pStyle w:val="Header"/>
      <w:rPr>
        <w:noProof/>
      </w:rPr>
    </w:pPr>
    <w:r>
      <w:rPr>
        <w:noProof/>
      </w:rPr>
      <w:t xml:space="preserve">                                                                                                                         </w:t>
    </w:r>
    <w:r w:rsidR="005B52A5">
      <w:rPr>
        <w:noProof/>
      </w:rPr>
      <w:t>Cross Ref HC 4936/20;HC2258/21</w:t>
    </w:r>
  </w:p>
  <w:p w14:paraId="6324F314" w14:textId="77777777" w:rsidR="005B52A5" w:rsidRDefault="005B52A5" w:rsidP="005B52A5">
    <w:pPr>
      <w:pStyle w:val="Header"/>
      <w:jc w:val="center"/>
    </w:pPr>
  </w:p>
  <w:p w14:paraId="1B8E311E" w14:textId="77777777" w:rsidR="005B52A5" w:rsidRDefault="005B52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60793"/>
    <w:multiLevelType w:val="hybridMultilevel"/>
    <w:tmpl w:val="A5FAEC4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083A63"/>
    <w:multiLevelType w:val="hybridMultilevel"/>
    <w:tmpl w:val="6F8260C4"/>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CE"/>
    <w:rsid w:val="0001190C"/>
    <w:rsid w:val="000A61BD"/>
    <w:rsid w:val="000E25F3"/>
    <w:rsid w:val="00103627"/>
    <w:rsid w:val="00115D7C"/>
    <w:rsid w:val="001379B7"/>
    <w:rsid w:val="001D3AEC"/>
    <w:rsid w:val="0022741C"/>
    <w:rsid w:val="00237F05"/>
    <w:rsid w:val="00267E09"/>
    <w:rsid w:val="002A3C0A"/>
    <w:rsid w:val="002C446C"/>
    <w:rsid w:val="002D1209"/>
    <w:rsid w:val="002F3464"/>
    <w:rsid w:val="0030207C"/>
    <w:rsid w:val="003462AD"/>
    <w:rsid w:val="00380806"/>
    <w:rsid w:val="00384011"/>
    <w:rsid w:val="003A2FB7"/>
    <w:rsid w:val="003A68B9"/>
    <w:rsid w:val="004075FA"/>
    <w:rsid w:val="00420140"/>
    <w:rsid w:val="004264BB"/>
    <w:rsid w:val="00455D02"/>
    <w:rsid w:val="004A0A2F"/>
    <w:rsid w:val="004A6272"/>
    <w:rsid w:val="00502709"/>
    <w:rsid w:val="00505335"/>
    <w:rsid w:val="005219FD"/>
    <w:rsid w:val="0057181C"/>
    <w:rsid w:val="005B52A5"/>
    <w:rsid w:val="00660B92"/>
    <w:rsid w:val="00674A01"/>
    <w:rsid w:val="006A1EB6"/>
    <w:rsid w:val="00703B51"/>
    <w:rsid w:val="00732983"/>
    <w:rsid w:val="00741701"/>
    <w:rsid w:val="00743640"/>
    <w:rsid w:val="007A6EC6"/>
    <w:rsid w:val="007B2DAB"/>
    <w:rsid w:val="007B4E5C"/>
    <w:rsid w:val="0080007F"/>
    <w:rsid w:val="00811A0C"/>
    <w:rsid w:val="00814268"/>
    <w:rsid w:val="00826FB6"/>
    <w:rsid w:val="0089119C"/>
    <w:rsid w:val="008B768E"/>
    <w:rsid w:val="008E54C6"/>
    <w:rsid w:val="00932A5D"/>
    <w:rsid w:val="00966912"/>
    <w:rsid w:val="009878D3"/>
    <w:rsid w:val="009C4AF2"/>
    <w:rsid w:val="00A55F82"/>
    <w:rsid w:val="00B37C69"/>
    <w:rsid w:val="00B84D63"/>
    <w:rsid w:val="00B94DC6"/>
    <w:rsid w:val="00BA3E85"/>
    <w:rsid w:val="00C16BE6"/>
    <w:rsid w:val="00C22ED4"/>
    <w:rsid w:val="00C416DD"/>
    <w:rsid w:val="00C605D4"/>
    <w:rsid w:val="00D24D08"/>
    <w:rsid w:val="00D277E3"/>
    <w:rsid w:val="00D3519F"/>
    <w:rsid w:val="00D54EE3"/>
    <w:rsid w:val="00D55B32"/>
    <w:rsid w:val="00DC1131"/>
    <w:rsid w:val="00DD088D"/>
    <w:rsid w:val="00DD26F7"/>
    <w:rsid w:val="00E1093E"/>
    <w:rsid w:val="00E20140"/>
    <w:rsid w:val="00E21494"/>
    <w:rsid w:val="00E26452"/>
    <w:rsid w:val="00E4221F"/>
    <w:rsid w:val="00E803AE"/>
    <w:rsid w:val="00EF1CB9"/>
    <w:rsid w:val="00F43752"/>
    <w:rsid w:val="00F5304B"/>
    <w:rsid w:val="00F534CE"/>
    <w:rsid w:val="00FB56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8183"/>
  <w15:chartTrackingRefBased/>
  <w15:docId w15:val="{4E97381A-9551-42CF-AC21-71D52D7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2A5"/>
  </w:style>
  <w:style w:type="paragraph" w:styleId="Footer">
    <w:name w:val="footer"/>
    <w:basedOn w:val="Normal"/>
    <w:link w:val="FooterChar"/>
    <w:uiPriority w:val="99"/>
    <w:unhideWhenUsed/>
    <w:rsid w:val="005B5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A5"/>
  </w:style>
  <w:style w:type="paragraph" w:styleId="ListParagraph">
    <w:name w:val="List Paragraph"/>
    <w:basedOn w:val="Normal"/>
    <w:uiPriority w:val="34"/>
    <w:qFormat/>
    <w:rsid w:val="005B52A5"/>
    <w:pPr>
      <w:ind w:left="720"/>
      <w:contextualSpacing/>
    </w:pPr>
  </w:style>
  <w:style w:type="paragraph" w:styleId="FootnoteText">
    <w:name w:val="footnote text"/>
    <w:basedOn w:val="Normal"/>
    <w:link w:val="FootnoteTextChar"/>
    <w:uiPriority w:val="99"/>
    <w:semiHidden/>
    <w:unhideWhenUsed/>
    <w:rsid w:val="00103627"/>
    <w:pPr>
      <w:spacing w:after="0" w:line="240" w:lineRule="auto"/>
    </w:pPr>
    <w:rPr>
      <w:sz w:val="20"/>
      <w:szCs w:val="20"/>
    </w:rPr>
  </w:style>
  <w:style w:type="character" w:customStyle="1" w:styleId="FootnoteTextChar">
    <w:name w:val="Footnote Text Char"/>
    <w:link w:val="FootnoteText"/>
    <w:uiPriority w:val="99"/>
    <w:semiHidden/>
    <w:rsid w:val="00103627"/>
    <w:rPr>
      <w:sz w:val="20"/>
      <w:szCs w:val="20"/>
    </w:rPr>
  </w:style>
  <w:style w:type="character" w:styleId="FootnoteReference">
    <w:name w:val="footnote reference"/>
    <w:uiPriority w:val="99"/>
    <w:semiHidden/>
    <w:unhideWhenUsed/>
    <w:rsid w:val="00103627"/>
    <w:rPr>
      <w:vertAlign w:val="superscript"/>
    </w:rPr>
  </w:style>
  <w:style w:type="paragraph" w:styleId="NoSpacing">
    <w:name w:val="No Spacing"/>
    <w:uiPriority w:val="1"/>
    <w:qFormat/>
    <w:rsid w:val="00F530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ce%20Chilimbe\Desktop\JC%20JMNTS%202022\OUTSTANDING%20JMNTS%20AS%20AT%2020%200CT%2022\1%20JAN%20TO%20MAR%2022%20JMNTS%20DUE\NYARAI%20MUDUNGWE\DRAFT%20JMNT%20NYARAI%20MUDUNGW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JMNT NYARAI MUDUNGWE</Template>
  <TotalTime>0</TotalTime>
  <Pages>8</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Chilimbe</dc:creator>
  <cp:keywords/>
  <dc:description/>
  <cp:lastModifiedBy>JSC</cp:lastModifiedBy>
  <cp:revision>2</cp:revision>
  <cp:lastPrinted>2022-11-08T15:05:00Z</cp:lastPrinted>
  <dcterms:created xsi:type="dcterms:W3CDTF">2022-11-11T09:00:00Z</dcterms:created>
  <dcterms:modified xsi:type="dcterms:W3CDTF">2022-11-11T09:00:00Z</dcterms:modified>
</cp:coreProperties>
</file>